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08" w:rsidRDefault="00824183">
      <w:pPr>
        <w:jc w:val="center"/>
        <w:rPr>
          <w:rFonts w:ascii="方正小标宋_GBK" w:eastAsia="方正小标宋_GBK"/>
          <w:sz w:val="36"/>
          <w:szCs w:val="36"/>
        </w:rPr>
      </w:pPr>
      <w:r>
        <w:rPr>
          <w:rFonts w:ascii="方正小标宋_GBK" w:eastAsia="方正小标宋_GBK" w:hint="eastAsia"/>
          <w:sz w:val="36"/>
          <w:szCs w:val="36"/>
        </w:rPr>
        <w:t>闵行区工业</w:t>
      </w:r>
      <w:r w:rsidR="00AA18A9">
        <w:rPr>
          <w:rFonts w:ascii="方正小标宋_GBK" w:eastAsia="方正小标宋_GBK" w:hint="eastAsia"/>
          <w:sz w:val="36"/>
          <w:szCs w:val="36"/>
        </w:rPr>
        <w:t>用地地价与绩效联动的实施细则</w:t>
      </w:r>
    </w:p>
    <w:p w:rsidR="00172408" w:rsidRDefault="00172408">
      <w:pPr>
        <w:jc w:val="center"/>
        <w:rPr>
          <w:rFonts w:ascii="仿宋_GB2312" w:eastAsia="仿宋_GB2312"/>
          <w:b/>
          <w:sz w:val="30"/>
          <w:szCs w:val="30"/>
        </w:rPr>
      </w:pPr>
    </w:p>
    <w:p w:rsidR="00172408" w:rsidRDefault="00AA18A9">
      <w:pPr>
        <w:spacing w:line="560" w:lineRule="exact"/>
        <w:ind w:firstLine="555"/>
        <w:rPr>
          <w:rFonts w:ascii="黑体" w:eastAsia="黑体" w:hAnsi="黑体"/>
          <w:sz w:val="30"/>
          <w:szCs w:val="30"/>
        </w:rPr>
      </w:pPr>
      <w:r>
        <w:rPr>
          <w:rFonts w:ascii="黑体" w:eastAsia="黑体" w:hAnsi="黑体" w:hint="eastAsia"/>
          <w:sz w:val="30"/>
          <w:szCs w:val="30"/>
        </w:rPr>
        <w:t>一、目的及依据</w:t>
      </w:r>
    </w:p>
    <w:p w:rsidR="00172408" w:rsidRPr="008D1619" w:rsidRDefault="00AA18A9">
      <w:pPr>
        <w:spacing w:line="560" w:lineRule="exact"/>
        <w:ind w:firstLine="555"/>
        <w:rPr>
          <w:rFonts w:ascii="仿宋_GB2312" w:eastAsia="仿宋_GB2312" w:hint="eastAsia"/>
          <w:sz w:val="30"/>
          <w:szCs w:val="30"/>
        </w:rPr>
      </w:pPr>
      <w:r w:rsidRPr="008D1619">
        <w:rPr>
          <w:rFonts w:ascii="仿宋_GB2312" w:eastAsia="仿宋_GB2312" w:hint="eastAsia"/>
          <w:sz w:val="30"/>
          <w:szCs w:val="30"/>
        </w:rPr>
        <w:t>为进一步优化营商环境，贯彻落实《关于本市盘活存量工业用地的实施办法》（沪府办【2016】22号）、《关于本市全面推进土地资源高质量利用的若干意见》（沪府</w:t>
      </w:r>
      <w:proofErr w:type="gramStart"/>
      <w:r w:rsidRPr="008D1619">
        <w:rPr>
          <w:rFonts w:ascii="仿宋_GB2312" w:eastAsia="仿宋_GB2312" w:hint="eastAsia"/>
          <w:sz w:val="30"/>
          <w:szCs w:val="30"/>
        </w:rPr>
        <w:t>规</w:t>
      </w:r>
      <w:proofErr w:type="gramEnd"/>
      <w:r w:rsidRPr="008D1619">
        <w:rPr>
          <w:rFonts w:ascii="仿宋_GB2312" w:eastAsia="仿宋_GB2312" w:hint="eastAsia"/>
          <w:sz w:val="30"/>
          <w:szCs w:val="30"/>
        </w:rPr>
        <w:t>【2018】21号）、《关于本市推进产业用地高质量利用的实施细则》（沪</w:t>
      </w:r>
      <w:proofErr w:type="gramStart"/>
      <w:r w:rsidRPr="008D1619">
        <w:rPr>
          <w:rFonts w:ascii="仿宋_GB2312" w:eastAsia="仿宋_GB2312" w:hint="eastAsia"/>
          <w:sz w:val="30"/>
          <w:szCs w:val="30"/>
        </w:rPr>
        <w:t>规土资地</w:t>
      </w:r>
      <w:proofErr w:type="gramEnd"/>
      <w:r w:rsidRPr="008D1619">
        <w:rPr>
          <w:rFonts w:ascii="仿宋_GB2312" w:eastAsia="仿宋_GB2312" w:hint="eastAsia"/>
          <w:sz w:val="30"/>
          <w:szCs w:val="30"/>
        </w:rPr>
        <w:t>【2018】687号）、《关于本市产业用地高质量标准化出让有关工作的通知》（</w:t>
      </w:r>
      <w:proofErr w:type="gramStart"/>
      <w:r w:rsidRPr="008D1619">
        <w:rPr>
          <w:rFonts w:ascii="仿宋_GB2312" w:eastAsia="仿宋_GB2312" w:hint="eastAsia"/>
          <w:sz w:val="30"/>
          <w:szCs w:val="30"/>
        </w:rPr>
        <w:t>沪规划</w:t>
      </w:r>
      <w:proofErr w:type="gramEnd"/>
      <w:r w:rsidRPr="008D1619">
        <w:rPr>
          <w:rFonts w:ascii="仿宋_GB2312" w:eastAsia="仿宋_GB2312" w:hint="eastAsia"/>
          <w:sz w:val="30"/>
          <w:szCs w:val="30"/>
        </w:rPr>
        <w:t>资源用【2019】135号）</w:t>
      </w:r>
      <w:r w:rsidR="008D1619" w:rsidRPr="008D1619">
        <w:rPr>
          <w:rFonts w:ascii="仿宋_GB2312" w:eastAsia="仿宋_GB2312" w:hint="eastAsia"/>
          <w:sz w:val="30"/>
          <w:szCs w:val="30"/>
        </w:rPr>
        <w:t>，</w:t>
      </w:r>
      <w:r w:rsidR="008D1619" w:rsidRPr="008D1619">
        <w:rPr>
          <w:rFonts w:ascii="仿宋_GB2312" w:eastAsia="仿宋_GB2312" w:hAnsi="仿宋" w:hint="eastAsia"/>
          <w:sz w:val="30"/>
          <w:szCs w:val="30"/>
        </w:rPr>
        <w:t>以及《上海市关于推进产业用地高质量利用规划土地政策梳理及闵行区产业用地利用策略》（</w:t>
      </w:r>
      <w:proofErr w:type="gramStart"/>
      <w:r w:rsidR="008D1619" w:rsidRPr="008D1619">
        <w:rPr>
          <w:rFonts w:ascii="仿宋_GB2312" w:eastAsia="仿宋_GB2312" w:hAnsi="仿宋" w:hint="eastAsia"/>
          <w:sz w:val="30"/>
          <w:szCs w:val="30"/>
        </w:rPr>
        <w:t>闵</w:t>
      </w:r>
      <w:proofErr w:type="gramEnd"/>
      <w:r w:rsidR="008D1619" w:rsidRPr="008D1619">
        <w:rPr>
          <w:rFonts w:ascii="仿宋_GB2312" w:eastAsia="仿宋_GB2312" w:hAnsi="仿宋" w:hint="eastAsia"/>
          <w:sz w:val="30"/>
          <w:szCs w:val="30"/>
        </w:rPr>
        <w:t>规划资源【2019】9号）</w:t>
      </w:r>
      <w:r w:rsidRPr="008D1619">
        <w:rPr>
          <w:rFonts w:ascii="仿宋_GB2312" w:eastAsia="仿宋_GB2312" w:hint="eastAsia"/>
          <w:sz w:val="30"/>
          <w:szCs w:val="30"/>
        </w:rPr>
        <w:t>，推进我区产业用地的高质量利用，降低创新创业和产业转型升级成本，制定本实施细则。</w:t>
      </w:r>
    </w:p>
    <w:p w:rsidR="00172408" w:rsidRDefault="00AA18A9">
      <w:pPr>
        <w:spacing w:line="560" w:lineRule="exact"/>
        <w:ind w:firstLine="555"/>
        <w:rPr>
          <w:rFonts w:ascii="黑体" w:eastAsia="黑体" w:hAnsi="黑体"/>
          <w:sz w:val="30"/>
          <w:szCs w:val="30"/>
        </w:rPr>
      </w:pPr>
      <w:r>
        <w:rPr>
          <w:rFonts w:ascii="黑体" w:eastAsia="黑体" w:hAnsi="黑体" w:hint="eastAsia"/>
          <w:sz w:val="30"/>
          <w:szCs w:val="30"/>
        </w:rPr>
        <w:t>二、指导思想</w:t>
      </w:r>
    </w:p>
    <w:p w:rsidR="00172408" w:rsidRDefault="00AA18A9">
      <w:pPr>
        <w:spacing w:line="560" w:lineRule="exact"/>
        <w:ind w:firstLine="555"/>
        <w:rPr>
          <w:rFonts w:ascii="仿宋_GB2312" w:eastAsia="仿宋_GB2312" w:hAnsi="黑体"/>
          <w:sz w:val="30"/>
          <w:szCs w:val="30"/>
        </w:rPr>
      </w:pPr>
      <w:r>
        <w:rPr>
          <w:rFonts w:ascii="仿宋_GB2312" w:eastAsia="仿宋_GB2312" w:hAnsi="黑体" w:hint="eastAsia"/>
          <w:sz w:val="30"/>
          <w:szCs w:val="30"/>
        </w:rPr>
        <w:t>为建设上海具有全球影响力科技创新中心南部核心区，按照“闵行2035”总体规划，坚持“亩产论英雄”、“效益论英雄”、“能耗论英雄”、“环境论英雄”，提升单位土地的经济承载容量和产出水平，实现产业用地更集约、更高效、</w:t>
      </w:r>
      <w:proofErr w:type="gramStart"/>
      <w:r>
        <w:rPr>
          <w:rFonts w:ascii="仿宋_GB2312" w:eastAsia="仿宋_GB2312" w:hAnsi="黑体" w:hint="eastAsia"/>
          <w:sz w:val="30"/>
          <w:szCs w:val="30"/>
        </w:rPr>
        <w:t>更科持续</w:t>
      </w:r>
      <w:proofErr w:type="gramEnd"/>
      <w:r>
        <w:rPr>
          <w:rFonts w:ascii="仿宋_GB2312" w:eastAsia="仿宋_GB2312" w:hAnsi="黑体" w:hint="eastAsia"/>
          <w:sz w:val="30"/>
          <w:szCs w:val="30"/>
        </w:rPr>
        <w:t>的高质量利用，切实降低产业用地成本。</w:t>
      </w:r>
    </w:p>
    <w:p w:rsidR="00172408" w:rsidRDefault="00AA18A9">
      <w:pPr>
        <w:spacing w:line="560" w:lineRule="exact"/>
        <w:ind w:firstLine="555"/>
        <w:rPr>
          <w:rFonts w:ascii="黑体" w:eastAsia="黑体" w:hAnsi="黑体"/>
          <w:sz w:val="30"/>
          <w:szCs w:val="30"/>
        </w:rPr>
      </w:pPr>
      <w:r>
        <w:rPr>
          <w:rFonts w:ascii="黑体" w:eastAsia="黑体" w:hAnsi="黑体" w:hint="eastAsia"/>
          <w:sz w:val="30"/>
          <w:szCs w:val="30"/>
        </w:rPr>
        <w:t>三、适用范围</w:t>
      </w:r>
    </w:p>
    <w:p w:rsidR="00172408" w:rsidRDefault="00AA18A9">
      <w:pPr>
        <w:spacing w:line="560" w:lineRule="exact"/>
        <w:ind w:firstLine="555"/>
        <w:rPr>
          <w:rFonts w:ascii="仿宋_GB2312" w:eastAsia="仿宋_GB2312"/>
          <w:sz w:val="30"/>
          <w:szCs w:val="30"/>
        </w:rPr>
      </w:pPr>
      <w:r>
        <w:rPr>
          <w:rFonts w:ascii="仿宋_GB2312" w:eastAsia="仿宋_GB2312" w:hint="eastAsia"/>
          <w:sz w:val="30"/>
          <w:szCs w:val="30"/>
        </w:rPr>
        <w:t>本实施细则所称的产业用地</w:t>
      </w:r>
      <w:r w:rsidR="00B50998">
        <w:rPr>
          <w:rFonts w:ascii="仿宋_GB2312" w:eastAsia="仿宋_GB2312" w:hint="eastAsia"/>
          <w:sz w:val="30"/>
          <w:szCs w:val="30"/>
        </w:rPr>
        <w:t>，原则上是</w:t>
      </w:r>
      <w:r>
        <w:rPr>
          <w:rFonts w:ascii="仿宋_GB2312" w:eastAsia="仿宋_GB2312" w:hint="eastAsia"/>
          <w:sz w:val="30"/>
          <w:szCs w:val="30"/>
        </w:rPr>
        <w:t>指</w:t>
      </w:r>
      <w:proofErr w:type="gramStart"/>
      <w:r>
        <w:rPr>
          <w:rFonts w:ascii="仿宋_GB2312" w:eastAsia="仿宋_GB2312" w:hint="eastAsia"/>
          <w:sz w:val="30"/>
          <w:szCs w:val="30"/>
        </w:rPr>
        <w:t>闵行区集建区域</w:t>
      </w:r>
      <w:proofErr w:type="gramEnd"/>
      <w:r>
        <w:rPr>
          <w:rFonts w:ascii="仿宋_GB2312" w:eastAsia="仿宋_GB2312" w:hint="eastAsia"/>
          <w:sz w:val="30"/>
          <w:szCs w:val="30"/>
        </w:rPr>
        <w:t>范围内</w:t>
      </w:r>
      <w:r w:rsidR="00B50998">
        <w:rPr>
          <w:rFonts w:ascii="仿宋_GB2312" w:eastAsia="仿宋_GB2312" w:hint="eastAsia"/>
          <w:sz w:val="30"/>
          <w:szCs w:val="30"/>
        </w:rPr>
        <w:t>，产业基地和产业社区</w:t>
      </w:r>
      <w:r>
        <w:rPr>
          <w:rFonts w:ascii="仿宋_GB2312" w:eastAsia="仿宋_GB2312" w:hint="eastAsia"/>
          <w:sz w:val="30"/>
          <w:szCs w:val="30"/>
        </w:rPr>
        <w:t>的工业用地和研发用地，且符合用地规划和本区产业导向。</w:t>
      </w:r>
    </w:p>
    <w:p w:rsidR="00172408" w:rsidRDefault="00AA18A9">
      <w:pPr>
        <w:spacing w:line="560" w:lineRule="exact"/>
        <w:ind w:firstLine="555"/>
        <w:rPr>
          <w:rFonts w:ascii="黑体" w:eastAsia="黑体" w:hAnsi="黑体"/>
          <w:sz w:val="30"/>
          <w:szCs w:val="30"/>
        </w:rPr>
      </w:pPr>
      <w:r>
        <w:rPr>
          <w:rFonts w:ascii="黑体" w:eastAsia="黑体" w:hAnsi="黑体" w:hint="eastAsia"/>
          <w:sz w:val="30"/>
          <w:szCs w:val="30"/>
        </w:rPr>
        <w:t>四、标准地出让</w:t>
      </w:r>
    </w:p>
    <w:p w:rsidR="00172408" w:rsidRDefault="00AA18A9">
      <w:pPr>
        <w:spacing w:line="560" w:lineRule="exact"/>
        <w:ind w:firstLine="555"/>
        <w:rPr>
          <w:rFonts w:ascii="仿宋_GB2312" w:eastAsia="仿宋_GB2312" w:hAnsi="黑体"/>
          <w:sz w:val="30"/>
          <w:szCs w:val="30"/>
        </w:rPr>
      </w:pPr>
      <w:r>
        <w:rPr>
          <w:rFonts w:ascii="仿宋_GB2312" w:eastAsia="仿宋_GB2312" w:hAnsi="黑体" w:hint="eastAsia"/>
          <w:sz w:val="30"/>
          <w:szCs w:val="30"/>
        </w:rPr>
        <w:t>产业用地高质量标准化出让，是在产业用地全生命周期管理</w:t>
      </w:r>
      <w:r>
        <w:rPr>
          <w:rFonts w:ascii="仿宋_GB2312" w:eastAsia="仿宋_GB2312" w:hAnsi="黑体" w:hint="eastAsia"/>
          <w:sz w:val="30"/>
          <w:szCs w:val="30"/>
        </w:rPr>
        <w:lastRenderedPageBreak/>
        <w:t>制度基础上，依据明确的产业发展定位和产业空间布局，通过强化产业绩效导向、落实高标准的产业准入，实行产业用地“按标准”出让。闵行区标准地出让参照《闵行区招商引资政策扶持审核平台、工业项目准入平台、商办用地研判平台运行管理办法》（闵府办发</w:t>
      </w:r>
      <w:r>
        <w:rPr>
          <w:rFonts w:ascii="仿宋_GB2312" w:eastAsia="仿宋_GB2312" w:hint="eastAsia"/>
          <w:sz w:val="30"/>
          <w:szCs w:val="30"/>
        </w:rPr>
        <w:t>【2016】81号</w:t>
      </w:r>
      <w:r>
        <w:rPr>
          <w:rFonts w:ascii="仿宋_GB2312" w:eastAsia="仿宋_GB2312" w:hAnsi="黑体" w:hint="eastAsia"/>
          <w:sz w:val="30"/>
          <w:szCs w:val="30"/>
        </w:rPr>
        <w:t>）中的准入标准及有关文件实行：</w:t>
      </w:r>
    </w:p>
    <w:p w:rsidR="00172408" w:rsidRDefault="00AA18A9">
      <w:pPr>
        <w:spacing w:line="560" w:lineRule="exact"/>
        <w:ind w:firstLine="555"/>
        <w:rPr>
          <w:rFonts w:ascii="仿宋_GB2312" w:eastAsia="仿宋_GB2312"/>
          <w:sz w:val="30"/>
          <w:szCs w:val="30"/>
        </w:rPr>
      </w:pPr>
      <w:r>
        <w:rPr>
          <w:rFonts w:ascii="仿宋_GB2312" w:eastAsia="仿宋_GB2312" w:hAnsi="黑体" w:hint="eastAsia"/>
          <w:sz w:val="30"/>
          <w:szCs w:val="30"/>
        </w:rPr>
        <w:t>1、工业用地：亩均税收80万元，亩均产值800万元，人均产值150万元，万元</w:t>
      </w:r>
      <w:r>
        <w:rPr>
          <w:rFonts w:ascii="仿宋_GB2312" w:eastAsia="仿宋_GB2312" w:hAnsi="Calibri" w:cs="Times New Roman" w:hint="eastAsia"/>
          <w:sz w:val="30"/>
          <w:szCs w:val="30"/>
        </w:rPr>
        <w:t>产值能耗</w:t>
      </w:r>
      <w:r>
        <w:rPr>
          <w:rFonts w:ascii="仿宋_GB2312" w:eastAsia="仿宋_GB2312" w:hint="eastAsia"/>
          <w:sz w:val="30"/>
          <w:szCs w:val="30"/>
        </w:rPr>
        <w:t>依据</w:t>
      </w:r>
      <w:r>
        <w:rPr>
          <w:rFonts w:ascii="仿宋_GB2312" w:eastAsia="仿宋_GB2312" w:hAnsi="Calibri" w:cs="Times New Roman" w:hint="eastAsia"/>
          <w:sz w:val="30"/>
          <w:szCs w:val="30"/>
        </w:rPr>
        <w:t>上海产业能效指南(2018年版)。</w:t>
      </w:r>
    </w:p>
    <w:p w:rsidR="00172408" w:rsidRDefault="00AA18A9">
      <w:pPr>
        <w:spacing w:line="560" w:lineRule="exact"/>
        <w:ind w:firstLine="555"/>
        <w:rPr>
          <w:rFonts w:ascii="仿宋_GB2312" w:eastAsia="仿宋_GB2312"/>
          <w:sz w:val="30"/>
          <w:szCs w:val="30"/>
        </w:rPr>
      </w:pPr>
      <w:r>
        <w:rPr>
          <w:rFonts w:ascii="仿宋_GB2312" w:eastAsia="仿宋_GB2312" w:hint="eastAsia"/>
          <w:sz w:val="30"/>
          <w:szCs w:val="30"/>
        </w:rPr>
        <w:t>2、研发用地：亩均税收150万元，亩均营业收入1500万元。</w:t>
      </w:r>
    </w:p>
    <w:p w:rsidR="00172408" w:rsidRDefault="00AA18A9">
      <w:pPr>
        <w:spacing w:line="560" w:lineRule="exact"/>
        <w:ind w:firstLine="555"/>
        <w:rPr>
          <w:rFonts w:ascii="仿宋_GB2312" w:eastAsia="仿宋_GB2312"/>
          <w:sz w:val="30"/>
          <w:szCs w:val="30"/>
        </w:rPr>
      </w:pPr>
      <w:r>
        <w:rPr>
          <w:rFonts w:ascii="仿宋_GB2312" w:eastAsia="仿宋_GB2312" w:hint="eastAsia"/>
          <w:sz w:val="30"/>
          <w:szCs w:val="30"/>
        </w:rPr>
        <w:t>3、产业项目要符合闵行区产业规划布局，出让地块的产业准入类型标准另行制定。</w:t>
      </w:r>
    </w:p>
    <w:p w:rsidR="00172408" w:rsidRDefault="00AA18A9">
      <w:pPr>
        <w:spacing w:line="560" w:lineRule="exact"/>
        <w:ind w:firstLine="555"/>
        <w:rPr>
          <w:rFonts w:ascii="黑体" w:eastAsia="黑体" w:hAnsi="黑体"/>
          <w:sz w:val="30"/>
          <w:szCs w:val="30"/>
        </w:rPr>
      </w:pPr>
      <w:r>
        <w:rPr>
          <w:rFonts w:ascii="黑体" w:eastAsia="黑体" w:hAnsi="黑体" w:hint="eastAsia"/>
          <w:sz w:val="30"/>
          <w:szCs w:val="30"/>
        </w:rPr>
        <w:t>五、地价与绩效挂钩</w:t>
      </w:r>
    </w:p>
    <w:p w:rsidR="00172408" w:rsidRDefault="00AA18A9">
      <w:pPr>
        <w:spacing w:line="560" w:lineRule="exact"/>
        <w:ind w:firstLine="555"/>
        <w:rPr>
          <w:rFonts w:ascii="仿宋_GB2312" w:eastAsia="仿宋_GB2312" w:hAnsi="黑体"/>
          <w:sz w:val="30"/>
          <w:szCs w:val="30"/>
        </w:rPr>
      </w:pPr>
      <w:r>
        <w:rPr>
          <w:rFonts w:ascii="仿宋_GB2312" w:eastAsia="仿宋_GB2312" w:hAnsi="黑体" w:hint="eastAsia"/>
          <w:sz w:val="30"/>
          <w:szCs w:val="30"/>
        </w:rPr>
        <w:t>为进一步优化营商环境，切实降低产业用地成本，针对新出让产业用地和存量提高容积率产业用地，实行地价与绩效联动。产业用地土地价款，经区政府集体决策，可按照分期方式缴纳，或在项目竣工后不动产登记前缴纳，最长时间不超过两年，具体如下：</w:t>
      </w:r>
    </w:p>
    <w:p w:rsidR="00172408" w:rsidRDefault="00AA18A9">
      <w:pPr>
        <w:spacing w:line="560" w:lineRule="exact"/>
        <w:ind w:firstLine="555"/>
        <w:rPr>
          <w:rFonts w:ascii="仿宋_GB2312" w:eastAsia="仿宋_GB2312" w:hAnsi="黑体"/>
          <w:sz w:val="30"/>
          <w:szCs w:val="30"/>
        </w:rPr>
      </w:pPr>
      <w:r>
        <w:rPr>
          <w:rFonts w:ascii="仿宋_GB2312" w:eastAsia="仿宋_GB2312" w:hAnsi="黑体" w:hint="eastAsia"/>
          <w:b/>
          <w:sz w:val="30"/>
          <w:szCs w:val="30"/>
        </w:rPr>
        <w:t>（一）新出让产业用地：</w:t>
      </w:r>
      <w:r>
        <w:rPr>
          <w:rFonts w:ascii="仿宋_GB2312" w:eastAsia="仿宋_GB2312" w:hAnsi="黑体" w:hint="eastAsia"/>
          <w:sz w:val="30"/>
          <w:szCs w:val="30"/>
        </w:rPr>
        <w:t>符合《闵行区招商引资政策扶持审核平台、工业项目准入平台、商办用地研判平台运行管理办法》（闵府办发</w:t>
      </w:r>
      <w:r>
        <w:rPr>
          <w:rFonts w:ascii="仿宋_GB2312" w:eastAsia="仿宋_GB2312" w:hint="eastAsia"/>
          <w:sz w:val="30"/>
          <w:szCs w:val="30"/>
        </w:rPr>
        <w:t>【2016】81号</w:t>
      </w:r>
      <w:r>
        <w:rPr>
          <w:rFonts w:ascii="仿宋_GB2312" w:eastAsia="仿宋_GB2312" w:hAnsi="黑体" w:hint="eastAsia"/>
          <w:sz w:val="30"/>
          <w:szCs w:val="30"/>
        </w:rPr>
        <w:t>）的新增用地标准，并经“三委一局”联合评审通过后，根据产业项目的绩效，按同比例降低地价原则，确定土地价款的收取比例</w:t>
      </w:r>
      <w:r w:rsidR="00B50998">
        <w:rPr>
          <w:rFonts w:ascii="仿宋_GB2312" w:eastAsia="仿宋_GB2312" w:hAnsi="黑体" w:hint="eastAsia"/>
          <w:sz w:val="30"/>
          <w:szCs w:val="30"/>
        </w:rPr>
        <w:t>等，并纳入评审意见书。之后</w:t>
      </w:r>
      <w:r>
        <w:rPr>
          <w:rFonts w:ascii="仿宋_GB2312" w:eastAsia="仿宋_GB2312" w:hAnsi="黑体" w:hint="eastAsia"/>
          <w:sz w:val="30"/>
          <w:szCs w:val="30"/>
        </w:rPr>
        <w:t>由区规划资源局按地价评估结果拟定出让方案报区政府审批。但产业项目类工业用地、标准厂房类工业用地不得低于全国工业用地最低价标准，产业项目类研发用地、通用类研发用地不得低于工业用地</w:t>
      </w:r>
      <w:r>
        <w:rPr>
          <w:rFonts w:ascii="仿宋_GB2312" w:eastAsia="仿宋_GB2312" w:hAnsi="黑体" w:hint="eastAsia"/>
          <w:sz w:val="30"/>
          <w:szCs w:val="30"/>
        </w:rPr>
        <w:lastRenderedPageBreak/>
        <w:t>基准地价的150%或办公用地基准地价的20—50%。具体比例如下：</w:t>
      </w:r>
    </w:p>
    <w:p w:rsidR="00172408" w:rsidRDefault="00AA18A9">
      <w:pPr>
        <w:spacing w:line="560" w:lineRule="exact"/>
        <w:ind w:firstLine="555"/>
        <w:rPr>
          <w:rFonts w:ascii="仿宋_GB2312" w:eastAsia="仿宋_GB2312" w:hAnsi="仿宋_GB2312"/>
          <w:sz w:val="30"/>
          <w:szCs w:val="30"/>
        </w:rPr>
      </w:pPr>
      <w:r>
        <w:rPr>
          <w:rFonts w:ascii="仿宋_GB2312" w:eastAsia="仿宋_GB2312" w:hAnsi="黑体" w:hint="eastAsia"/>
          <w:sz w:val="30"/>
          <w:szCs w:val="30"/>
        </w:rPr>
        <w:t>出让起始价=Y</w:t>
      </w:r>
      <w:r>
        <w:rPr>
          <w:rFonts w:ascii="仿宋_GB2312" w:eastAsia="仿宋_GB2312" w:hAnsi="仿宋_GB2312" w:hint="eastAsia"/>
          <w:sz w:val="30"/>
          <w:szCs w:val="30"/>
        </w:rPr>
        <w:t>*（1-X）。其中Y为市场评估地价，X为（项目综合评价得分-标准分数）/标准分数。标准分数为100分。</w:t>
      </w:r>
    </w:p>
    <w:p w:rsidR="00172408" w:rsidRDefault="00AA18A9">
      <w:pPr>
        <w:spacing w:line="560" w:lineRule="exact"/>
        <w:ind w:firstLine="555"/>
        <w:rPr>
          <w:rFonts w:ascii="仿宋_GB2312" w:eastAsia="仿宋_GB2312" w:hAnsi="仿宋_GB2312"/>
          <w:b/>
          <w:sz w:val="30"/>
          <w:szCs w:val="30"/>
        </w:rPr>
      </w:pPr>
      <w:r>
        <w:rPr>
          <w:rFonts w:ascii="仿宋_GB2312" w:eastAsia="仿宋_GB2312" w:hAnsi="仿宋_GB2312" w:hint="eastAsia"/>
          <w:b/>
          <w:sz w:val="30"/>
          <w:szCs w:val="30"/>
        </w:rPr>
        <w:t>综合评价得分如下：</w:t>
      </w:r>
    </w:p>
    <w:p w:rsidR="00172408" w:rsidRDefault="00AA18A9">
      <w:pPr>
        <w:pStyle w:val="a3"/>
        <w:spacing w:before="0"/>
        <w:ind w:leftChars="53" w:firstLineChars="150" w:firstLine="450"/>
        <w:rPr>
          <w:rFonts w:hAnsi="宋体" w:cs="宋体"/>
          <w:lang w:eastAsia="zh-CN"/>
        </w:rPr>
      </w:pPr>
      <w:r>
        <w:rPr>
          <w:rFonts w:hAnsi="黑体" w:cs="黑体" w:hint="eastAsia"/>
          <w:lang w:eastAsia="zh-CN"/>
        </w:rPr>
        <w:t>1、基础指标及权重</w:t>
      </w:r>
    </w:p>
    <w:p w:rsidR="00172408" w:rsidRDefault="00AA18A9">
      <w:pPr>
        <w:pStyle w:val="a3"/>
        <w:spacing w:before="53" w:line="319" w:lineRule="auto"/>
        <w:ind w:leftChars="53" w:firstLineChars="150" w:firstLine="450"/>
        <w:rPr>
          <w:lang w:eastAsia="zh-CN"/>
        </w:rPr>
      </w:pPr>
      <w:r>
        <w:rPr>
          <w:rFonts w:hint="eastAsia"/>
          <w:lang w:eastAsia="zh-CN"/>
        </w:rPr>
        <w:t>（1）工业用地：</w:t>
      </w:r>
      <w:r>
        <w:rPr>
          <w:rFonts w:cs="Times New Roman" w:hint="eastAsia"/>
          <w:lang w:eastAsia="zh-CN"/>
        </w:rPr>
        <w:t>亩均税收50</w:t>
      </w:r>
      <w:r>
        <w:rPr>
          <w:rFonts w:hAnsi="Calibri" w:cs="Times New Roman" w:hint="eastAsia"/>
          <w:lang w:eastAsia="zh-CN"/>
        </w:rPr>
        <w:t>分</w:t>
      </w:r>
      <w:r>
        <w:rPr>
          <w:rFonts w:cs="Times New Roman" w:hint="eastAsia"/>
          <w:lang w:eastAsia="zh-CN"/>
        </w:rPr>
        <w:t>、亩均产值</w:t>
      </w:r>
      <w:r>
        <w:rPr>
          <w:rFonts w:hint="eastAsia"/>
          <w:lang w:eastAsia="zh-CN"/>
        </w:rPr>
        <w:t>30</w:t>
      </w:r>
      <w:r>
        <w:rPr>
          <w:rFonts w:hAnsi="Calibri" w:cs="Times New Roman" w:hint="eastAsia"/>
          <w:lang w:eastAsia="zh-CN"/>
        </w:rPr>
        <w:t>分</w:t>
      </w:r>
      <w:r>
        <w:rPr>
          <w:rFonts w:cs="Times New Roman" w:hint="eastAsia"/>
          <w:lang w:eastAsia="zh-CN"/>
        </w:rPr>
        <w:t>、万元产值能耗10</w:t>
      </w:r>
      <w:r>
        <w:rPr>
          <w:rFonts w:hAnsi="Calibri" w:cs="Times New Roman" w:hint="eastAsia"/>
          <w:lang w:eastAsia="zh-CN"/>
        </w:rPr>
        <w:t>分</w:t>
      </w:r>
      <w:r>
        <w:rPr>
          <w:rFonts w:hint="eastAsia"/>
          <w:lang w:eastAsia="zh-CN"/>
        </w:rPr>
        <w:t>、</w:t>
      </w:r>
      <w:r>
        <w:rPr>
          <w:rFonts w:cs="Times New Roman" w:hint="eastAsia"/>
          <w:lang w:eastAsia="zh-CN"/>
        </w:rPr>
        <w:t>人均产值10</w:t>
      </w:r>
      <w:r>
        <w:rPr>
          <w:rFonts w:hAnsi="Calibri" w:cs="Times New Roman" w:hint="eastAsia"/>
          <w:lang w:eastAsia="zh-CN"/>
        </w:rPr>
        <w:t>分</w:t>
      </w:r>
      <w:r>
        <w:rPr>
          <w:rFonts w:cs="Times New Roman" w:hint="eastAsia"/>
          <w:lang w:eastAsia="zh-CN"/>
        </w:rPr>
        <w:t>，总</w:t>
      </w:r>
      <w:r>
        <w:rPr>
          <w:rFonts w:hAnsi="Calibri" w:cs="Times New Roman" w:hint="eastAsia"/>
          <w:lang w:eastAsia="zh-CN"/>
        </w:rPr>
        <w:t>分</w:t>
      </w:r>
      <w:r>
        <w:rPr>
          <w:rFonts w:cs="Times New Roman" w:hint="eastAsia"/>
          <w:lang w:eastAsia="zh-CN"/>
        </w:rPr>
        <w:t>100</w:t>
      </w:r>
      <w:r>
        <w:rPr>
          <w:rFonts w:hAnsi="Calibri" w:cs="Times New Roman" w:hint="eastAsia"/>
          <w:lang w:eastAsia="zh-CN"/>
        </w:rPr>
        <w:t>分</w:t>
      </w:r>
      <w:r>
        <w:rPr>
          <w:rFonts w:cs="Times New Roman" w:hint="eastAsia"/>
          <w:lang w:eastAsia="zh-CN"/>
        </w:rPr>
        <w:t>。</w:t>
      </w:r>
    </w:p>
    <w:p w:rsidR="00172408" w:rsidRDefault="00AA18A9">
      <w:pPr>
        <w:pStyle w:val="a3"/>
        <w:spacing w:before="53" w:line="319" w:lineRule="auto"/>
        <w:ind w:leftChars="53" w:firstLineChars="150" w:firstLine="450"/>
        <w:rPr>
          <w:rFonts w:cs="Times New Roman"/>
          <w:lang w:eastAsia="zh-CN"/>
        </w:rPr>
      </w:pPr>
      <w:r>
        <w:rPr>
          <w:rFonts w:hint="eastAsia"/>
          <w:lang w:eastAsia="zh-CN"/>
        </w:rPr>
        <w:t>（2）研发用地：亩均税收50分、亩均营业收入50分，总分100分。</w:t>
      </w:r>
    </w:p>
    <w:p w:rsidR="00172408" w:rsidRDefault="00AA18A9">
      <w:pPr>
        <w:pStyle w:val="a3"/>
        <w:spacing w:before="0"/>
        <w:ind w:left="752"/>
        <w:rPr>
          <w:rFonts w:hAnsi="黑体" w:cs="黑体"/>
          <w:lang w:eastAsia="zh-CN"/>
        </w:rPr>
      </w:pPr>
      <w:r>
        <w:rPr>
          <w:rFonts w:hAnsi="黑体" w:cs="黑体" w:hint="eastAsia"/>
          <w:lang w:eastAsia="zh-CN"/>
        </w:rPr>
        <w:t>2、指标基准值</w:t>
      </w:r>
    </w:p>
    <w:p w:rsidR="00172408" w:rsidRDefault="00AA18A9">
      <w:pPr>
        <w:pStyle w:val="a3"/>
        <w:spacing w:before="53" w:line="319" w:lineRule="auto"/>
        <w:ind w:leftChars="53" w:firstLineChars="150" w:firstLine="450"/>
        <w:rPr>
          <w:lang w:eastAsia="zh-CN"/>
        </w:rPr>
      </w:pPr>
      <w:r>
        <w:rPr>
          <w:rFonts w:hint="eastAsia"/>
          <w:lang w:eastAsia="zh-CN"/>
        </w:rPr>
        <w:t>（1）工业用地：</w:t>
      </w:r>
      <w:r>
        <w:rPr>
          <w:rFonts w:cs="Times New Roman" w:hint="eastAsia"/>
          <w:lang w:eastAsia="zh-CN"/>
        </w:rPr>
        <w:t>亩均税收</w:t>
      </w:r>
      <w:r>
        <w:rPr>
          <w:rFonts w:hint="eastAsia"/>
          <w:lang w:eastAsia="zh-CN"/>
        </w:rPr>
        <w:t>80</w:t>
      </w:r>
      <w:r>
        <w:rPr>
          <w:rFonts w:cs="Times New Roman" w:hint="eastAsia"/>
          <w:lang w:eastAsia="zh-CN"/>
        </w:rPr>
        <w:t>万元</w:t>
      </w:r>
      <w:r>
        <w:rPr>
          <w:rFonts w:hint="eastAsia"/>
          <w:lang w:eastAsia="zh-CN"/>
        </w:rPr>
        <w:t>、</w:t>
      </w:r>
      <w:r>
        <w:rPr>
          <w:rFonts w:cs="Times New Roman" w:hint="eastAsia"/>
          <w:lang w:eastAsia="zh-CN"/>
        </w:rPr>
        <w:t>亩均产值</w:t>
      </w:r>
      <w:r>
        <w:rPr>
          <w:rFonts w:hint="eastAsia"/>
          <w:lang w:eastAsia="zh-CN"/>
        </w:rPr>
        <w:t>800</w:t>
      </w:r>
      <w:r>
        <w:rPr>
          <w:rFonts w:cs="Times New Roman" w:hint="eastAsia"/>
          <w:lang w:eastAsia="zh-CN"/>
        </w:rPr>
        <w:t>万元</w:t>
      </w:r>
      <w:r>
        <w:rPr>
          <w:rFonts w:hint="eastAsia"/>
          <w:lang w:eastAsia="zh-CN"/>
        </w:rPr>
        <w:t>、</w:t>
      </w:r>
      <w:r>
        <w:rPr>
          <w:rFonts w:cs="Times New Roman" w:hint="eastAsia"/>
          <w:lang w:eastAsia="zh-CN"/>
        </w:rPr>
        <w:t>万元产值能耗以上海产业能效指南(201</w:t>
      </w:r>
      <w:r>
        <w:rPr>
          <w:rFonts w:cs="Times New Roman"/>
          <w:lang w:eastAsia="zh-CN"/>
        </w:rPr>
        <w:t>8</w:t>
      </w:r>
      <w:r>
        <w:rPr>
          <w:rFonts w:cs="Times New Roman" w:hint="eastAsia"/>
          <w:lang w:eastAsia="zh-CN"/>
        </w:rPr>
        <w:t>年版)为基准值</w:t>
      </w:r>
      <w:r>
        <w:rPr>
          <w:rFonts w:hint="eastAsia"/>
          <w:lang w:eastAsia="zh-CN"/>
        </w:rPr>
        <w:t>、</w:t>
      </w:r>
      <w:r>
        <w:rPr>
          <w:rFonts w:cs="Times New Roman" w:hint="eastAsia"/>
          <w:lang w:eastAsia="zh-CN"/>
        </w:rPr>
        <w:t>人均产值</w:t>
      </w:r>
      <w:r>
        <w:rPr>
          <w:rFonts w:cs="Times New Roman"/>
          <w:lang w:eastAsia="zh-CN"/>
        </w:rPr>
        <w:t>150</w:t>
      </w:r>
      <w:r>
        <w:rPr>
          <w:rFonts w:cs="Times New Roman" w:hint="eastAsia"/>
          <w:lang w:eastAsia="zh-CN"/>
        </w:rPr>
        <w:t>万元/人。</w:t>
      </w:r>
    </w:p>
    <w:p w:rsidR="00172408" w:rsidRDefault="00AA18A9">
      <w:pPr>
        <w:pStyle w:val="a3"/>
        <w:spacing w:before="53" w:line="319" w:lineRule="auto"/>
        <w:ind w:leftChars="53" w:firstLineChars="150" w:firstLine="450"/>
        <w:rPr>
          <w:rFonts w:cs="Times New Roman"/>
          <w:lang w:eastAsia="zh-CN"/>
        </w:rPr>
      </w:pPr>
      <w:r>
        <w:rPr>
          <w:rFonts w:hint="eastAsia"/>
          <w:lang w:eastAsia="zh-CN"/>
        </w:rPr>
        <w:t>（2）研发用地：亩均税收150万元、亩均营业收入1500万元。</w:t>
      </w:r>
    </w:p>
    <w:p w:rsidR="00172408" w:rsidRDefault="00AA18A9">
      <w:pPr>
        <w:pStyle w:val="a3"/>
        <w:spacing w:before="0"/>
        <w:ind w:left="752"/>
        <w:rPr>
          <w:rFonts w:hAnsi="黑体" w:cs="黑体"/>
          <w:lang w:eastAsia="zh-CN"/>
        </w:rPr>
      </w:pPr>
      <w:r>
        <w:rPr>
          <w:rFonts w:hAnsi="黑体" w:cs="黑体" w:hint="eastAsia"/>
          <w:lang w:eastAsia="zh-CN"/>
        </w:rPr>
        <w:t>3、计算方法</w:t>
      </w:r>
    </w:p>
    <w:p w:rsidR="00172408" w:rsidRDefault="00AA18A9">
      <w:pPr>
        <w:pStyle w:val="a3"/>
        <w:spacing w:before="53" w:line="319" w:lineRule="auto"/>
        <w:ind w:firstLine="640"/>
        <w:rPr>
          <w:lang w:eastAsia="zh-CN"/>
        </w:rPr>
      </w:pPr>
      <w:r>
        <w:rPr>
          <w:rFonts w:cs="Times New Roman" w:hint="eastAsia"/>
          <w:lang w:eastAsia="zh-CN"/>
        </w:rPr>
        <w:t>亩均税收</w:t>
      </w:r>
      <w:r>
        <w:rPr>
          <w:rFonts w:hint="eastAsia"/>
          <w:lang w:eastAsia="zh-CN"/>
        </w:rPr>
        <w:t>、</w:t>
      </w:r>
      <w:r>
        <w:rPr>
          <w:rFonts w:cs="Times New Roman" w:hint="eastAsia"/>
          <w:lang w:eastAsia="zh-CN"/>
        </w:rPr>
        <w:t>亩均产值（营业收入）</w:t>
      </w:r>
      <w:r>
        <w:rPr>
          <w:rFonts w:hint="eastAsia"/>
          <w:lang w:eastAsia="zh-CN"/>
        </w:rPr>
        <w:t>、</w:t>
      </w:r>
      <w:r>
        <w:rPr>
          <w:rFonts w:cs="Times New Roman"/>
          <w:lang w:eastAsia="zh-CN"/>
        </w:rPr>
        <w:t>人均产值</w:t>
      </w:r>
      <w:r>
        <w:rPr>
          <w:rFonts w:cs="Times New Roman" w:hint="eastAsia"/>
          <w:lang w:eastAsia="zh-CN"/>
        </w:rPr>
        <w:t>计分公式:指标值/基准值x权重。</w:t>
      </w:r>
      <w:r>
        <w:rPr>
          <w:rFonts w:cs="Times New Roman"/>
          <w:lang w:eastAsia="zh-CN"/>
        </w:rPr>
        <w:t>万元产值能耗计分公式:基准值/指标值x权重</w:t>
      </w:r>
      <w:r>
        <w:rPr>
          <w:rFonts w:cs="Times New Roman" w:hint="eastAsia"/>
          <w:lang w:eastAsia="zh-CN"/>
        </w:rPr>
        <w:t>。</w:t>
      </w:r>
    </w:p>
    <w:p w:rsidR="00172408" w:rsidRDefault="00AA18A9">
      <w:pPr>
        <w:pStyle w:val="a3"/>
        <w:spacing w:before="53" w:line="319" w:lineRule="auto"/>
        <w:ind w:firstLine="640"/>
        <w:rPr>
          <w:rFonts w:hAnsi="黑体" w:cs="黑体"/>
          <w:lang w:eastAsia="zh-CN"/>
        </w:rPr>
      </w:pPr>
      <w:r>
        <w:rPr>
          <w:rFonts w:hAnsi="黑体" w:cs="黑体" w:hint="eastAsia"/>
          <w:lang w:eastAsia="zh-CN"/>
        </w:rPr>
        <w:t>4、企业得分计算</w:t>
      </w:r>
    </w:p>
    <w:p w:rsidR="00172408" w:rsidRDefault="00AA18A9">
      <w:pPr>
        <w:pStyle w:val="a3"/>
        <w:spacing w:before="53" w:line="319" w:lineRule="auto"/>
        <w:ind w:firstLine="640"/>
        <w:rPr>
          <w:rFonts w:cs="Times New Roman"/>
          <w:lang w:eastAsia="zh-CN"/>
        </w:rPr>
      </w:pPr>
      <w:r>
        <w:rPr>
          <w:rFonts w:cs="Times New Roman"/>
          <w:lang w:eastAsia="zh-CN"/>
        </w:rPr>
        <w:t>企业得分为每项指标数据得分之和。单项指标得分最高得分不超过该项权数的2倍，</w:t>
      </w:r>
      <w:r w:rsidR="000005B5">
        <w:rPr>
          <w:rFonts w:cs="Times New Roman" w:hint="eastAsia"/>
          <w:lang w:eastAsia="zh-CN"/>
        </w:rPr>
        <w:t>得分上限200分，下限</w:t>
      </w:r>
      <w:r>
        <w:rPr>
          <w:rFonts w:cs="Times New Roman"/>
          <w:lang w:eastAsia="zh-CN"/>
        </w:rPr>
        <w:t>为零分。企</w:t>
      </w:r>
      <w:r>
        <w:rPr>
          <w:rFonts w:cs="Times New Roman"/>
          <w:lang w:eastAsia="zh-CN"/>
        </w:rPr>
        <w:lastRenderedPageBreak/>
        <w:t>业某项指标为负值或空缺的，该项得分为零。</w:t>
      </w:r>
    </w:p>
    <w:p w:rsidR="00172408" w:rsidRDefault="00AA18A9">
      <w:pPr>
        <w:pStyle w:val="a3"/>
        <w:spacing w:before="53" w:line="319" w:lineRule="auto"/>
        <w:ind w:firstLine="640"/>
        <w:rPr>
          <w:rFonts w:hAnsi="黑体" w:cs="黑体"/>
          <w:lang w:eastAsia="zh-CN"/>
        </w:rPr>
      </w:pPr>
      <w:r>
        <w:rPr>
          <w:rFonts w:hAnsi="黑体" w:cs="黑体" w:hint="eastAsia"/>
          <w:lang w:eastAsia="zh-CN"/>
        </w:rPr>
        <w:t>5、加分项目</w:t>
      </w:r>
    </w:p>
    <w:p w:rsidR="00172408" w:rsidRDefault="00AA18A9">
      <w:pPr>
        <w:pStyle w:val="a3"/>
        <w:spacing w:before="53" w:line="319" w:lineRule="auto"/>
        <w:ind w:leftChars="53" w:firstLineChars="150" w:firstLine="450"/>
        <w:rPr>
          <w:rFonts w:cs="Times New Roman"/>
          <w:lang w:eastAsia="zh-CN"/>
        </w:rPr>
      </w:pPr>
      <w:r>
        <w:rPr>
          <w:rFonts w:cs="Times New Roman" w:hint="eastAsia"/>
          <w:lang w:eastAsia="zh-CN"/>
        </w:rPr>
        <w:t>（1）</w:t>
      </w:r>
      <w:r>
        <w:rPr>
          <w:rFonts w:cs="Times New Roman"/>
          <w:lang w:eastAsia="zh-CN"/>
        </w:rPr>
        <w:t>经有关部门认定的国家级品牌、研发机构等称号企业</w:t>
      </w:r>
      <w:r>
        <w:rPr>
          <w:rFonts w:cs="Times New Roman" w:hint="eastAsia"/>
          <w:lang w:eastAsia="zh-CN"/>
        </w:rPr>
        <w:t>、主板、中小板、创业板及科创板上市的企业</w:t>
      </w:r>
      <w:r>
        <w:rPr>
          <w:rFonts w:cs="Times New Roman"/>
          <w:lang w:eastAsia="zh-CN"/>
        </w:rPr>
        <w:t>，在原评分结果的基础上每获得一项加5分;</w:t>
      </w:r>
    </w:p>
    <w:p w:rsidR="00172408" w:rsidRDefault="00AA18A9">
      <w:pPr>
        <w:pStyle w:val="a3"/>
        <w:spacing w:before="53" w:line="319" w:lineRule="auto"/>
        <w:ind w:leftChars="53" w:firstLineChars="150" w:firstLine="450"/>
        <w:rPr>
          <w:rFonts w:cs="Times New Roman"/>
          <w:lang w:eastAsia="zh-CN"/>
        </w:rPr>
      </w:pPr>
      <w:r>
        <w:rPr>
          <w:rFonts w:cs="Times New Roman" w:hint="eastAsia"/>
          <w:lang w:eastAsia="zh-CN"/>
        </w:rPr>
        <w:t>（2）</w:t>
      </w:r>
      <w:r>
        <w:rPr>
          <w:rFonts w:ascii="Calibri" w:hAnsi="Calibri" w:cs="Calibri"/>
          <w:lang w:eastAsia="zh-CN"/>
        </w:rPr>
        <w:t> </w:t>
      </w:r>
      <w:r>
        <w:rPr>
          <w:rFonts w:cs="Times New Roman"/>
          <w:lang w:eastAsia="zh-CN"/>
        </w:rPr>
        <w:t>获得市质量金奖，在原评分结果的基础上加5分;</w:t>
      </w:r>
      <w:r>
        <w:rPr>
          <w:rFonts w:cs="Times New Roman"/>
          <w:lang w:eastAsia="zh-CN"/>
        </w:rPr>
        <w:br/>
        <w:t>获得区长质量奖企业，在原评分结果的基础上加3分;</w:t>
      </w:r>
      <w:r>
        <w:rPr>
          <w:rFonts w:ascii="Calibri" w:hAnsi="Calibri" w:cs="Calibri"/>
          <w:lang w:eastAsia="zh-CN"/>
        </w:rPr>
        <w:t>  </w:t>
      </w:r>
      <w:r>
        <w:rPr>
          <w:rFonts w:cs="Times New Roman"/>
          <w:lang w:eastAsia="zh-CN"/>
        </w:rPr>
        <w:t>获得区长质量提名奖企业，在原评分结果的基础上加1分;</w:t>
      </w:r>
    </w:p>
    <w:p w:rsidR="00172408" w:rsidRDefault="00AA18A9">
      <w:pPr>
        <w:pStyle w:val="a3"/>
        <w:spacing w:before="53" w:line="319" w:lineRule="auto"/>
        <w:ind w:leftChars="53" w:firstLineChars="150" w:firstLine="450"/>
        <w:rPr>
          <w:rFonts w:cs="Times New Roman"/>
          <w:lang w:eastAsia="zh-CN"/>
        </w:rPr>
      </w:pPr>
      <w:r>
        <w:rPr>
          <w:rFonts w:cs="Times New Roman" w:hint="eastAsia"/>
          <w:lang w:eastAsia="zh-CN"/>
        </w:rPr>
        <w:t>（3）</w:t>
      </w:r>
      <w:r>
        <w:rPr>
          <w:rFonts w:cs="Times New Roman"/>
          <w:lang w:eastAsia="zh-CN"/>
        </w:rPr>
        <w:t>经有关部门认定的市级品牌、研发机构等称号企业，在原评分结果的基础上每获得一项加3分;</w:t>
      </w:r>
    </w:p>
    <w:p w:rsidR="00172408" w:rsidRDefault="00AA18A9">
      <w:pPr>
        <w:pStyle w:val="a3"/>
        <w:spacing w:before="53" w:line="319" w:lineRule="auto"/>
        <w:ind w:leftChars="53" w:firstLineChars="150" w:firstLine="450"/>
        <w:rPr>
          <w:rFonts w:cs="Times New Roman"/>
          <w:lang w:eastAsia="zh-CN"/>
        </w:rPr>
      </w:pPr>
      <w:r>
        <w:rPr>
          <w:rFonts w:cs="Times New Roman" w:hint="eastAsia"/>
          <w:lang w:eastAsia="zh-CN"/>
        </w:rPr>
        <w:t>（4）</w:t>
      </w:r>
      <w:r>
        <w:rPr>
          <w:rFonts w:cs="Times New Roman"/>
          <w:lang w:eastAsia="zh-CN"/>
        </w:rPr>
        <w:t>新三板挂牌</w:t>
      </w:r>
      <w:r w:rsidR="0086173E">
        <w:rPr>
          <w:rFonts w:cs="Times New Roman" w:hint="eastAsia"/>
          <w:lang w:eastAsia="zh-CN"/>
        </w:rPr>
        <w:t>的</w:t>
      </w:r>
      <w:r>
        <w:rPr>
          <w:rFonts w:cs="Times New Roman"/>
          <w:lang w:eastAsia="zh-CN"/>
        </w:rPr>
        <w:t>企业</w:t>
      </w:r>
      <w:r w:rsidR="0086173E">
        <w:rPr>
          <w:rFonts w:cs="Times New Roman" w:hint="eastAsia"/>
          <w:lang w:eastAsia="zh-CN"/>
        </w:rPr>
        <w:t>，</w:t>
      </w:r>
      <w:r>
        <w:rPr>
          <w:rFonts w:cs="Times New Roman"/>
          <w:lang w:eastAsia="zh-CN"/>
        </w:rPr>
        <w:t>在原评分结果的基础上加2分;</w:t>
      </w:r>
    </w:p>
    <w:p w:rsidR="00172408" w:rsidRDefault="00AA18A9">
      <w:pPr>
        <w:pStyle w:val="a3"/>
        <w:spacing w:before="53" w:line="319" w:lineRule="auto"/>
        <w:ind w:leftChars="53" w:firstLineChars="150" w:firstLine="450"/>
        <w:rPr>
          <w:rFonts w:cs="Times New Roman"/>
          <w:lang w:eastAsia="zh-CN"/>
        </w:rPr>
      </w:pPr>
      <w:r>
        <w:rPr>
          <w:rFonts w:cs="Times New Roman" w:hint="eastAsia"/>
          <w:lang w:eastAsia="zh-CN"/>
        </w:rPr>
        <w:t>（5）</w:t>
      </w:r>
      <w:r>
        <w:rPr>
          <w:rFonts w:cs="Times New Roman"/>
          <w:lang w:eastAsia="zh-CN"/>
        </w:rPr>
        <w:t>属于《战略性新兴产业重点产品和</w:t>
      </w:r>
      <w:bookmarkStart w:id="0" w:name="_GoBack"/>
      <w:bookmarkEnd w:id="0"/>
      <w:r>
        <w:rPr>
          <w:rFonts w:cs="Times New Roman"/>
          <w:lang w:eastAsia="zh-CN"/>
        </w:rPr>
        <w:t>服务指导目录》的企业，在原评分结果的基础上加1分。</w:t>
      </w:r>
    </w:p>
    <w:p w:rsidR="00172408" w:rsidRDefault="00AA18A9">
      <w:pPr>
        <w:ind w:firstLine="555"/>
        <w:rPr>
          <w:rFonts w:ascii="仿宋_GB2312" w:eastAsia="仿宋_GB2312"/>
          <w:b/>
          <w:sz w:val="30"/>
          <w:szCs w:val="30"/>
        </w:rPr>
      </w:pPr>
      <w:r>
        <w:rPr>
          <w:rFonts w:ascii="仿宋_GB2312" w:eastAsia="仿宋_GB2312" w:hint="eastAsia"/>
          <w:b/>
          <w:sz w:val="30"/>
          <w:szCs w:val="30"/>
        </w:rPr>
        <w:t>（二）</w:t>
      </w:r>
      <w:r>
        <w:rPr>
          <w:rFonts w:ascii="仿宋_GB2312" w:eastAsia="仿宋_GB2312" w:hAnsi="黑体" w:hint="eastAsia"/>
          <w:b/>
          <w:sz w:val="30"/>
          <w:szCs w:val="30"/>
        </w:rPr>
        <w:t>存量提高容积率产业用地：</w:t>
      </w:r>
      <w:r>
        <w:rPr>
          <w:rFonts w:ascii="仿宋_GB2312" w:eastAsia="仿宋_GB2312" w:hAnsi="黑体" w:hint="eastAsia"/>
          <w:sz w:val="30"/>
          <w:szCs w:val="30"/>
        </w:rPr>
        <w:t>符合《闵行区招商引资政策扶持审核平台、工业项目准入平台、商办用地研判平台运行管理办法》（闵府办发</w:t>
      </w:r>
      <w:r>
        <w:rPr>
          <w:rFonts w:ascii="仿宋_GB2312" w:eastAsia="仿宋_GB2312" w:hint="eastAsia"/>
          <w:sz w:val="30"/>
          <w:szCs w:val="30"/>
        </w:rPr>
        <w:t>【2016】81号</w:t>
      </w:r>
      <w:r>
        <w:rPr>
          <w:rFonts w:ascii="仿宋_GB2312" w:eastAsia="仿宋_GB2312" w:hAnsi="黑体" w:hint="eastAsia"/>
          <w:sz w:val="30"/>
          <w:szCs w:val="30"/>
        </w:rPr>
        <w:t>）能级提升类标准的“四新”经济、战略性新兴产业、生产性服务业等企业，并经“三委二局”联合评审通过后，由区规划资源局依据</w:t>
      </w:r>
      <w:r w:rsidR="00B50998">
        <w:rPr>
          <w:rFonts w:ascii="仿宋_GB2312" w:eastAsia="仿宋_GB2312" w:hAnsi="黑体" w:hint="eastAsia"/>
          <w:sz w:val="30"/>
          <w:szCs w:val="30"/>
        </w:rPr>
        <w:t>评审意见书中的</w:t>
      </w:r>
      <w:r>
        <w:rPr>
          <w:rFonts w:ascii="仿宋_GB2312" w:eastAsia="仿宋_GB2312" w:hAnsi="黑体" w:hint="eastAsia"/>
          <w:sz w:val="30"/>
          <w:szCs w:val="30"/>
        </w:rPr>
        <w:t>减免意见拟定补缴出让金方案报区政府审批。</w:t>
      </w:r>
      <w:r w:rsidR="007F6B8A">
        <w:rPr>
          <w:rFonts w:ascii="仿宋_GB2312" w:eastAsia="仿宋_GB2312" w:hAnsi="黑体" w:hint="eastAsia"/>
          <w:sz w:val="30"/>
          <w:szCs w:val="30"/>
        </w:rPr>
        <w:t>鼓励产业用地开发利用地下空间，地上地下</w:t>
      </w:r>
      <w:r>
        <w:rPr>
          <w:rFonts w:ascii="仿宋_GB2312" w:eastAsia="仿宋_GB2312" w:hAnsi="黑体" w:hint="eastAsia"/>
          <w:sz w:val="30"/>
          <w:szCs w:val="30"/>
        </w:rPr>
        <w:t>减免比例参照新出让产业用地减免比例</w:t>
      </w:r>
      <w:r>
        <w:rPr>
          <w:rFonts w:ascii="仿宋_GB2312" w:eastAsia="仿宋_GB2312" w:hAnsi="黑体" w:hint="eastAsia"/>
          <w:b/>
          <w:sz w:val="30"/>
          <w:szCs w:val="30"/>
        </w:rPr>
        <w:t>。</w:t>
      </w:r>
    </w:p>
    <w:p w:rsidR="00172408" w:rsidRDefault="00AA18A9">
      <w:pPr>
        <w:spacing w:line="560" w:lineRule="exact"/>
        <w:ind w:firstLine="555"/>
        <w:rPr>
          <w:rFonts w:ascii="黑体" w:eastAsia="黑体" w:hAnsi="黑体"/>
          <w:sz w:val="30"/>
          <w:szCs w:val="30"/>
        </w:rPr>
      </w:pPr>
      <w:r>
        <w:rPr>
          <w:rFonts w:ascii="黑体" w:eastAsia="黑体" w:hAnsi="黑体" w:hint="eastAsia"/>
          <w:sz w:val="30"/>
          <w:szCs w:val="30"/>
        </w:rPr>
        <w:t>六、绩效评估</w:t>
      </w:r>
    </w:p>
    <w:p w:rsidR="00172408" w:rsidRDefault="0086173E">
      <w:pPr>
        <w:pStyle w:val="a4"/>
        <w:adjustRightInd w:val="0"/>
        <w:snapToGrid w:val="0"/>
        <w:spacing w:line="560" w:lineRule="exact"/>
        <w:ind w:firstLineChars="200" w:firstLine="600"/>
        <w:rPr>
          <w:rFonts w:ascii="仿宋_GB2312" w:eastAsia="仿宋_GB2312" w:hAnsi="宋体" w:cs="宋体"/>
          <w:sz w:val="30"/>
          <w:szCs w:val="30"/>
        </w:rPr>
      </w:pPr>
      <w:r>
        <w:rPr>
          <w:rFonts w:ascii="仿宋_GB2312" w:eastAsia="仿宋_GB2312" w:hAnsi="黑体" w:hint="eastAsia"/>
          <w:sz w:val="30"/>
          <w:szCs w:val="30"/>
        </w:rPr>
        <w:t>项目纳入全生命周期管理，</w:t>
      </w:r>
      <w:r w:rsidR="00AA18A9">
        <w:rPr>
          <w:rFonts w:ascii="仿宋_GB2312" w:eastAsia="仿宋_GB2312" w:hAnsi="黑体" w:hint="eastAsia"/>
          <w:sz w:val="30"/>
          <w:szCs w:val="30"/>
        </w:rPr>
        <w:t>在达产后，由区经委牵头相关部</w:t>
      </w:r>
      <w:r w:rsidR="00AA18A9">
        <w:rPr>
          <w:rFonts w:ascii="仿宋_GB2312" w:eastAsia="仿宋_GB2312" w:hAnsi="黑体" w:hint="eastAsia"/>
          <w:sz w:val="30"/>
          <w:szCs w:val="30"/>
        </w:rPr>
        <w:lastRenderedPageBreak/>
        <w:t>门，</w:t>
      </w:r>
      <w:r w:rsidR="00AA18A9">
        <w:rPr>
          <w:rFonts w:ascii="仿宋_GB2312" w:eastAsia="仿宋_GB2312" w:hAnsi="宋体" w:cs="宋体" w:hint="eastAsia"/>
          <w:sz w:val="30"/>
          <w:szCs w:val="30"/>
        </w:rPr>
        <w:t>每一年进行一次评估，评估内容包括：当年度产值、上缴税额、产业内容、是否擅自出租、有无重大环境影响及其他违法行为等。</w:t>
      </w:r>
    </w:p>
    <w:p w:rsidR="00172408" w:rsidRDefault="00AA18A9">
      <w:pPr>
        <w:spacing w:line="560" w:lineRule="exact"/>
        <w:ind w:firstLine="555"/>
        <w:rPr>
          <w:rFonts w:ascii="黑体" w:eastAsia="黑体" w:hAnsi="黑体"/>
          <w:sz w:val="30"/>
          <w:szCs w:val="30"/>
        </w:rPr>
      </w:pPr>
      <w:r>
        <w:rPr>
          <w:rFonts w:ascii="黑体" w:eastAsia="黑体" w:hAnsi="黑体" w:hint="eastAsia"/>
          <w:sz w:val="30"/>
          <w:szCs w:val="30"/>
        </w:rPr>
        <w:t>七、后续监管措施</w:t>
      </w:r>
    </w:p>
    <w:p w:rsidR="00172408" w:rsidRDefault="00AA18A9">
      <w:pPr>
        <w:pStyle w:val="a4"/>
        <w:adjustRightInd w:val="0"/>
        <w:snapToGrid w:val="0"/>
        <w:spacing w:line="560" w:lineRule="exact"/>
        <w:ind w:leftChars="71" w:left="149" w:firstLineChars="100" w:firstLine="300"/>
        <w:rPr>
          <w:rFonts w:ascii="仿宋_GB2312" w:eastAsia="仿宋_GB2312" w:hAnsi="宋体" w:cs="宋体"/>
          <w:sz w:val="30"/>
          <w:szCs w:val="30"/>
        </w:rPr>
      </w:pPr>
      <w:r>
        <w:rPr>
          <w:rFonts w:ascii="仿宋_GB2312" w:eastAsia="仿宋_GB2312" w:hAnsi="宋体" w:cs="宋体" w:hint="eastAsia"/>
          <w:sz w:val="30"/>
          <w:szCs w:val="30"/>
        </w:rPr>
        <w:t>（一）对评估不符合要求的，给予一年整改期，如第二年绩效评估不达标的，</w:t>
      </w:r>
      <w:r>
        <w:rPr>
          <w:rFonts w:ascii="仿宋_GB2312" w:eastAsia="仿宋_GB2312" w:hint="eastAsia"/>
          <w:sz w:val="30"/>
          <w:szCs w:val="30"/>
        </w:rPr>
        <w:t>补缴减免的土地出让价款</w:t>
      </w:r>
      <w:r w:rsidR="00B50998">
        <w:rPr>
          <w:rFonts w:ascii="仿宋_GB2312" w:eastAsia="仿宋_GB2312" w:hint="eastAsia"/>
          <w:sz w:val="30"/>
          <w:szCs w:val="30"/>
        </w:rPr>
        <w:t>，</w:t>
      </w:r>
      <w:r>
        <w:rPr>
          <w:rFonts w:ascii="仿宋_GB2312" w:eastAsia="仿宋_GB2312" w:hAnsi="宋体" w:cs="宋体" w:hint="eastAsia"/>
          <w:sz w:val="30"/>
          <w:szCs w:val="30"/>
        </w:rPr>
        <w:t>并</w:t>
      </w:r>
      <w:r w:rsidR="00B50998">
        <w:rPr>
          <w:rFonts w:ascii="仿宋_GB2312" w:eastAsia="仿宋_GB2312" w:hAnsi="宋体" w:cs="宋体" w:hint="eastAsia"/>
          <w:sz w:val="30"/>
          <w:szCs w:val="30"/>
        </w:rPr>
        <w:t>须补足承诺税收</w:t>
      </w:r>
      <w:r>
        <w:rPr>
          <w:rFonts w:ascii="仿宋_GB2312" w:eastAsia="仿宋_GB2312" w:hAnsi="宋体" w:cs="宋体" w:hint="eastAsia"/>
          <w:sz w:val="30"/>
          <w:szCs w:val="30"/>
        </w:rPr>
        <w:t>。</w:t>
      </w:r>
    </w:p>
    <w:p w:rsidR="00172408" w:rsidRDefault="00AA18A9">
      <w:pPr>
        <w:pStyle w:val="a4"/>
        <w:adjustRightInd w:val="0"/>
        <w:snapToGrid w:val="0"/>
        <w:spacing w:line="560" w:lineRule="exact"/>
        <w:ind w:leftChars="71" w:left="149" w:firstLineChars="100" w:firstLine="300"/>
        <w:rPr>
          <w:rFonts w:ascii="仿宋_GB2312" w:eastAsia="仿宋_GB2312" w:hAnsi="宋体" w:cs="宋体"/>
          <w:sz w:val="30"/>
          <w:szCs w:val="30"/>
        </w:rPr>
      </w:pPr>
      <w:r>
        <w:rPr>
          <w:rFonts w:ascii="仿宋_GB2312" w:eastAsia="仿宋_GB2312" w:hAnsi="宋体" w:cs="宋体" w:hint="eastAsia"/>
          <w:sz w:val="30"/>
          <w:szCs w:val="30"/>
        </w:rPr>
        <w:t>（二）申报材料弄虚作假、或采取其他不正当手段影响</w:t>
      </w:r>
      <w:r w:rsidR="0086173E">
        <w:rPr>
          <w:rFonts w:ascii="仿宋_GB2312" w:eastAsia="仿宋_GB2312" w:hAnsi="宋体" w:cs="宋体" w:hint="eastAsia"/>
          <w:sz w:val="30"/>
          <w:szCs w:val="30"/>
        </w:rPr>
        <w:t>评估</w:t>
      </w:r>
      <w:r>
        <w:rPr>
          <w:rFonts w:ascii="仿宋_GB2312" w:eastAsia="仿宋_GB2312" w:hAnsi="宋体" w:cs="宋体" w:hint="eastAsia"/>
          <w:sz w:val="30"/>
          <w:szCs w:val="30"/>
        </w:rPr>
        <w:t>工作的，经调查确认后，</w:t>
      </w:r>
      <w:r w:rsidR="0086173E">
        <w:rPr>
          <w:rFonts w:ascii="仿宋_GB2312" w:eastAsia="仿宋_GB2312" w:hAnsi="宋体" w:cs="宋体" w:hint="eastAsia"/>
          <w:sz w:val="30"/>
          <w:szCs w:val="30"/>
        </w:rPr>
        <w:t>当年</w:t>
      </w:r>
      <w:r>
        <w:rPr>
          <w:rFonts w:ascii="仿宋_GB2312" w:eastAsia="仿宋_GB2312" w:hAnsi="宋体" w:cs="宋体" w:hint="eastAsia"/>
          <w:sz w:val="30"/>
          <w:szCs w:val="30"/>
        </w:rPr>
        <w:t>将取消</w:t>
      </w:r>
      <w:r w:rsidR="0086173E">
        <w:rPr>
          <w:rFonts w:ascii="仿宋_GB2312" w:eastAsia="仿宋_GB2312" w:hAnsi="宋体" w:cs="宋体" w:hint="eastAsia"/>
          <w:sz w:val="30"/>
          <w:szCs w:val="30"/>
        </w:rPr>
        <w:t>评估</w:t>
      </w:r>
      <w:r>
        <w:rPr>
          <w:rFonts w:ascii="仿宋_GB2312" w:eastAsia="仿宋_GB2312" w:hAnsi="宋体" w:cs="宋体" w:hint="eastAsia"/>
          <w:sz w:val="30"/>
          <w:szCs w:val="30"/>
        </w:rPr>
        <w:t>资格；已经</w:t>
      </w:r>
      <w:r w:rsidR="0086173E">
        <w:rPr>
          <w:rFonts w:ascii="仿宋_GB2312" w:eastAsia="仿宋_GB2312" w:hAnsi="宋体" w:cs="宋体" w:hint="eastAsia"/>
          <w:sz w:val="30"/>
          <w:szCs w:val="30"/>
        </w:rPr>
        <w:t>评估</w:t>
      </w:r>
      <w:r>
        <w:rPr>
          <w:rFonts w:ascii="仿宋_GB2312" w:eastAsia="仿宋_GB2312" w:hAnsi="宋体" w:cs="宋体" w:hint="eastAsia"/>
          <w:sz w:val="30"/>
          <w:szCs w:val="30"/>
        </w:rPr>
        <w:t>的，将予以撤销</w:t>
      </w:r>
      <w:r w:rsidR="0086173E">
        <w:rPr>
          <w:rFonts w:ascii="仿宋_GB2312" w:eastAsia="仿宋_GB2312" w:hAnsi="宋体" w:cs="宋体" w:hint="eastAsia"/>
          <w:sz w:val="30"/>
          <w:szCs w:val="30"/>
        </w:rPr>
        <w:t>。</w:t>
      </w:r>
      <w:r>
        <w:rPr>
          <w:rFonts w:ascii="仿宋_GB2312" w:eastAsia="仿宋_GB2312" w:hint="eastAsia"/>
          <w:sz w:val="30"/>
          <w:szCs w:val="30"/>
        </w:rPr>
        <w:t>补缴减免的土地出让价款</w:t>
      </w:r>
      <w:r w:rsidR="0086173E">
        <w:rPr>
          <w:rFonts w:ascii="仿宋_GB2312" w:eastAsia="仿宋_GB2312" w:hint="eastAsia"/>
          <w:sz w:val="30"/>
          <w:szCs w:val="30"/>
        </w:rPr>
        <w:t>，</w:t>
      </w:r>
      <w:r>
        <w:rPr>
          <w:rFonts w:ascii="仿宋_GB2312" w:eastAsia="仿宋_GB2312" w:hAnsi="宋体" w:cs="宋体" w:hint="eastAsia"/>
          <w:sz w:val="30"/>
          <w:szCs w:val="30"/>
        </w:rPr>
        <w:t>并</w:t>
      </w:r>
      <w:r w:rsidR="00B50998">
        <w:rPr>
          <w:rFonts w:ascii="仿宋_GB2312" w:eastAsia="仿宋_GB2312" w:hAnsi="宋体" w:cs="宋体" w:hint="eastAsia"/>
          <w:sz w:val="30"/>
          <w:szCs w:val="30"/>
        </w:rPr>
        <w:t>须补足承诺税收</w:t>
      </w:r>
      <w:r>
        <w:rPr>
          <w:rFonts w:ascii="仿宋_GB2312" w:eastAsia="仿宋_GB2312" w:hAnsi="宋体" w:cs="宋体" w:hint="eastAsia"/>
          <w:sz w:val="30"/>
          <w:szCs w:val="30"/>
        </w:rPr>
        <w:t>后，列入企业诚信异常名录，公司主体及其关联方，五年内不得参与闵行区土地出让活动，相关违约行为网上公示，并不得享受闵行区各项产业政策。</w:t>
      </w:r>
    </w:p>
    <w:p w:rsidR="00172408" w:rsidRDefault="00AA18A9">
      <w:pPr>
        <w:pStyle w:val="a4"/>
        <w:adjustRightInd w:val="0"/>
        <w:snapToGrid w:val="0"/>
        <w:spacing w:line="560" w:lineRule="exact"/>
        <w:ind w:firstLineChars="200" w:firstLine="600"/>
        <w:rPr>
          <w:rFonts w:ascii="仿宋_GB2312" w:eastAsia="仿宋_GB2312" w:hAnsi="宋体" w:cs="宋体"/>
          <w:sz w:val="30"/>
          <w:szCs w:val="30"/>
        </w:rPr>
      </w:pPr>
      <w:r>
        <w:rPr>
          <w:rFonts w:ascii="黑体" w:eastAsia="黑体" w:hAnsi="宋体" w:cs="宋体" w:hint="eastAsia"/>
          <w:sz w:val="30"/>
          <w:szCs w:val="30"/>
        </w:rPr>
        <w:t>八、</w:t>
      </w:r>
      <w:r>
        <w:rPr>
          <w:rFonts w:ascii="黑体" w:eastAsia="黑体" w:hAnsi="黑体" w:cs="宋体" w:hint="eastAsia"/>
          <w:sz w:val="30"/>
          <w:szCs w:val="30"/>
        </w:rPr>
        <w:t>实施时间</w:t>
      </w:r>
    </w:p>
    <w:p w:rsidR="00172408" w:rsidRDefault="00AA18A9">
      <w:pPr>
        <w:pStyle w:val="a4"/>
        <w:adjustRightInd w:val="0"/>
        <w:snapToGrid w:val="0"/>
        <w:spacing w:line="560" w:lineRule="exact"/>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本</w:t>
      </w:r>
      <w:r w:rsidR="008D1619">
        <w:rPr>
          <w:rFonts w:ascii="仿宋_GB2312" w:eastAsia="仿宋_GB2312" w:hAnsi="宋体" w:cs="宋体" w:hint="eastAsia"/>
          <w:sz w:val="30"/>
          <w:szCs w:val="30"/>
        </w:rPr>
        <w:t>实施细则</w:t>
      </w:r>
      <w:r>
        <w:rPr>
          <w:rFonts w:ascii="仿宋_GB2312" w:eastAsia="仿宋_GB2312" w:hAnsi="宋体" w:cs="宋体" w:hint="eastAsia"/>
          <w:sz w:val="30"/>
          <w:szCs w:val="30"/>
        </w:rPr>
        <w:t>自发布之日起实行，有效期三年。本实施</w:t>
      </w:r>
      <w:r w:rsidR="008D1619">
        <w:rPr>
          <w:rFonts w:ascii="仿宋_GB2312" w:eastAsia="仿宋_GB2312" w:hAnsi="宋体" w:cs="宋体" w:hint="eastAsia"/>
          <w:sz w:val="30"/>
          <w:szCs w:val="30"/>
        </w:rPr>
        <w:t>细则</w:t>
      </w:r>
      <w:r>
        <w:rPr>
          <w:rFonts w:ascii="仿宋_GB2312" w:eastAsia="仿宋_GB2312" w:hAnsi="宋体" w:cs="宋体" w:hint="eastAsia"/>
          <w:sz w:val="30"/>
          <w:szCs w:val="30"/>
        </w:rPr>
        <w:t>由闵行区经委会同区规划资源局负责解释。如本实施</w:t>
      </w:r>
      <w:r w:rsidR="008D1619">
        <w:rPr>
          <w:rFonts w:ascii="仿宋_GB2312" w:eastAsia="仿宋_GB2312" w:hAnsi="宋体" w:cs="宋体" w:hint="eastAsia"/>
          <w:sz w:val="30"/>
          <w:szCs w:val="30"/>
        </w:rPr>
        <w:t>细则</w:t>
      </w:r>
      <w:r>
        <w:rPr>
          <w:rFonts w:ascii="仿宋_GB2312" w:eastAsia="仿宋_GB2312" w:hAnsi="宋体" w:cs="宋体" w:hint="eastAsia"/>
          <w:sz w:val="30"/>
          <w:szCs w:val="30"/>
        </w:rPr>
        <w:t>与上级机关制定的文件要求不一致的，以上级机关文件内容要求为准。</w:t>
      </w:r>
    </w:p>
    <w:p w:rsidR="00172408" w:rsidRDefault="00172408">
      <w:pPr>
        <w:pStyle w:val="a4"/>
        <w:adjustRightInd w:val="0"/>
        <w:snapToGrid w:val="0"/>
        <w:spacing w:line="560" w:lineRule="exact"/>
        <w:ind w:firstLineChars="200" w:firstLine="600"/>
        <w:rPr>
          <w:rFonts w:ascii="仿宋_GB2312" w:eastAsia="仿宋_GB2312" w:hAnsi="宋体" w:cs="宋体"/>
          <w:sz w:val="30"/>
          <w:szCs w:val="30"/>
        </w:rPr>
      </w:pPr>
    </w:p>
    <w:p w:rsidR="00172408" w:rsidRDefault="00172408">
      <w:pPr>
        <w:pStyle w:val="a4"/>
        <w:adjustRightInd w:val="0"/>
        <w:snapToGrid w:val="0"/>
        <w:spacing w:line="560" w:lineRule="exact"/>
        <w:ind w:leftChars="71" w:left="149" w:firstLineChars="100" w:firstLine="300"/>
        <w:rPr>
          <w:rFonts w:ascii="仿宋_GB2312" w:eastAsia="仿宋_GB2312" w:hAnsi="宋体" w:cs="宋体"/>
          <w:sz w:val="30"/>
          <w:szCs w:val="30"/>
        </w:rPr>
      </w:pPr>
    </w:p>
    <w:p w:rsidR="00172408" w:rsidRDefault="00172408">
      <w:pPr>
        <w:spacing w:line="560" w:lineRule="exact"/>
        <w:rPr>
          <w:rFonts w:ascii="仿宋_GB2312" w:eastAsia="仿宋_GB2312"/>
          <w:sz w:val="30"/>
          <w:szCs w:val="30"/>
        </w:rPr>
      </w:pPr>
    </w:p>
    <w:sectPr w:rsidR="00172408" w:rsidSect="001724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3386"/>
    <w:rsid w:val="000005B5"/>
    <w:rsid w:val="00004858"/>
    <w:rsid w:val="000211F2"/>
    <w:rsid w:val="00084290"/>
    <w:rsid w:val="000E6564"/>
    <w:rsid w:val="000F1E42"/>
    <w:rsid w:val="000F5E29"/>
    <w:rsid w:val="00172408"/>
    <w:rsid w:val="00180F64"/>
    <w:rsid w:val="001A60CA"/>
    <w:rsid w:val="001A7D34"/>
    <w:rsid w:val="00214963"/>
    <w:rsid w:val="00272234"/>
    <w:rsid w:val="002C16CA"/>
    <w:rsid w:val="0037480A"/>
    <w:rsid w:val="0039055E"/>
    <w:rsid w:val="003B5F87"/>
    <w:rsid w:val="003C2829"/>
    <w:rsid w:val="003C2F93"/>
    <w:rsid w:val="003E3386"/>
    <w:rsid w:val="003F56A5"/>
    <w:rsid w:val="004109F6"/>
    <w:rsid w:val="00443886"/>
    <w:rsid w:val="0045270B"/>
    <w:rsid w:val="0048227C"/>
    <w:rsid w:val="004E63C3"/>
    <w:rsid w:val="005B2EF8"/>
    <w:rsid w:val="00603DB0"/>
    <w:rsid w:val="0062522B"/>
    <w:rsid w:val="006379EE"/>
    <w:rsid w:val="00641383"/>
    <w:rsid w:val="00696813"/>
    <w:rsid w:val="006A1C04"/>
    <w:rsid w:val="006D741B"/>
    <w:rsid w:val="00765B4D"/>
    <w:rsid w:val="0078715B"/>
    <w:rsid w:val="00790D7E"/>
    <w:rsid w:val="007F6B8A"/>
    <w:rsid w:val="00824183"/>
    <w:rsid w:val="00860908"/>
    <w:rsid w:val="0086173E"/>
    <w:rsid w:val="00866049"/>
    <w:rsid w:val="00877A3E"/>
    <w:rsid w:val="008D1619"/>
    <w:rsid w:val="00931F60"/>
    <w:rsid w:val="00936417"/>
    <w:rsid w:val="00953CF0"/>
    <w:rsid w:val="00956C4B"/>
    <w:rsid w:val="0096201B"/>
    <w:rsid w:val="009A40DB"/>
    <w:rsid w:val="00A7049F"/>
    <w:rsid w:val="00A94D75"/>
    <w:rsid w:val="00AA18A9"/>
    <w:rsid w:val="00AE67A1"/>
    <w:rsid w:val="00B369C2"/>
    <w:rsid w:val="00B50998"/>
    <w:rsid w:val="00B53983"/>
    <w:rsid w:val="00B91A89"/>
    <w:rsid w:val="00BF5BE6"/>
    <w:rsid w:val="00C414F1"/>
    <w:rsid w:val="00C55420"/>
    <w:rsid w:val="00C64300"/>
    <w:rsid w:val="00C9357B"/>
    <w:rsid w:val="00CA2825"/>
    <w:rsid w:val="00CA3D98"/>
    <w:rsid w:val="00CB18AA"/>
    <w:rsid w:val="00CB39BD"/>
    <w:rsid w:val="00D111BA"/>
    <w:rsid w:val="00D2608B"/>
    <w:rsid w:val="00D42510"/>
    <w:rsid w:val="00D429C6"/>
    <w:rsid w:val="00D73E28"/>
    <w:rsid w:val="00DB766A"/>
    <w:rsid w:val="00E3401C"/>
    <w:rsid w:val="00E4305A"/>
    <w:rsid w:val="00E72011"/>
    <w:rsid w:val="00E8543B"/>
    <w:rsid w:val="00E90CE9"/>
    <w:rsid w:val="00EC5609"/>
    <w:rsid w:val="00F86D9C"/>
    <w:rsid w:val="00FB16D8"/>
    <w:rsid w:val="00FE1438"/>
    <w:rsid w:val="00FF1128"/>
    <w:rsid w:val="00FF6355"/>
    <w:rsid w:val="415C6E57"/>
    <w:rsid w:val="5A4F3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1"/>
    <w:qFormat/>
    <w:rsid w:val="00172408"/>
    <w:pPr>
      <w:spacing w:before="7"/>
      <w:ind w:left="111"/>
      <w:jc w:val="left"/>
    </w:pPr>
    <w:rPr>
      <w:rFonts w:ascii="仿宋_GB2312" w:eastAsia="仿宋_GB2312" w:hAnsi="仿宋_GB2312"/>
      <w:kern w:val="0"/>
      <w:sz w:val="30"/>
      <w:szCs w:val="30"/>
      <w:lang w:eastAsia="en-US"/>
    </w:rPr>
  </w:style>
  <w:style w:type="paragraph" w:styleId="a4">
    <w:name w:val="Plain Text"/>
    <w:basedOn w:val="a"/>
    <w:link w:val="Char"/>
    <w:qFormat/>
    <w:rsid w:val="00172408"/>
    <w:rPr>
      <w:rFonts w:ascii="宋体" w:eastAsia="宋体" w:hAnsi="Courier New" w:cs="Times New Roman"/>
      <w:kern w:val="0"/>
      <w:sz w:val="32"/>
      <w:szCs w:val="21"/>
    </w:rPr>
  </w:style>
  <w:style w:type="paragraph" w:styleId="a5">
    <w:name w:val="List Paragraph"/>
    <w:basedOn w:val="a"/>
    <w:uiPriority w:val="34"/>
    <w:qFormat/>
    <w:rsid w:val="00172408"/>
    <w:pPr>
      <w:ind w:firstLineChars="200" w:firstLine="420"/>
    </w:pPr>
  </w:style>
  <w:style w:type="character" w:customStyle="1" w:styleId="Char">
    <w:name w:val="纯文本 Char"/>
    <w:basedOn w:val="a0"/>
    <w:link w:val="a4"/>
    <w:qFormat/>
    <w:rsid w:val="00172408"/>
    <w:rPr>
      <w:rFonts w:ascii="宋体" w:eastAsia="宋体" w:hAnsi="Courier New" w:cs="Times New Roman"/>
      <w:sz w:val="32"/>
      <w:szCs w:val="21"/>
    </w:rPr>
  </w:style>
  <w:style w:type="character" w:customStyle="1" w:styleId="Char0">
    <w:name w:val="正文文本 Char"/>
    <w:link w:val="a3"/>
    <w:uiPriority w:val="1"/>
    <w:qFormat/>
    <w:rsid w:val="00172408"/>
    <w:rPr>
      <w:rFonts w:ascii="仿宋_GB2312" w:eastAsia="仿宋_GB2312" w:hAnsi="仿宋_GB2312"/>
      <w:sz w:val="30"/>
      <w:szCs w:val="30"/>
      <w:lang w:eastAsia="en-US"/>
    </w:rPr>
  </w:style>
  <w:style w:type="character" w:customStyle="1" w:styleId="Char1">
    <w:name w:val="正文文本 Char1"/>
    <w:basedOn w:val="a0"/>
    <w:link w:val="a3"/>
    <w:uiPriority w:val="99"/>
    <w:semiHidden/>
    <w:qFormat/>
    <w:rsid w:val="00172408"/>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645A17-E904-4A66-ACF4-9C30E9B4F0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huangyunh</dc:creator>
  <cp:lastModifiedBy>huangyunh</cp:lastModifiedBy>
  <cp:revision>15</cp:revision>
  <cp:lastPrinted>2019-05-22T02:48:00Z</cp:lastPrinted>
  <dcterms:created xsi:type="dcterms:W3CDTF">2019-04-15T02:00:00Z</dcterms:created>
  <dcterms:modified xsi:type="dcterms:W3CDTF">2019-05-22T02:53:00Z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