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560" w:lineRule="exact"/>
        <w:ind w:left="-2" w:leftChars="-405" w:hanging="848" w:hangingChars="265"/>
        <w:jc w:val="lef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bookmarkStart w:id="0" w:name="_GoBack"/>
      <w:bookmarkEnd w:id="0"/>
    </w:p>
    <w:p>
      <w:pPr>
        <w:spacing w:after="156" w:afterLines="50" w:line="560" w:lineRule="exact"/>
        <w:jc w:val="center"/>
        <w:rPr>
          <w:rFonts w:ascii="华文中宋" w:hAnsi="华文中宋" w:eastAsia="华文中宋"/>
          <w:b/>
          <w:sz w:val="40"/>
          <w:szCs w:val="40"/>
        </w:rPr>
      </w:pPr>
      <w:r>
        <w:rPr>
          <w:rFonts w:hint="eastAsia" w:ascii="华文中宋" w:hAnsi="华文中宋" w:eastAsia="华文中宋"/>
          <w:b/>
          <w:sz w:val="40"/>
          <w:szCs w:val="40"/>
        </w:rPr>
        <w:t>企业落实主体责任</w:t>
      </w:r>
      <w:r>
        <w:rPr>
          <w:rFonts w:ascii="华文中宋" w:hAnsi="华文中宋" w:eastAsia="华文中宋"/>
          <w:b/>
          <w:sz w:val="40"/>
          <w:szCs w:val="40"/>
        </w:rPr>
        <w:t>安全生产执法检查</w:t>
      </w:r>
      <w:r>
        <w:rPr>
          <w:rFonts w:hint="eastAsia" w:ascii="华文中宋" w:hAnsi="华文中宋" w:eastAsia="华文中宋"/>
          <w:b/>
          <w:sz w:val="40"/>
          <w:szCs w:val="40"/>
        </w:rPr>
        <w:t>重点事项</w:t>
      </w:r>
      <w:r>
        <w:rPr>
          <w:rFonts w:ascii="华文中宋" w:hAnsi="华文中宋" w:eastAsia="华文中宋"/>
          <w:b/>
          <w:sz w:val="40"/>
          <w:szCs w:val="40"/>
        </w:rPr>
        <w:t>表</w:t>
      </w:r>
    </w:p>
    <w:tbl>
      <w:tblPr>
        <w:tblStyle w:val="5"/>
        <w:tblW w:w="1502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1026"/>
        <w:gridCol w:w="5387"/>
        <w:gridCol w:w="4677"/>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tblHeader/>
          <w:jc w:val="center"/>
        </w:trPr>
        <w:tc>
          <w:tcPr>
            <w:tcW w:w="534" w:type="dxa"/>
            <w:vAlign w:val="center"/>
          </w:tcPr>
          <w:p>
            <w:pPr>
              <w:spacing w:line="260" w:lineRule="exact"/>
              <w:jc w:val="center"/>
              <w:rPr>
                <w:rFonts w:ascii="仿宋" w:hAnsi="仿宋" w:eastAsia="仿宋"/>
                <w:b/>
                <w:bCs/>
                <w:kern w:val="0"/>
                <w:szCs w:val="21"/>
              </w:rPr>
            </w:pPr>
            <w:r>
              <w:rPr>
                <w:rFonts w:ascii="仿宋" w:hAnsi="仿宋" w:eastAsia="仿宋"/>
                <w:b/>
                <w:bCs/>
                <w:kern w:val="0"/>
                <w:szCs w:val="21"/>
              </w:rPr>
              <w:t>序号</w:t>
            </w:r>
          </w:p>
        </w:tc>
        <w:tc>
          <w:tcPr>
            <w:tcW w:w="1026" w:type="dxa"/>
          </w:tcPr>
          <w:p>
            <w:pPr>
              <w:spacing w:line="260" w:lineRule="exact"/>
              <w:jc w:val="center"/>
              <w:rPr>
                <w:rFonts w:ascii="仿宋" w:hAnsi="仿宋" w:eastAsia="仿宋"/>
                <w:b/>
                <w:bCs/>
                <w:kern w:val="0"/>
                <w:szCs w:val="21"/>
              </w:rPr>
            </w:pPr>
            <w:r>
              <w:rPr>
                <w:rFonts w:ascii="仿宋" w:hAnsi="仿宋" w:eastAsia="仿宋"/>
                <w:b/>
                <w:bCs/>
                <w:kern w:val="0"/>
                <w:szCs w:val="21"/>
              </w:rPr>
              <w:t>违法行为</w:t>
            </w:r>
            <w:r>
              <w:rPr>
                <w:rFonts w:hint="eastAsia" w:ascii="仿宋" w:hAnsi="仿宋" w:eastAsia="仿宋"/>
                <w:b/>
                <w:bCs/>
                <w:kern w:val="0"/>
                <w:szCs w:val="21"/>
              </w:rPr>
              <w:t>描述</w:t>
            </w:r>
          </w:p>
        </w:tc>
        <w:tc>
          <w:tcPr>
            <w:tcW w:w="5387" w:type="dxa"/>
            <w:vAlign w:val="center"/>
          </w:tcPr>
          <w:p>
            <w:pPr>
              <w:spacing w:line="260" w:lineRule="exact"/>
              <w:jc w:val="center"/>
              <w:rPr>
                <w:rFonts w:ascii="仿宋" w:hAnsi="仿宋" w:eastAsia="仿宋"/>
                <w:b/>
                <w:bCs/>
                <w:kern w:val="0"/>
                <w:szCs w:val="21"/>
              </w:rPr>
            </w:pPr>
            <w:r>
              <w:rPr>
                <w:rFonts w:ascii="仿宋" w:hAnsi="仿宋" w:eastAsia="仿宋"/>
                <w:b/>
                <w:bCs/>
                <w:kern w:val="0"/>
                <w:szCs w:val="21"/>
              </w:rPr>
              <w:t>执法依据</w:t>
            </w:r>
          </w:p>
        </w:tc>
        <w:tc>
          <w:tcPr>
            <w:tcW w:w="4677" w:type="dxa"/>
            <w:vAlign w:val="center"/>
          </w:tcPr>
          <w:p>
            <w:pPr>
              <w:spacing w:line="260" w:lineRule="exact"/>
              <w:jc w:val="center"/>
              <w:rPr>
                <w:rFonts w:ascii="仿宋" w:hAnsi="仿宋" w:eastAsia="仿宋"/>
                <w:b/>
                <w:bCs/>
                <w:kern w:val="0"/>
                <w:szCs w:val="21"/>
              </w:rPr>
            </w:pPr>
            <w:r>
              <w:rPr>
                <w:rFonts w:hint="eastAsia" w:ascii="仿宋" w:hAnsi="仿宋" w:eastAsia="仿宋"/>
                <w:b/>
                <w:bCs/>
                <w:kern w:val="0"/>
                <w:szCs w:val="21"/>
              </w:rPr>
              <w:t>方式方法</w:t>
            </w:r>
          </w:p>
        </w:tc>
        <w:tc>
          <w:tcPr>
            <w:tcW w:w="3402" w:type="dxa"/>
            <w:vAlign w:val="center"/>
          </w:tcPr>
          <w:p>
            <w:pPr>
              <w:spacing w:line="260" w:lineRule="exact"/>
              <w:jc w:val="center"/>
              <w:rPr>
                <w:rFonts w:ascii="仿宋" w:hAnsi="仿宋" w:eastAsia="仿宋"/>
                <w:b/>
                <w:bCs/>
                <w:kern w:val="0"/>
                <w:szCs w:val="21"/>
              </w:rPr>
            </w:pPr>
            <w:r>
              <w:rPr>
                <w:rFonts w:ascii="仿宋" w:hAnsi="仿宋" w:eastAsia="仿宋"/>
                <w:b/>
                <w:bCs/>
                <w:kern w:val="0"/>
                <w:szCs w:val="21"/>
              </w:rPr>
              <w:t>处罚依据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21" w:hRule="atLeast"/>
          <w:jc w:val="center"/>
        </w:trPr>
        <w:tc>
          <w:tcPr>
            <w:tcW w:w="534" w:type="dxa"/>
            <w:vAlign w:val="center"/>
          </w:tcPr>
          <w:p>
            <w:pPr>
              <w:adjustRightInd w:val="0"/>
              <w:snapToGrid w:val="0"/>
              <w:spacing w:line="180" w:lineRule="auto"/>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1</w:t>
            </w:r>
          </w:p>
        </w:tc>
        <w:tc>
          <w:tcPr>
            <w:tcW w:w="1026" w:type="dxa"/>
            <w:vAlign w:val="center"/>
          </w:tcPr>
          <w:p>
            <w:pPr>
              <w:pStyle w:val="4"/>
              <w:shd w:val="clear" w:color="auto" w:fill="FFFFFF"/>
              <w:adjustRightInd w:val="0"/>
              <w:snapToGrid w:val="0"/>
              <w:spacing w:before="0" w:beforeAutospacing="0" w:after="0" w:afterAutospacing="0" w:line="180" w:lineRule="auto"/>
              <w:jc w:val="both"/>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主要负责人未有效建立、健全本单位全员安全生产责任制并对落实情况进行监督考核</w:t>
            </w:r>
          </w:p>
        </w:tc>
        <w:tc>
          <w:tcPr>
            <w:tcW w:w="5387"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【法律】</w:t>
            </w:r>
            <w:r>
              <w:rPr>
                <w:rFonts w:hint="eastAsia" w:ascii="仿宋" w:hAnsi="仿宋" w:eastAsia="仿宋"/>
                <w:color w:val="000000" w:themeColor="text1"/>
                <w:sz w:val="18"/>
                <w:szCs w:val="18"/>
                <w14:textFill>
                  <w14:solidFill>
                    <w14:schemeClr w14:val="tx1"/>
                  </w14:solidFill>
                </w14:textFill>
              </w:rPr>
              <w:t>《安全生产法》第二十一条： 生产经营单位的主要负责人对本单位安全生产工作负有下列职责：（一）建立、健全本单位安全生产责任制；</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第二十二条：生产经营单位的全员安全生产责任制应当明确各岗位的责任人员、责任范围和考核标准等内容。生产经营单位应当建立相应的机制，加强对全员安全生产责任制落实情况的监督考核，保证全员安全生产责任制的落实。</w:t>
            </w:r>
          </w:p>
        </w:tc>
        <w:tc>
          <w:tcPr>
            <w:tcW w:w="4677" w:type="dxa"/>
            <w:vAlign w:val="center"/>
          </w:tcPr>
          <w:p>
            <w:pPr>
              <w:pStyle w:val="4"/>
              <w:shd w:val="clear" w:color="auto" w:fill="FFFFFF"/>
              <w:adjustRightInd w:val="0"/>
              <w:snapToGrid w:val="0"/>
              <w:spacing w:before="0" w:beforeAutospacing="0" w:after="0" w:afterAutospacing="0" w:line="180" w:lineRule="auto"/>
              <w:jc w:val="both"/>
              <w:rPr>
                <w:rFonts w:ascii="仿宋" w:hAnsi="仿宋" w:eastAsia="仿宋"/>
                <w:color w:val="000000" w:themeColor="text1"/>
                <w:spacing w:val="-6"/>
                <w:sz w:val="18"/>
                <w:szCs w:val="18"/>
                <w14:textFill>
                  <w14:solidFill>
                    <w14:schemeClr w14:val="tx1"/>
                  </w14:solidFill>
                </w14:textFill>
              </w:rPr>
            </w:pPr>
            <w:r>
              <w:rPr>
                <w:rFonts w:hint="eastAsia" w:ascii="仿宋" w:hAnsi="仿宋" w:eastAsia="仿宋"/>
                <w:color w:val="000000" w:themeColor="text1"/>
                <w:spacing w:val="-6"/>
                <w:sz w:val="18"/>
                <w:szCs w:val="18"/>
                <w14:textFill>
                  <w14:solidFill>
                    <w14:schemeClr w14:val="tx1"/>
                  </w14:solidFill>
                </w14:textFill>
              </w:rPr>
              <w:t>1.查阅资料：</w:t>
            </w:r>
          </w:p>
          <w:p>
            <w:pPr>
              <w:pStyle w:val="4"/>
              <w:shd w:val="clear" w:color="auto" w:fill="FFFFFF"/>
              <w:adjustRightInd w:val="0"/>
              <w:snapToGrid w:val="0"/>
              <w:spacing w:before="0" w:beforeAutospacing="0" w:after="0" w:afterAutospacing="0" w:line="180" w:lineRule="auto"/>
              <w:jc w:val="both"/>
              <w:rPr>
                <w:rFonts w:ascii="仿宋" w:hAnsi="仿宋" w:eastAsia="仿宋"/>
                <w:color w:val="000000" w:themeColor="text1"/>
                <w:spacing w:val="-6"/>
                <w:sz w:val="18"/>
                <w:szCs w:val="18"/>
                <w14:textFill>
                  <w14:solidFill>
                    <w14:schemeClr w14:val="tx1"/>
                  </w14:solidFill>
                </w14:textFill>
              </w:rPr>
            </w:pPr>
            <w:r>
              <w:rPr>
                <w:rFonts w:hint="eastAsia" w:ascii="仿宋" w:hAnsi="仿宋" w:eastAsia="仿宋"/>
                <w:color w:val="000000" w:themeColor="text1"/>
                <w:spacing w:val="-6"/>
                <w:sz w:val="18"/>
                <w:szCs w:val="18"/>
                <w14:textFill>
                  <w14:solidFill>
                    <w14:schemeClr w14:val="tx1"/>
                  </w14:solidFill>
                </w14:textFill>
              </w:rPr>
              <w:t>（1）查阅企业全员安全生产责任制资料，检查责任制覆盖范围是否全面，是否明确考核标准和监督考核机制。</w:t>
            </w:r>
          </w:p>
          <w:p>
            <w:pPr>
              <w:pStyle w:val="4"/>
              <w:shd w:val="clear" w:color="auto" w:fill="FFFFFF"/>
              <w:adjustRightInd w:val="0"/>
              <w:snapToGrid w:val="0"/>
              <w:spacing w:before="0" w:beforeAutospacing="0" w:after="0" w:afterAutospacing="0" w:line="180" w:lineRule="auto"/>
              <w:jc w:val="both"/>
              <w:rPr>
                <w:rFonts w:ascii="仿宋" w:hAnsi="仿宋" w:eastAsia="仿宋"/>
                <w:color w:val="000000" w:themeColor="text1"/>
                <w:spacing w:val="-6"/>
                <w:sz w:val="18"/>
                <w:szCs w:val="18"/>
                <w14:textFill>
                  <w14:solidFill>
                    <w14:schemeClr w14:val="tx1"/>
                  </w14:solidFill>
                </w14:textFill>
              </w:rPr>
            </w:pPr>
            <w:r>
              <w:rPr>
                <w:rFonts w:hint="eastAsia" w:ascii="仿宋" w:hAnsi="仿宋" w:eastAsia="仿宋"/>
                <w:color w:val="000000" w:themeColor="text1"/>
                <w:spacing w:val="-6"/>
                <w:sz w:val="18"/>
                <w:szCs w:val="18"/>
                <w14:textFill>
                  <w14:solidFill>
                    <w14:schemeClr w14:val="tx1"/>
                  </w14:solidFill>
                </w14:textFill>
              </w:rPr>
              <w:t>（2）检查主要负责人落实安全生产责任有关佐证材料。</w:t>
            </w:r>
          </w:p>
          <w:p>
            <w:pPr>
              <w:pStyle w:val="4"/>
              <w:shd w:val="clear" w:color="auto" w:fill="FFFFFF"/>
              <w:adjustRightInd w:val="0"/>
              <w:snapToGrid w:val="0"/>
              <w:spacing w:before="0" w:beforeAutospacing="0" w:after="0" w:afterAutospacing="0" w:line="180" w:lineRule="auto"/>
              <w:jc w:val="both"/>
              <w:rPr>
                <w:rFonts w:ascii="仿宋" w:hAnsi="仿宋" w:eastAsia="仿宋"/>
                <w:color w:val="000000" w:themeColor="text1"/>
                <w:spacing w:val="-6"/>
                <w:sz w:val="18"/>
                <w:szCs w:val="18"/>
                <w14:textFill>
                  <w14:solidFill>
                    <w14:schemeClr w14:val="tx1"/>
                  </w14:solidFill>
                </w14:textFill>
              </w:rPr>
            </w:pPr>
            <w:r>
              <w:rPr>
                <w:rFonts w:hint="eastAsia" w:ascii="仿宋" w:hAnsi="仿宋" w:eastAsia="仿宋"/>
                <w:color w:val="000000" w:themeColor="text1"/>
                <w:spacing w:val="-6"/>
                <w:sz w:val="18"/>
                <w:szCs w:val="18"/>
                <w14:textFill>
                  <w14:solidFill>
                    <w14:schemeClr w14:val="tx1"/>
                  </w14:solidFill>
                </w14:textFill>
              </w:rPr>
              <w:t>（3）重点抽查企业负责人、生产、技术、设备、安全、财务、人事等部门负责人及关键岗位人员责任制是否符合岗位特点，落实情况如何。</w:t>
            </w:r>
            <w:r>
              <w:rPr>
                <w:rFonts w:hint="eastAsia" w:ascii="仿宋" w:hAnsi="仿宋" w:eastAsia="仿宋"/>
                <w:bCs/>
                <w:color w:val="000000" w:themeColor="text1"/>
                <w:spacing w:val="-6"/>
                <w:sz w:val="18"/>
                <w:szCs w:val="18"/>
                <w14:textFill>
                  <w14:solidFill>
                    <w14:schemeClr w14:val="tx1"/>
                  </w14:solidFill>
                </w14:textFill>
              </w:rPr>
              <w:t>抽查2个部门安全生产责任制考核记录。</w:t>
            </w:r>
          </w:p>
          <w:p>
            <w:pPr>
              <w:pStyle w:val="4"/>
              <w:shd w:val="clear" w:color="auto" w:fill="FFFFFF"/>
              <w:adjustRightInd w:val="0"/>
              <w:snapToGrid w:val="0"/>
              <w:spacing w:before="0" w:beforeAutospacing="0" w:after="0" w:afterAutospacing="0" w:line="180" w:lineRule="auto"/>
              <w:jc w:val="both"/>
              <w:rPr>
                <w:rFonts w:ascii="仿宋" w:hAnsi="仿宋" w:eastAsia="仿宋"/>
                <w:color w:val="000000" w:themeColor="text1"/>
                <w:spacing w:val="-6"/>
                <w:sz w:val="18"/>
                <w:szCs w:val="18"/>
                <w14:textFill>
                  <w14:solidFill>
                    <w14:schemeClr w14:val="tx1"/>
                  </w14:solidFill>
                </w14:textFill>
              </w:rPr>
            </w:pPr>
            <w:r>
              <w:rPr>
                <w:rFonts w:hint="eastAsia" w:ascii="仿宋" w:hAnsi="仿宋" w:eastAsia="仿宋"/>
                <w:color w:val="000000" w:themeColor="text1"/>
                <w:spacing w:val="-6"/>
                <w:sz w:val="18"/>
                <w:szCs w:val="18"/>
                <w14:textFill>
                  <w14:solidFill>
                    <w14:schemeClr w14:val="tx1"/>
                  </w14:solidFill>
                </w14:textFill>
              </w:rPr>
              <w:t>（4）检查企业按照考核标准和机制，开展监督考核情况。</w:t>
            </w:r>
          </w:p>
          <w:p>
            <w:pPr>
              <w:pStyle w:val="4"/>
              <w:shd w:val="clear" w:color="auto" w:fill="FFFFFF"/>
              <w:adjustRightInd w:val="0"/>
              <w:snapToGrid w:val="0"/>
              <w:spacing w:before="0" w:beforeAutospacing="0" w:after="0" w:afterAutospacing="0" w:line="180" w:lineRule="auto"/>
              <w:jc w:val="both"/>
              <w:rPr>
                <w:rFonts w:ascii="仿宋" w:hAnsi="仿宋" w:eastAsia="仿宋"/>
                <w:color w:val="000000" w:themeColor="text1"/>
                <w:spacing w:val="-6"/>
                <w:sz w:val="18"/>
                <w:szCs w:val="18"/>
                <w14:textFill>
                  <w14:solidFill>
                    <w14:schemeClr w14:val="tx1"/>
                  </w14:solidFill>
                </w14:textFill>
              </w:rPr>
            </w:pPr>
            <w:r>
              <w:rPr>
                <w:rFonts w:hint="eastAsia" w:ascii="仿宋" w:hAnsi="仿宋" w:eastAsia="仿宋"/>
                <w:color w:val="000000" w:themeColor="text1"/>
                <w:spacing w:val="-6"/>
                <w:sz w:val="18"/>
                <w:szCs w:val="18"/>
                <w14:textFill>
                  <w14:solidFill>
                    <w14:schemeClr w14:val="tx1"/>
                  </w14:solidFill>
                </w14:textFill>
              </w:rPr>
              <w:t>2.现场检查：</w:t>
            </w:r>
          </w:p>
          <w:p>
            <w:pPr>
              <w:pStyle w:val="4"/>
              <w:shd w:val="clear" w:color="auto" w:fill="FFFFFF"/>
              <w:adjustRightInd w:val="0"/>
              <w:snapToGrid w:val="0"/>
              <w:spacing w:before="0" w:beforeAutospacing="0" w:after="0" w:afterAutospacing="0" w:line="180" w:lineRule="auto"/>
              <w:jc w:val="both"/>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pacing w:val="-6"/>
                <w:sz w:val="18"/>
                <w:szCs w:val="18"/>
                <w14:textFill>
                  <w14:solidFill>
                    <w14:schemeClr w14:val="tx1"/>
                  </w14:solidFill>
                </w14:textFill>
              </w:rPr>
              <w:t>与有关负责人、一线员工谈话交流,了解是否掌握本岗位安全生产职责、安全生产风险、安全操作规程及应急措施等。</w:t>
            </w:r>
          </w:p>
        </w:tc>
        <w:tc>
          <w:tcPr>
            <w:tcW w:w="3402" w:type="dxa"/>
            <w:vAlign w:val="center"/>
          </w:tcPr>
          <w:p>
            <w:pPr>
              <w:widowControl/>
              <w:adjustRightInd w:val="0"/>
              <w:snapToGrid w:val="0"/>
              <w:spacing w:line="180" w:lineRule="auto"/>
              <w:jc w:val="left"/>
              <w:rPr>
                <w:rFonts w:ascii="仿宋" w:hAnsi="仿宋" w:eastAsia="仿宋"/>
                <w:color w:val="000000" w:themeColor="text1"/>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w:t>
            </w:r>
            <w:r>
              <w:rPr>
                <w:rFonts w:hint="eastAsia" w:ascii="仿宋" w:hAnsi="仿宋" w:eastAsia="仿宋" w:cs="宋体"/>
                <w:color w:val="000000" w:themeColor="text1"/>
                <w:kern w:val="0"/>
                <w:sz w:val="18"/>
                <w:szCs w:val="18"/>
                <w14:textFill>
                  <w14:solidFill>
                    <w14:schemeClr w14:val="tx1"/>
                  </w14:solidFill>
                </w14:textFill>
              </w:rPr>
              <w:t>法律</w:t>
            </w:r>
            <w:r>
              <w:rPr>
                <w:rFonts w:ascii="仿宋" w:hAnsi="仿宋" w:eastAsia="仿宋" w:cs="宋体"/>
                <w:color w:val="000000" w:themeColor="text1"/>
                <w:kern w:val="0"/>
                <w:sz w:val="18"/>
                <w:szCs w:val="18"/>
                <w14:textFill>
                  <w14:solidFill>
                    <w14:schemeClr w14:val="tx1"/>
                  </w14:solidFill>
                </w14:textFill>
              </w:rPr>
              <w:t>】</w:t>
            </w:r>
            <w:r>
              <w:rPr>
                <w:rFonts w:hint="eastAsia" w:ascii="仿宋" w:hAnsi="仿宋" w:eastAsia="仿宋" w:cs="宋体"/>
                <w:color w:val="000000" w:themeColor="text1"/>
                <w:kern w:val="0"/>
                <w:sz w:val="18"/>
                <w:szCs w:val="18"/>
                <w14:textFill>
                  <w14:solidFill>
                    <w14:schemeClr w14:val="tx1"/>
                  </w14:solidFill>
                </w14:textFill>
              </w:rPr>
              <w:t>《安全生产法》第九十四条：生产经营单位的主要负责人未履行本法规定的安全生产管理职责的，责令限期改正，处二万元以上五万元以下的罚款；逾期未改正的，处五万元以上十万元以下的罚款，责令生产经营单位停产停业整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0" w:hRule="atLeast"/>
          <w:jc w:val="center"/>
        </w:trPr>
        <w:tc>
          <w:tcPr>
            <w:tcW w:w="534" w:type="dxa"/>
            <w:vAlign w:val="center"/>
          </w:tcPr>
          <w:p>
            <w:pPr>
              <w:adjustRightInd w:val="0"/>
              <w:snapToGrid w:val="0"/>
              <w:spacing w:line="180" w:lineRule="auto"/>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2</w:t>
            </w:r>
          </w:p>
        </w:tc>
        <w:tc>
          <w:tcPr>
            <w:tcW w:w="1026"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未按照规定对从业人员、被派遣劳动者、实习学生进行安全生产教育和培训，或者未按照规定如实告知有关的安全生产事项</w:t>
            </w:r>
          </w:p>
          <w:p>
            <w:pPr>
              <w:adjustRightInd w:val="0"/>
              <w:snapToGrid w:val="0"/>
              <w:spacing w:line="180" w:lineRule="auto"/>
              <w:jc w:val="center"/>
              <w:rPr>
                <w:rFonts w:ascii="仿宋" w:hAnsi="仿宋" w:eastAsia="仿宋"/>
                <w:color w:val="000000" w:themeColor="text1"/>
                <w:kern w:val="0"/>
                <w:sz w:val="18"/>
                <w:szCs w:val="18"/>
                <w14:textFill>
                  <w14:solidFill>
                    <w14:schemeClr w14:val="tx1"/>
                  </w14:solidFill>
                </w14:textFill>
              </w:rPr>
            </w:pPr>
          </w:p>
        </w:tc>
        <w:tc>
          <w:tcPr>
            <w:tcW w:w="5387"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【法律】</w:t>
            </w:r>
            <w:r>
              <w:rPr>
                <w:rFonts w:hint="eastAsia" w:ascii="仿宋" w:hAnsi="仿宋" w:eastAsia="仿宋"/>
                <w:color w:val="000000" w:themeColor="text1"/>
                <w:sz w:val="18"/>
                <w:szCs w:val="18"/>
                <w14:textFill>
                  <w14:solidFill>
                    <w14:schemeClr w14:val="tx1"/>
                  </w14:solidFill>
                </w14:textFill>
              </w:rPr>
              <w:t>《安全生产法》第二十八条：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pPr>
              <w:adjustRightInd w:val="0"/>
              <w:snapToGrid w:val="0"/>
              <w:spacing w:line="180" w:lineRule="auto"/>
              <w:ind w:firstLine="360" w:firstLineChars="200"/>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pPr>
              <w:adjustRightInd w:val="0"/>
              <w:snapToGrid w:val="0"/>
              <w:spacing w:line="180" w:lineRule="auto"/>
              <w:ind w:firstLine="360" w:firstLineChars="200"/>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生产经营单位接收中等职业学校、高等学校学生实习的，应当对实习学生进行相应的安全生产教育和培训，提供必要的劳动防护用品。学校应当协助生产经营单位对实习学生进行安全生产教育和培训。</w:t>
            </w:r>
          </w:p>
          <w:p>
            <w:pPr>
              <w:adjustRightInd w:val="0"/>
              <w:snapToGrid w:val="0"/>
              <w:spacing w:line="180" w:lineRule="auto"/>
              <w:ind w:firstLine="360" w:firstLineChars="200"/>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生产经营单位应当建立安全生产教育和培训档案，如实记录安全生产教育和培训的时间、内容、参加人员以及考核结果等情况。</w:t>
            </w:r>
          </w:p>
        </w:tc>
        <w:tc>
          <w:tcPr>
            <w:tcW w:w="4677"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1.查阅资料：</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（1）查阅企业安全生产教育培训制度，是否覆盖全体从业人员、被派遣劳动者、实习生等人员。</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（2）查阅企业安全生产教育培训计划制定和执行情况。</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（3）查阅企业安全生产教育培训档案资料。检查是否如实记录时间、内容、人员、考核结果等情况。</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2.现场检查：</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（1）企业安全教育培训制度和计划的执行落实情况。</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（2）询问或者测试有关人员安全生产培训考试内容的掌握情况，对风险辨识管控、操作规程、应急处置措施等方面的掌握情况。</w:t>
            </w:r>
          </w:p>
        </w:tc>
        <w:tc>
          <w:tcPr>
            <w:tcW w:w="3402"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【法律】</w:t>
            </w:r>
            <w:r>
              <w:rPr>
                <w:rFonts w:hint="eastAsia" w:ascii="仿宋" w:hAnsi="仿宋" w:eastAsia="仿宋"/>
                <w:color w:val="000000" w:themeColor="text1"/>
                <w:sz w:val="18"/>
                <w:szCs w:val="18"/>
                <w14:textFill>
                  <w14:solidFill>
                    <w14:schemeClr w14:val="tx1"/>
                  </w14:solidFill>
                </w14:textFill>
              </w:rPr>
              <w:t>《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四）未如实记录安全生产教育和培训情况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05" w:hRule="atLeast"/>
          <w:jc w:val="center"/>
        </w:trPr>
        <w:tc>
          <w:tcPr>
            <w:tcW w:w="534" w:type="dxa"/>
            <w:vAlign w:val="center"/>
          </w:tcPr>
          <w:p>
            <w:pPr>
              <w:adjustRightInd w:val="0"/>
              <w:snapToGrid w:val="0"/>
              <w:spacing w:line="180" w:lineRule="auto"/>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3</w:t>
            </w:r>
          </w:p>
        </w:tc>
        <w:tc>
          <w:tcPr>
            <w:tcW w:w="1026" w:type="dxa"/>
            <w:vAlign w:val="center"/>
          </w:tcPr>
          <w:p>
            <w:pPr>
              <w:adjustRightInd w:val="0"/>
              <w:snapToGrid w:val="0"/>
              <w:spacing w:line="180" w:lineRule="auto"/>
              <w:rPr>
                <w:rFonts w:hint="eastAsia"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特种作业人员未按照规定经专门的安全作业培训并取得相应资格，上岗作业</w:t>
            </w:r>
          </w:p>
        </w:tc>
        <w:tc>
          <w:tcPr>
            <w:tcW w:w="5387" w:type="dxa"/>
            <w:vAlign w:val="center"/>
          </w:tcPr>
          <w:p>
            <w:pPr>
              <w:widowControl/>
              <w:adjustRightInd w:val="0"/>
              <w:snapToGrid w:val="0"/>
              <w:spacing w:line="180" w:lineRule="auto"/>
              <w:jc w:val="left"/>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【法律】</w:t>
            </w:r>
            <w:r>
              <w:rPr>
                <w:rFonts w:hint="eastAsia" w:ascii="仿宋" w:hAnsi="仿宋" w:eastAsia="仿宋"/>
                <w:color w:val="000000" w:themeColor="text1"/>
                <w:sz w:val="18"/>
                <w:szCs w:val="18"/>
                <w14:textFill>
                  <w14:solidFill>
                    <w14:schemeClr w14:val="tx1"/>
                  </w14:solidFill>
                </w14:textFill>
              </w:rPr>
              <w:t>《安全生产法》第三十条：生产经营单位的特种作业人员必须按照国家有关规定经专门的安全作业培训，取得相应资格，方可上岗作业。</w:t>
            </w:r>
          </w:p>
        </w:tc>
        <w:tc>
          <w:tcPr>
            <w:tcW w:w="4677"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1.查阅资料：</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（1）查阅企业特种作业人员花名册，了解企业涉及特种作业种类和人员数量。（2）检查特种作业人员证书有效性。</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2.现场检查：</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现场核验企业特种作业岗位否配备符合资格要求的特种作业人员上岗作业。</w:t>
            </w:r>
          </w:p>
        </w:tc>
        <w:tc>
          <w:tcPr>
            <w:tcW w:w="3402"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【法律】</w:t>
            </w:r>
            <w:r>
              <w:rPr>
                <w:rFonts w:hint="eastAsia" w:ascii="仿宋" w:hAnsi="仿宋" w:eastAsia="仿宋"/>
                <w:color w:val="000000" w:themeColor="text1"/>
                <w:sz w:val="18"/>
                <w:szCs w:val="18"/>
                <w14:textFill>
                  <w14:solidFill>
                    <w14:schemeClr w14:val="tx1"/>
                  </w14:solidFill>
                </w14:textFill>
              </w:rPr>
              <w:t>《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7" w:hRule="atLeast"/>
          <w:jc w:val="center"/>
        </w:trPr>
        <w:tc>
          <w:tcPr>
            <w:tcW w:w="534" w:type="dxa"/>
            <w:vAlign w:val="center"/>
          </w:tcPr>
          <w:p>
            <w:pPr>
              <w:adjustRightInd w:val="0"/>
              <w:snapToGrid w:val="0"/>
              <w:spacing w:line="180" w:lineRule="auto"/>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4</w:t>
            </w:r>
          </w:p>
        </w:tc>
        <w:tc>
          <w:tcPr>
            <w:tcW w:w="1026"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未建立健全生产安全事故隐患排查制度，采取技术、管理措施，及时发现并消除事故隐患</w:t>
            </w:r>
          </w:p>
        </w:tc>
        <w:tc>
          <w:tcPr>
            <w:tcW w:w="5387"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【法律】</w:t>
            </w:r>
            <w:r>
              <w:rPr>
                <w:rFonts w:hint="eastAsia" w:ascii="仿宋" w:hAnsi="仿宋" w:eastAsia="仿宋"/>
                <w:color w:val="000000" w:themeColor="text1"/>
                <w:sz w:val="18"/>
                <w:szCs w:val="18"/>
                <w14:textFill>
                  <w14:solidFill>
                    <w14:schemeClr w14:val="tx1"/>
                  </w14:solidFill>
                </w14:textFill>
              </w:rPr>
              <w:t>《安全生产法》第四十一条：生产经营单位应当建立安全风险分级管控制度，按照安全风险分级采取相应的管控措施。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w:t>
            </w:r>
            <w:r>
              <w:rPr>
                <w:rFonts w:hint="eastAsia" w:ascii="仿宋" w:hAnsi="仿宋" w:eastAsia="仿宋"/>
                <w:bCs/>
                <w:color w:val="000000" w:themeColor="text1"/>
                <w:kern w:val="0"/>
                <w:sz w:val="18"/>
                <w:szCs w:val="18"/>
                <w14:textFill>
                  <w14:solidFill>
                    <w14:schemeClr w14:val="tx1"/>
                  </w14:solidFill>
                </w14:textFill>
              </w:rPr>
              <w:t>其中，重大事故隐患排查治理情况应当及时向负有安全生产监督管理职责的部门和职工大会或者职工代表大会报告。</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　　</w:t>
            </w:r>
          </w:p>
        </w:tc>
        <w:tc>
          <w:tcPr>
            <w:tcW w:w="4677"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1.查阅资料：</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（1）查阅企业隐患排查治理制度，是否明确责任、机制、程序、方法、资金等要求。</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（2）查阅企业隐患排查治理台账是否规范、健全，是否符合企业隐患排查治理制度要求。</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2.现场检查：</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（1）与企业主要负责人、安全管理人员谈话交流，了解重大事故隐患排查治理及向从业人员通报情况。</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（2）现场核验企业部分隐患治理情况。</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（3）现场抽查企业重点部位环节和关键设备设施是否存在重大事故隐患。</w:t>
            </w:r>
          </w:p>
        </w:tc>
        <w:tc>
          <w:tcPr>
            <w:tcW w:w="3402" w:type="dxa"/>
            <w:vAlign w:val="center"/>
          </w:tcPr>
          <w:p>
            <w:pPr>
              <w:adjustRightInd w:val="0"/>
              <w:snapToGrid w:val="0"/>
              <w:spacing w:line="180" w:lineRule="auto"/>
              <w:rPr>
                <w:rFonts w:hint="eastAsia" w:ascii="仿宋" w:hAnsi="仿宋" w:eastAsia="仿宋"/>
                <w:color w:val="000000" w:themeColor="text1"/>
                <w:sz w:val="18"/>
                <w:szCs w:val="18"/>
                <w:lang w:eastAsia="zh-CN"/>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【法律】</w:t>
            </w:r>
            <w:r>
              <w:rPr>
                <w:rFonts w:hint="eastAsia" w:ascii="仿宋" w:hAnsi="仿宋" w:eastAsia="仿宋"/>
                <w:color w:val="000000" w:themeColor="text1"/>
                <w:sz w:val="18"/>
                <w:szCs w:val="18"/>
                <w14:textFill>
                  <w14:solidFill>
                    <w14:schemeClr w14:val="tx1"/>
                  </w14:solidFill>
                </w14:textFill>
              </w:rPr>
              <w:t>《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　（五）未将事故隐患排查治理情况如实记录或者未向从业人员通报的</w:t>
            </w:r>
            <w:r>
              <w:rPr>
                <w:rFonts w:hint="eastAsia" w:ascii="仿宋" w:hAnsi="仿宋" w:eastAsia="仿宋"/>
                <w:color w:val="000000" w:themeColor="text1"/>
                <w:sz w:val="18"/>
                <w:szCs w:val="18"/>
                <w:lang w:eastAsia="zh-CN"/>
                <w14:textFill>
                  <w14:solidFill>
                    <w14:schemeClr w14:val="tx1"/>
                  </w14:solidFill>
                </w14:textFill>
              </w:rPr>
              <w:t>。</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第一百零一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5" w:hRule="atLeast"/>
          <w:jc w:val="center"/>
        </w:trPr>
        <w:tc>
          <w:tcPr>
            <w:tcW w:w="534" w:type="dxa"/>
            <w:vAlign w:val="center"/>
          </w:tcPr>
          <w:p>
            <w:pPr>
              <w:adjustRightInd w:val="0"/>
              <w:snapToGrid w:val="0"/>
              <w:spacing w:line="180" w:lineRule="auto"/>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5</w:t>
            </w:r>
          </w:p>
        </w:tc>
        <w:tc>
          <w:tcPr>
            <w:tcW w:w="1026" w:type="dxa"/>
            <w:vAlign w:val="center"/>
          </w:tcPr>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未按照规定设置安全生产管理机构或者配备安全生产管理人员</w:t>
            </w:r>
          </w:p>
        </w:tc>
        <w:tc>
          <w:tcPr>
            <w:tcW w:w="5387"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【法律】</w:t>
            </w:r>
            <w:r>
              <w:rPr>
                <w:rFonts w:hint="eastAsia" w:ascii="仿宋" w:hAnsi="仿宋" w:eastAsia="仿宋"/>
                <w:color w:val="000000" w:themeColor="text1"/>
                <w:sz w:val="18"/>
                <w:szCs w:val="18"/>
                <w14:textFill>
                  <w14:solidFill>
                    <w14:schemeClr w14:val="tx1"/>
                  </w14:solidFill>
                </w14:textFill>
              </w:rPr>
              <w:t>《安全生产法》第二十四条： 矿山、金属冶炼、建筑施工、运输单位和危险物品的生产、经营、储存、装卸单位，应当设置安全生产管理机构或者配备专职安全生产管理人员。前款规定以外的其他生产经营单位，从业人员超过一百人的，应当设置安全生产管理机构或者配备专职安全生产管理人员；从业人员在一百人以下的，应当配备专职或者兼职的安全生产管理人员。</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第二十七条：生产经营单位的主要负责人和安全生产管理人员必须具备与本单位所从事的生产经营活动相应的安全生产知识和管理能力。危险物品的生产、经营、储存、装卸单位以及矿山、金属冶炼、建筑施工、运输单位的主要负责人和安全生产管理人员，应当由主管的负有安全生产监督管理职责的部门对其安全生产知识和管理能力考核合格。考核不得收费。</w:t>
            </w:r>
          </w:p>
        </w:tc>
        <w:tc>
          <w:tcPr>
            <w:tcW w:w="4677"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1.查阅文件：</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（1）查阅企业人员情况登记表，了解掌握企业从业人员数量。</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（2）查阅企业设置安全管理机构或配备专职或者兼职安全生产管理人员相关佐证文件资料。</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（3）查阅安全管理人员专业背景和从业经历。</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2.现场检查：</w:t>
            </w:r>
          </w:p>
          <w:p>
            <w:pPr>
              <w:adjustRightInd w:val="0"/>
              <w:snapToGrid w:val="0"/>
              <w:spacing w:line="180" w:lineRule="auto"/>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询问金属冶炼企业安全管理人员合格证书，对本企业安全风险管控、日常安全管理等情况。</w:t>
            </w:r>
          </w:p>
        </w:tc>
        <w:tc>
          <w:tcPr>
            <w:tcW w:w="3402"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【法律】</w:t>
            </w:r>
            <w:r>
              <w:rPr>
                <w:rFonts w:hint="eastAsia" w:ascii="仿宋" w:hAnsi="仿宋" w:eastAsia="仿宋"/>
                <w:color w:val="000000" w:themeColor="text1"/>
                <w:sz w:val="18"/>
                <w:szCs w:val="18"/>
                <w14:textFill>
                  <w14:solidFill>
                    <w14:schemeClr w14:val="tx1"/>
                  </w14:solidFill>
                </w14:textFill>
              </w:rPr>
              <w:t>《《安全生产法》第九十七条：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p>
            <w:pPr>
              <w:pStyle w:val="4"/>
              <w:shd w:val="clear" w:color="auto" w:fill="FFFFFF"/>
              <w:adjustRightInd w:val="0"/>
              <w:snapToGrid w:val="0"/>
              <w:spacing w:before="0" w:beforeAutospacing="0" w:after="0" w:afterAutospacing="0" w:line="180" w:lineRule="auto"/>
              <w:jc w:val="both"/>
              <w:rPr>
                <w:rFonts w:ascii="仿宋" w:hAnsi="仿宋" w:eastAsia="仿宋"/>
                <w:color w:val="000000" w:themeColor="text1"/>
                <w:sz w:val="18"/>
                <w:szCs w:val="18"/>
                <w14:textFill>
                  <w14:solidFill>
                    <w14:schemeClr w14:val="tx1"/>
                  </w14:solidFill>
                </w14:textFill>
              </w:rPr>
            </w:pPr>
          </w:p>
          <w:p>
            <w:pPr>
              <w:pStyle w:val="4"/>
              <w:shd w:val="clear" w:color="auto" w:fill="FFFFFF"/>
              <w:adjustRightInd w:val="0"/>
              <w:snapToGrid w:val="0"/>
              <w:spacing w:before="0" w:beforeAutospacing="0" w:after="0" w:afterAutospacing="0" w:line="180" w:lineRule="auto"/>
              <w:jc w:val="both"/>
              <w:rPr>
                <w:rFonts w:ascii="仿宋" w:hAnsi="仿宋" w:eastAsia="仿宋" w:cs="Times New Roman"/>
                <w:color w:val="000000" w:themeColor="text1"/>
                <w:kern w:val="2"/>
                <w:sz w:val="18"/>
                <w:szCs w:val="18"/>
                <w14:textFill>
                  <w14:solidFill>
                    <w14:schemeClr w14:val="tx1"/>
                  </w14:solidFill>
                </w14:textFill>
              </w:rPr>
            </w:pPr>
            <w:r>
              <w:rPr>
                <w:rFonts w:hint="eastAsia" w:ascii="仿宋" w:hAnsi="仿宋" w:eastAsia="仿宋" w:cs="Times New Roman"/>
                <w:color w:val="000000" w:themeColor="text1"/>
                <w:kern w:val="2"/>
                <w:sz w:val="18"/>
                <w:szCs w:val="18"/>
                <w14:textFill>
                  <w14:solidFill>
                    <w14:schemeClr w14:val="tx1"/>
                  </w14:solidFill>
                </w14:textFill>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27" w:hRule="atLeast"/>
          <w:jc w:val="center"/>
        </w:trPr>
        <w:tc>
          <w:tcPr>
            <w:tcW w:w="534" w:type="dxa"/>
            <w:vAlign w:val="center"/>
          </w:tcPr>
          <w:p>
            <w:pPr>
              <w:adjustRightInd w:val="0"/>
              <w:snapToGrid w:val="0"/>
              <w:spacing w:line="180" w:lineRule="auto"/>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6</w:t>
            </w:r>
          </w:p>
        </w:tc>
        <w:tc>
          <w:tcPr>
            <w:tcW w:w="1026"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未为从业人员提供符合国家或行业标准的安全防护用品</w:t>
            </w:r>
          </w:p>
        </w:tc>
        <w:tc>
          <w:tcPr>
            <w:tcW w:w="5387"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kern w:val="0"/>
                <w:sz w:val="18"/>
                <w:szCs w:val="18"/>
                <w14:textFill>
                  <w14:solidFill>
                    <w14:schemeClr w14:val="tx1"/>
                  </w14:solidFill>
                </w14:textFill>
              </w:rPr>
              <w:t>【法律】</w:t>
            </w:r>
            <w:r>
              <w:rPr>
                <w:rFonts w:hint="eastAsia" w:ascii="仿宋" w:hAnsi="仿宋" w:eastAsia="仿宋"/>
                <w:color w:val="000000" w:themeColor="text1"/>
                <w:sz w:val="18"/>
                <w:szCs w:val="18"/>
                <w14:textFill>
                  <w14:solidFill>
                    <w14:schemeClr w14:val="tx1"/>
                  </w14:solidFill>
                </w14:textFill>
              </w:rPr>
              <w:t>《安全生产法》第四十五条：  生产经营单位必须为从业人员提供符合国家标准或者行业标准的劳动防护用品，并监督、教育从业人员按照使用规则佩戴、使用。</w:t>
            </w:r>
          </w:p>
        </w:tc>
        <w:tc>
          <w:tcPr>
            <w:tcW w:w="4677"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color w:val="000000" w:themeColor="text1"/>
                <w:sz w:val="18"/>
                <w:szCs w:val="18"/>
                <w14:textFill>
                  <w14:solidFill>
                    <w14:schemeClr w14:val="tx1"/>
                  </w14:solidFill>
                </w14:textFill>
              </w:rPr>
              <w:t>1.查阅资料：</w:t>
            </w:r>
          </w:p>
          <w:p>
            <w:pPr>
              <w:adjustRightInd w:val="0"/>
              <w:snapToGrid w:val="0"/>
              <w:spacing w:line="180" w:lineRule="auto"/>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查阅企业安全防护用品登记和发放记录。</w:t>
            </w:r>
          </w:p>
          <w:p>
            <w:pPr>
              <w:adjustRightInd w:val="0"/>
              <w:snapToGrid w:val="0"/>
              <w:spacing w:line="180" w:lineRule="auto"/>
              <w:rPr>
                <w:rFonts w:ascii="仿宋" w:hAnsi="仿宋" w:eastAsia="仿宋"/>
                <w:bCs/>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2.现场检查：</w:t>
            </w:r>
          </w:p>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hint="eastAsia" w:ascii="仿宋" w:hAnsi="仿宋" w:eastAsia="仿宋"/>
                <w:bCs/>
                <w:color w:val="000000" w:themeColor="text1"/>
                <w:sz w:val="18"/>
                <w:szCs w:val="18"/>
                <w14:textFill>
                  <w14:solidFill>
                    <w14:schemeClr w14:val="tx1"/>
                  </w14:solidFill>
                </w14:textFill>
              </w:rPr>
              <w:t>抽查询问1-2名从业人员掌握正确佩戴和使用安全防护用品情况。</w:t>
            </w:r>
          </w:p>
        </w:tc>
        <w:tc>
          <w:tcPr>
            <w:tcW w:w="3402" w:type="dxa"/>
            <w:vAlign w:val="center"/>
          </w:tcPr>
          <w:p>
            <w:pPr>
              <w:adjustRightInd w:val="0"/>
              <w:snapToGrid w:val="0"/>
              <w:spacing w:line="180" w:lineRule="auto"/>
              <w:rPr>
                <w:rFonts w:ascii="仿宋" w:hAnsi="仿宋" w:eastAsia="仿宋"/>
                <w:color w:val="000000" w:themeColor="text1"/>
                <w:sz w:val="18"/>
                <w:szCs w:val="18"/>
                <w14:textFill>
                  <w14:solidFill>
                    <w14:schemeClr w14:val="tx1"/>
                  </w14:solidFill>
                </w14:textFill>
              </w:rPr>
            </w:pPr>
            <w:r>
              <w:rPr>
                <w:rFonts w:ascii="仿宋" w:hAnsi="仿宋" w:eastAsia="仿宋"/>
                <w:color w:val="000000" w:themeColor="text1"/>
                <w:sz w:val="18"/>
                <w:szCs w:val="18"/>
                <w14:textFill>
                  <w14:solidFill>
                    <w14:schemeClr w14:val="tx1"/>
                  </w14:solidFill>
                </w14:textFill>
              </w:rPr>
              <w:t>【法律】</w:t>
            </w:r>
            <w:r>
              <w:rPr>
                <w:rFonts w:hint="eastAsia" w:ascii="仿宋" w:hAnsi="仿宋" w:eastAsia="仿宋"/>
                <w:color w:val="000000" w:themeColor="text1"/>
                <w:sz w:val="18"/>
                <w:szCs w:val="18"/>
                <w14:textFill>
                  <w14:solidFill>
                    <w14:schemeClr w14:val="tx1"/>
                  </w14:solidFill>
                </w14:textFill>
              </w:rPr>
              <w:t>《安全生产法》第九十九条：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tc>
      </w:tr>
    </w:tbl>
    <w:p>
      <w:pPr>
        <w:tabs>
          <w:tab w:val="left" w:pos="4890"/>
        </w:tabs>
        <w:adjustRightInd w:val="0"/>
        <w:snapToGrid w:val="0"/>
        <w:spacing w:line="180" w:lineRule="auto"/>
        <w:rPr>
          <w:rFonts w:ascii="仿宋" w:hAnsi="仿宋" w:eastAsia="仿宋"/>
          <w:color w:val="000000" w:themeColor="text1"/>
          <w:sz w:val="18"/>
          <w:szCs w:val="18"/>
          <w14:textFill>
            <w14:solidFill>
              <w14:schemeClr w14:val="tx1"/>
            </w14:solidFill>
          </w14:textFill>
        </w:rPr>
      </w:pPr>
    </w:p>
    <w:sectPr>
      <w:footerReference r:id="rId3" w:type="default"/>
      <w:pgSz w:w="16838" w:h="11906" w:orient="landscape"/>
      <w:pgMar w:top="426" w:right="1800" w:bottom="1440" w:left="1800" w:header="851" w:footer="1134"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CJK JP">
    <w:panose1 w:val="020B0500000000000000"/>
    <w:charset w:val="86"/>
    <w:family w:val="auto"/>
    <w:pitch w:val="default"/>
    <w:sig w:usb0="30000003" w:usb1="2BDF3C10" w:usb2="00000016" w:usb3="00000000" w:csb0="602E0107" w:csb1="00000000"/>
  </w:font>
  <w:font w:name="汉仪中宋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14030540"/>
                          </w:sdtPr>
                          <w:sdtContent>
                            <w:p>
                              <w:pPr>
                                <w:pStyle w:val="2"/>
                                <w:jc w:val="cente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lang w:val="zh-CN"/>
                                </w:rPr>
                                <w:fldChar w:fldCharType="end"/>
                              </w:r>
                            </w:p>
                          </w:sdtContent>
                        </w:sdt>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314030540"/>
                    </w:sdtPr>
                    <w:sdtContent>
                      <w:p>
                        <w:pPr>
                          <w:pStyle w:val="2"/>
                          <w:jc w:val="center"/>
                        </w:pP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zh-CN"/>
                          </w:rPr>
                          <w:t>2</w:t>
                        </w:r>
                        <w:r>
                          <w:rPr>
                            <w:rFonts w:hint="eastAsia" w:asciiTheme="minorEastAsia" w:hAnsiTheme="minorEastAsia" w:eastAsiaTheme="minorEastAsia" w:cstheme="minorEastAsia"/>
                            <w:sz w:val="21"/>
                            <w:szCs w:val="21"/>
                            <w:lang w:val="zh-CN"/>
                          </w:rPr>
                          <w:fldChar w:fldCharType="end"/>
                        </w:r>
                      </w:p>
                    </w:sdtContent>
                  </w:sdt>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768"/>
    <w:rsid w:val="00036BE5"/>
    <w:rsid w:val="00050CAD"/>
    <w:rsid w:val="000A3CD1"/>
    <w:rsid w:val="0015693B"/>
    <w:rsid w:val="00206768"/>
    <w:rsid w:val="002520C2"/>
    <w:rsid w:val="002B23A3"/>
    <w:rsid w:val="00333A07"/>
    <w:rsid w:val="003A6CFB"/>
    <w:rsid w:val="0045083A"/>
    <w:rsid w:val="004B2D57"/>
    <w:rsid w:val="00660A3E"/>
    <w:rsid w:val="00702EC7"/>
    <w:rsid w:val="007E7351"/>
    <w:rsid w:val="009157C5"/>
    <w:rsid w:val="00A5604B"/>
    <w:rsid w:val="00A91069"/>
    <w:rsid w:val="00AD61C5"/>
    <w:rsid w:val="00BE3DF0"/>
    <w:rsid w:val="00D724C2"/>
    <w:rsid w:val="00DA29F1"/>
    <w:rsid w:val="2E2B649A"/>
    <w:rsid w:val="3FA64958"/>
    <w:rsid w:val="3FFD0E77"/>
    <w:rsid w:val="65A754D6"/>
    <w:rsid w:val="7BCF91CF"/>
    <w:rsid w:val="7DA79BB4"/>
    <w:rsid w:val="7DBC2DFD"/>
    <w:rsid w:val="7DF7623D"/>
    <w:rsid w:val="7EBF7C26"/>
    <w:rsid w:val="7F5EAB28"/>
    <w:rsid w:val="A58EC3CB"/>
    <w:rsid w:val="DEFD3814"/>
    <w:rsid w:val="EF7CF4A9"/>
    <w:rsid w:val="F76E4C1E"/>
    <w:rsid w:val="F9FF6322"/>
    <w:rsid w:val="FF9ED57A"/>
    <w:rsid w:val="FFBFB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548</Words>
  <Characters>3127</Characters>
  <Lines>26</Lines>
  <Paragraphs>7</Paragraphs>
  <TotalTime>10</TotalTime>
  <ScaleCrop>false</ScaleCrop>
  <LinksUpToDate>false</LinksUpToDate>
  <CharactersWithSpaces>3668</CharactersWithSpaces>
  <Application>WPS Office_11.8.2.9583_F1E327BC-269C-435d-A152-05C5408002CA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2020-11-15T04:11:00Z</dcterms:created>
  <dc:creator>HUAWEI</dc:creator>
  <cp:lastModifiedBy>user</cp:lastModifiedBy>
  <cp:lastPrinted>2021-10-29T16:04:34Z</cp:lastPrinted>
  <dcterms:modified xsi:type="dcterms:W3CDTF">2021-10-29T16:07:37Z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2052-11.8.2.9583</vt:lpwstr>
  </property>
</Properties>
</file>