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84" w:lineRule="atLeast"/>
        <w:jc w:val="center"/>
        <w:rPr>
          <w:rFonts w:hint="eastAsia" w:ascii="黑体" w:hAnsi="黑体" w:eastAsia="黑体" w:cs="黑体"/>
          <w:b/>
          <w:bCs/>
          <w:color w:val="000000"/>
          <w:kern w:val="0"/>
          <w:sz w:val="36"/>
          <w:szCs w:val="36"/>
        </w:rPr>
      </w:pPr>
      <w:r>
        <w:rPr>
          <w:rFonts w:hint="eastAsia" w:ascii="黑体" w:hAnsi="黑体" w:eastAsia="黑体" w:cs="黑体"/>
          <w:b/>
          <w:bCs/>
          <w:color w:val="000000"/>
          <w:kern w:val="0"/>
          <w:sz w:val="36"/>
          <w:szCs w:val="36"/>
          <w:lang w:val="en-US" w:eastAsia="zh-CN"/>
        </w:rPr>
        <w:t>上海市闵行区梅陇镇人民</w:t>
      </w:r>
      <w:r>
        <w:rPr>
          <w:rFonts w:hint="eastAsia" w:ascii="黑体" w:hAnsi="黑体" w:eastAsia="黑体" w:cs="黑体"/>
          <w:b/>
          <w:bCs/>
          <w:color w:val="000000"/>
          <w:kern w:val="0"/>
          <w:sz w:val="36"/>
          <w:szCs w:val="36"/>
        </w:rPr>
        <w:t>政府</w:t>
      </w:r>
    </w:p>
    <w:p>
      <w:pPr>
        <w:widowControl/>
        <w:spacing w:line="384" w:lineRule="atLeast"/>
        <w:jc w:val="center"/>
        <w:rPr>
          <w:rFonts w:hint="eastAsia" w:ascii="黑体" w:hAnsi="黑体" w:eastAsia="黑体" w:cs="黑体"/>
          <w:b/>
          <w:bCs/>
          <w:color w:val="000000"/>
          <w:kern w:val="0"/>
          <w:sz w:val="36"/>
          <w:szCs w:val="36"/>
        </w:rPr>
      </w:pPr>
      <w:r>
        <w:rPr>
          <w:rFonts w:hint="eastAsia" w:ascii="黑体" w:hAnsi="黑体" w:eastAsia="黑体" w:cs="黑体"/>
          <w:b/>
          <w:bCs/>
          <w:color w:val="000000"/>
          <w:kern w:val="0"/>
          <w:sz w:val="36"/>
          <w:szCs w:val="36"/>
        </w:rPr>
        <w:t>信息公开工作年度报告（</w:t>
      </w:r>
      <w:r>
        <w:rPr>
          <w:rFonts w:hint="eastAsia" w:ascii="黑体" w:hAnsi="黑体" w:eastAsia="黑体" w:cs="黑体"/>
          <w:b/>
          <w:bCs/>
          <w:color w:val="000000"/>
          <w:kern w:val="0"/>
          <w:sz w:val="36"/>
          <w:szCs w:val="36"/>
          <w:lang w:val="en-US" w:eastAsia="zh-CN"/>
        </w:rPr>
        <w:t>2020</w:t>
      </w:r>
      <w:r>
        <w:rPr>
          <w:rFonts w:hint="eastAsia" w:ascii="黑体" w:hAnsi="黑体" w:eastAsia="黑体" w:cs="黑体"/>
          <w:b/>
          <w:bCs/>
          <w:color w:val="000000"/>
          <w:kern w:val="0"/>
          <w:sz w:val="36"/>
          <w:szCs w:val="36"/>
        </w:rPr>
        <w:t>年）</w:t>
      </w:r>
    </w:p>
    <w:p>
      <w:pPr>
        <w:widowControl/>
        <w:spacing w:line="384" w:lineRule="atLeast"/>
        <w:ind w:firstLine="480"/>
        <w:rPr>
          <w:rFonts w:hint="eastAsia" w:ascii="宋体" w:hAnsi="宋体" w:eastAsia="宋体" w:cs="宋体"/>
          <w:color w:val="000000"/>
          <w:kern w:val="0"/>
          <w:sz w:val="24"/>
          <w:szCs w:val="24"/>
        </w:rPr>
      </w:pPr>
    </w:p>
    <w:p>
      <w:pPr>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本年度报告根据《中华人民共和国政府信息公开条例》（以下简称《条例》）和《上海市政府信息公开规定》（以下简称《规定》）要求，由上海市闵行区梅陇镇人民政府编制。</w:t>
      </w:r>
      <w:r>
        <w:rPr>
          <w:rFonts w:hint="eastAsia" w:ascii="仿宋" w:hAnsi="仿宋" w:eastAsia="仿宋" w:cs="仿宋"/>
          <w:sz w:val="30"/>
          <w:szCs w:val="30"/>
          <w:lang w:eastAsia="zh-CN"/>
        </w:rPr>
        <w:t>全文包括总体情况、主动公开政府信息情况、收到和处理政府信息公开申请情况、政府信息公开行政复议、行政诉讼情况以及存在的主要问题和改进改进情况等。</w:t>
      </w:r>
    </w:p>
    <w:p>
      <w:pPr>
        <w:spacing w:line="360" w:lineRule="auto"/>
        <w:ind w:firstLine="600" w:firstLineChars="200"/>
        <w:jc w:val="left"/>
        <w:rPr>
          <w:rFonts w:hint="eastAsia" w:ascii="仿宋" w:hAnsi="仿宋" w:eastAsia="仿宋" w:cs="仿宋"/>
          <w:b/>
          <w:bCs/>
          <w:color w:val="000000"/>
          <w:kern w:val="0"/>
          <w:sz w:val="30"/>
          <w:szCs w:val="30"/>
        </w:rPr>
      </w:pPr>
      <w:r>
        <w:rPr>
          <w:rFonts w:hint="eastAsia" w:ascii="仿宋" w:hAnsi="仿宋" w:eastAsia="仿宋" w:cs="仿宋"/>
          <w:color w:val="000000"/>
          <w:sz w:val="30"/>
          <w:szCs w:val="30"/>
        </w:rPr>
        <w:t>本年度报告中所列数据统计期限从20</w:t>
      </w:r>
      <w:r>
        <w:rPr>
          <w:rFonts w:hint="eastAsia" w:ascii="仿宋" w:hAnsi="仿宋" w:eastAsia="仿宋" w:cs="仿宋"/>
          <w:color w:val="000000"/>
          <w:sz w:val="30"/>
          <w:szCs w:val="30"/>
          <w:lang w:val="en-US" w:eastAsia="zh-CN"/>
        </w:rPr>
        <w:t>20</w:t>
      </w:r>
      <w:r>
        <w:rPr>
          <w:rFonts w:hint="eastAsia" w:ascii="仿宋" w:hAnsi="仿宋" w:eastAsia="仿宋" w:cs="仿宋"/>
          <w:color w:val="000000"/>
          <w:sz w:val="30"/>
          <w:szCs w:val="30"/>
        </w:rPr>
        <w:t>年1月1日到12月31日止。如对本年度报告有任何疑问，请联系</w:t>
      </w:r>
      <w:r>
        <w:rPr>
          <w:rFonts w:hint="eastAsia" w:ascii="仿宋" w:hAnsi="仿宋" w:eastAsia="仿宋" w:cs="仿宋"/>
          <w:sz w:val="30"/>
          <w:szCs w:val="30"/>
        </w:rPr>
        <w:t>上海市闵行区梅陇镇人民政府(电话：</w:t>
      </w:r>
      <w:r>
        <w:rPr>
          <w:rFonts w:hint="eastAsia" w:ascii="仿宋" w:hAnsi="仿宋" w:eastAsia="仿宋" w:cs="仿宋"/>
          <w:color w:val="000000"/>
          <w:sz w:val="30"/>
          <w:szCs w:val="30"/>
        </w:rPr>
        <w:t>021-64970000，电子邮箱</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mlzxx@shmh.gov.cn)。</w:t>
      </w:r>
    </w:p>
    <w:p>
      <w:pPr>
        <w:spacing w:line="360" w:lineRule="auto"/>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一、总体情况</w:t>
      </w:r>
    </w:p>
    <w:p>
      <w:pPr>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梅陇镇贯彻《中华人民共和国政府信息公开条例》和《上海市政府信息公开规定》</w:t>
      </w:r>
      <w:r>
        <w:rPr>
          <w:rFonts w:hint="eastAsia" w:ascii="仿宋" w:hAnsi="仿宋" w:eastAsia="仿宋" w:cs="仿宋"/>
          <w:sz w:val="30"/>
          <w:szCs w:val="30"/>
          <w:lang w:eastAsia="zh-CN"/>
        </w:rPr>
        <w:t>，</w:t>
      </w:r>
      <w:r>
        <w:rPr>
          <w:rFonts w:hint="eastAsia" w:ascii="仿宋" w:hAnsi="仿宋" w:eastAsia="仿宋" w:cs="仿宋"/>
          <w:sz w:val="30"/>
          <w:szCs w:val="30"/>
        </w:rPr>
        <w:t>以及市、区政府信息公开工作要点的要求，在区委、区政府的领导下，认真完成各项政府信息公开工作任务。</w:t>
      </w:r>
      <w:r>
        <w:rPr>
          <w:rFonts w:hint="eastAsia" w:ascii="仿宋" w:hAnsi="仿宋" w:eastAsia="仿宋" w:cs="仿宋"/>
          <w:sz w:val="30"/>
          <w:szCs w:val="30"/>
          <w:lang w:val="en-US" w:eastAsia="zh-CN"/>
        </w:rPr>
        <w:t>政府办公室配备专门工作人员，</w:t>
      </w:r>
      <w:r>
        <w:rPr>
          <w:rFonts w:hint="eastAsia" w:ascii="仿宋" w:hAnsi="仿宋" w:eastAsia="仿宋" w:cs="仿宋"/>
          <w:sz w:val="30"/>
          <w:szCs w:val="30"/>
        </w:rPr>
        <w:t>结合实际情况，认真完成年度政府信息公开各项任务，政府信息主动公开、依申请公开、以及咨询答复等工作均得到了顺利开展。</w:t>
      </w:r>
    </w:p>
    <w:p>
      <w:pPr>
        <w:spacing w:line="360" w:lineRule="auto"/>
        <w:ind w:firstLine="602" w:firstLineChars="200"/>
        <w:jc w:val="left"/>
        <w:rPr>
          <w:rFonts w:hint="eastAsia" w:ascii="仿宋" w:hAnsi="仿宋" w:eastAsia="仿宋" w:cs="仿宋"/>
          <w:b/>
          <w:sz w:val="30"/>
          <w:szCs w:val="30"/>
          <w:lang w:eastAsia="zh-CN"/>
        </w:rPr>
      </w:pPr>
      <w:r>
        <w:rPr>
          <w:rFonts w:hint="eastAsia" w:ascii="仿宋" w:hAnsi="仿宋" w:eastAsia="仿宋" w:cs="仿宋"/>
          <w:b/>
          <w:sz w:val="30"/>
          <w:szCs w:val="30"/>
        </w:rPr>
        <w:t>1.主动公开工作方面</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sz w:val="30"/>
          <w:szCs w:val="30"/>
        </w:rPr>
      </w:pPr>
      <w:r>
        <w:rPr>
          <w:rFonts w:hint="eastAsia" w:ascii="仿宋" w:hAnsi="仿宋" w:eastAsia="仿宋" w:cs="仿宋"/>
          <w:kern w:val="0"/>
          <w:sz w:val="30"/>
          <w:szCs w:val="30"/>
          <w:lang w:val="en-US" w:eastAsia="zh-CN" w:bidi="ar"/>
        </w:rPr>
        <w:t>1.规范性文件0项；其他政策文件、政策解读公开情况，共计公开</w:t>
      </w:r>
      <w:r>
        <w:rPr>
          <w:rFonts w:hint="eastAsia" w:ascii="仿宋" w:hAnsi="仿宋" w:eastAsia="仿宋" w:cs="仿宋"/>
          <w:color w:val="auto"/>
          <w:kern w:val="0"/>
          <w:sz w:val="30"/>
          <w:szCs w:val="30"/>
          <w:lang w:val="en-US" w:eastAsia="zh-CN" w:bidi="ar"/>
        </w:rPr>
        <w:t>3</w:t>
      </w:r>
      <w:r>
        <w:rPr>
          <w:rFonts w:hint="eastAsia" w:ascii="仿宋" w:hAnsi="仿宋" w:eastAsia="仿宋" w:cs="仿宋"/>
          <w:kern w:val="0"/>
          <w:sz w:val="30"/>
          <w:szCs w:val="30"/>
          <w:lang w:val="en-US" w:eastAsia="zh-CN" w:bidi="ar"/>
        </w:rPr>
        <w:t>项。</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sz w:val="30"/>
          <w:szCs w:val="30"/>
        </w:rPr>
      </w:pPr>
      <w:r>
        <w:rPr>
          <w:rFonts w:hint="eastAsia" w:ascii="仿宋" w:hAnsi="仿宋" w:eastAsia="仿宋" w:cs="仿宋"/>
          <w:kern w:val="0"/>
          <w:sz w:val="30"/>
          <w:szCs w:val="30"/>
          <w:lang w:val="en-US" w:eastAsia="zh-CN" w:bidi="ar"/>
        </w:rPr>
        <w:t>2.机构信息、人事信息公开情况，共计公开3项。</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sz w:val="30"/>
          <w:szCs w:val="30"/>
        </w:rPr>
      </w:pPr>
      <w:r>
        <w:rPr>
          <w:rFonts w:hint="eastAsia" w:ascii="仿宋" w:hAnsi="仿宋" w:eastAsia="仿宋" w:cs="仿宋"/>
          <w:kern w:val="0"/>
          <w:sz w:val="30"/>
          <w:szCs w:val="30"/>
          <w:lang w:val="en-US" w:eastAsia="zh-CN" w:bidi="ar"/>
        </w:rPr>
        <w:t>3.各类计划规划信息公开情况，共计公开4项。</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sz w:val="30"/>
          <w:szCs w:val="30"/>
        </w:rPr>
      </w:pPr>
      <w:r>
        <w:rPr>
          <w:rFonts w:hint="eastAsia" w:ascii="仿宋" w:hAnsi="仿宋" w:eastAsia="仿宋" w:cs="仿宋"/>
          <w:kern w:val="0"/>
          <w:sz w:val="30"/>
          <w:szCs w:val="30"/>
          <w:lang w:val="en-US" w:eastAsia="zh-CN" w:bidi="ar"/>
        </w:rPr>
        <w:t>4.国民经济和社会发展统计信息公开情况，共计公开6项。</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sz w:val="30"/>
          <w:szCs w:val="30"/>
        </w:rPr>
      </w:pPr>
      <w:r>
        <w:rPr>
          <w:rFonts w:hint="eastAsia" w:ascii="仿宋" w:hAnsi="仿宋" w:eastAsia="仿宋" w:cs="仿宋"/>
          <w:kern w:val="0"/>
          <w:sz w:val="30"/>
          <w:szCs w:val="30"/>
          <w:lang w:val="en-US" w:eastAsia="zh-CN" w:bidi="ar"/>
        </w:rPr>
        <w:t>5.重大行政决策信息公开情况，共计公开3项。</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sz w:val="30"/>
          <w:szCs w:val="30"/>
        </w:rPr>
      </w:pPr>
      <w:r>
        <w:rPr>
          <w:rFonts w:hint="eastAsia" w:ascii="仿宋" w:hAnsi="仿宋" w:eastAsia="仿宋" w:cs="仿宋"/>
          <w:kern w:val="0"/>
          <w:sz w:val="30"/>
          <w:szCs w:val="30"/>
          <w:lang w:val="en-US" w:eastAsia="zh-CN" w:bidi="ar"/>
        </w:rPr>
        <w:t>6.办理行政许可事项和办理结果公开情况，共计公开4项。</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sz w:val="30"/>
          <w:szCs w:val="30"/>
        </w:rPr>
      </w:pPr>
      <w:r>
        <w:rPr>
          <w:rFonts w:hint="eastAsia" w:ascii="仿宋" w:hAnsi="仿宋" w:eastAsia="仿宋" w:cs="仿宋"/>
          <w:kern w:val="0"/>
          <w:sz w:val="30"/>
          <w:szCs w:val="30"/>
          <w:lang w:val="en-US" w:eastAsia="zh-CN" w:bidi="ar"/>
        </w:rPr>
        <w:t>7.实施行政处罚的依据、项件、程序以及本行政机关认为具有一定社会影响的行政处罚决定公开情况，共计公开10项。</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sz w:val="30"/>
          <w:szCs w:val="30"/>
        </w:rPr>
      </w:pPr>
      <w:r>
        <w:rPr>
          <w:rFonts w:hint="eastAsia" w:ascii="仿宋" w:hAnsi="仿宋" w:eastAsia="仿宋" w:cs="仿宋"/>
          <w:kern w:val="0"/>
          <w:sz w:val="30"/>
          <w:szCs w:val="30"/>
          <w:lang w:val="en-US" w:eastAsia="zh-CN" w:bidi="ar"/>
        </w:rPr>
        <w:t>8.财政信息公开情况，共计公开20项。</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sz w:val="30"/>
          <w:szCs w:val="30"/>
        </w:rPr>
      </w:pPr>
      <w:r>
        <w:rPr>
          <w:rFonts w:hint="eastAsia" w:ascii="仿宋" w:hAnsi="仿宋" w:eastAsia="仿宋" w:cs="仿宋"/>
          <w:kern w:val="0"/>
          <w:sz w:val="30"/>
          <w:szCs w:val="30"/>
          <w:lang w:val="en-US" w:eastAsia="zh-CN" w:bidi="ar"/>
        </w:rPr>
        <w:t>本年度，公开专项资金1项；预算绩效管理1项；镇级政府预决算4项；镇级财政收支11项；镇级部门预决算3项。</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sz w:val="30"/>
          <w:szCs w:val="30"/>
        </w:rPr>
      </w:pPr>
      <w:r>
        <w:rPr>
          <w:rFonts w:hint="eastAsia" w:ascii="仿宋" w:hAnsi="仿宋" w:eastAsia="仿宋" w:cs="仿宋"/>
          <w:kern w:val="0"/>
          <w:sz w:val="30"/>
          <w:szCs w:val="30"/>
          <w:lang w:val="en-US" w:eastAsia="zh-CN" w:bidi="ar"/>
        </w:rPr>
        <w:t>9.政府集中采购项目的目录、标准及实施情况</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sz w:val="30"/>
          <w:szCs w:val="30"/>
        </w:rPr>
      </w:pPr>
      <w:r>
        <w:rPr>
          <w:rFonts w:hint="eastAsia" w:ascii="仿宋" w:hAnsi="仿宋" w:eastAsia="仿宋" w:cs="仿宋"/>
          <w:kern w:val="0"/>
          <w:sz w:val="30"/>
          <w:szCs w:val="30"/>
          <w:lang w:val="en-US" w:eastAsia="zh-CN" w:bidi="ar"/>
        </w:rPr>
        <w:t>在上海政府采购网上公开政府集中采购品目27种及其成交结果，全年采购总金额54101万元。</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sz w:val="30"/>
          <w:szCs w:val="30"/>
        </w:rPr>
      </w:pPr>
      <w:r>
        <w:rPr>
          <w:rFonts w:hint="eastAsia" w:ascii="仿宋" w:hAnsi="仿宋" w:eastAsia="仿宋" w:cs="仿宋"/>
          <w:kern w:val="0"/>
          <w:sz w:val="30"/>
          <w:szCs w:val="30"/>
          <w:lang w:val="en-US" w:eastAsia="zh-CN" w:bidi="ar"/>
        </w:rPr>
        <w:t>10.教育、养老、农民专业合作社等重点工作方面的政策、措施及其实施情况，共计公开11项。</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sz w:val="30"/>
          <w:szCs w:val="30"/>
        </w:rPr>
      </w:pPr>
      <w:r>
        <w:rPr>
          <w:rFonts w:hint="eastAsia" w:ascii="仿宋" w:hAnsi="仿宋" w:eastAsia="仿宋" w:cs="仿宋"/>
          <w:kern w:val="0"/>
          <w:sz w:val="30"/>
          <w:szCs w:val="30"/>
          <w:lang w:val="en-US" w:eastAsia="zh-CN" w:bidi="ar"/>
        </w:rPr>
        <w:t>11.法治政府建设情况年度报告，共计公开1项。</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sz w:val="30"/>
          <w:szCs w:val="30"/>
        </w:rPr>
      </w:pPr>
      <w:r>
        <w:rPr>
          <w:rFonts w:hint="eastAsia" w:ascii="仿宋" w:hAnsi="仿宋" w:eastAsia="仿宋" w:cs="仿宋"/>
          <w:kern w:val="0"/>
          <w:sz w:val="30"/>
          <w:szCs w:val="30"/>
          <w:lang w:val="en-US" w:eastAsia="zh-CN" w:bidi="ar"/>
        </w:rPr>
        <w:t>12.年度执法工作公开情况，共计公开1项。</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sz w:val="30"/>
          <w:szCs w:val="30"/>
        </w:rPr>
      </w:pPr>
      <w:r>
        <w:rPr>
          <w:rFonts w:hint="eastAsia" w:ascii="仿宋" w:hAnsi="仿宋" w:eastAsia="仿宋" w:cs="仿宋"/>
          <w:kern w:val="0"/>
          <w:sz w:val="30"/>
          <w:szCs w:val="30"/>
          <w:lang w:val="en-US" w:eastAsia="zh-CN" w:bidi="ar"/>
        </w:rPr>
        <w:t>13.执法事项清单公开情况，共计公开1项。</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14.政务公开标准目录公开情况，共计公开1项。</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15.其他政府信息公开情况，共计公开6项。</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b/>
          <w:sz w:val="30"/>
          <w:szCs w:val="30"/>
        </w:rPr>
      </w:pPr>
      <w:r>
        <w:rPr>
          <w:rFonts w:hint="eastAsia" w:ascii="仿宋" w:hAnsi="仿宋" w:eastAsia="仿宋" w:cs="仿宋"/>
          <w:b/>
          <w:sz w:val="30"/>
          <w:szCs w:val="30"/>
        </w:rPr>
        <w:t>2.依申请公开方面</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本年度，梅陇镇总共收到信息公开申请15件，其中当面申请1件，网络申请13件，信函申请1件。予以公开的有9件，部分公开的为1件，无法提供的为3件，申请人主动撤销2件。</w:t>
      </w:r>
    </w:p>
    <w:p>
      <w:pPr>
        <w:keepNext w:val="0"/>
        <w:keepLines w:val="0"/>
        <w:widowControl/>
        <w:suppressLineNumbers w:val="0"/>
        <w:spacing w:before="0" w:beforeAutospacing="0" w:after="0" w:afterAutospacing="0" w:line="384" w:lineRule="atLeast"/>
        <w:ind w:left="0" w:right="0" w:firstLine="480"/>
        <w:jc w:val="both"/>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今年共有0件依申请政府信息公开转为主动公开，梅陇镇将继续做好依申请转主动公开工作。</w:t>
      </w:r>
    </w:p>
    <w:p>
      <w:pPr>
        <w:spacing w:line="360" w:lineRule="auto"/>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3.政府信息管理方面</w:t>
      </w:r>
    </w:p>
    <w:p>
      <w:pPr>
        <w:spacing w:line="360" w:lineRule="auto"/>
        <w:ind w:firstLine="600" w:firstLineChars="200"/>
        <w:jc w:val="left"/>
        <w:rPr>
          <w:rFonts w:hint="eastAsia" w:ascii="仿宋" w:hAnsi="仿宋" w:eastAsia="仿宋" w:cs="仿宋"/>
          <w:color w:val="000000"/>
          <w:kern w:val="0"/>
          <w:sz w:val="30"/>
          <w:szCs w:val="30"/>
        </w:rPr>
      </w:pPr>
      <w:r>
        <w:rPr>
          <w:rFonts w:hint="eastAsia" w:ascii="仿宋" w:hAnsi="仿宋" w:eastAsia="仿宋" w:cs="仿宋"/>
          <w:sz w:val="30"/>
          <w:szCs w:val="30"/>
        </w:rPr>
        <w:t>坚持“以公开为常态、不公开为例外，遵循公正、公平、合法、便民”的原则，建立相关领导总负责，镇政府办公室负责协调、落实，各相关单位、部门科室紧密配合的工作网络。第一时间传达并贯彻执行区府相关文件精神和具体工作要求，结合本镇情实际情况、认真研究、细致部署镇相关工作。工作中，镇政府办公室执行岗位AB角制度，一方面积极参与区举办的各类信息公开培训，领会精神、明确思路；同时，与本镇相关单位、部门加强沟通，掌握动态信息、了解热点、焦点，传播信息公开工作要点。</w:t>
      </w:r>
      <w:r>
        <w:rPr>
          <w:rFonts w:hint="eastAsia" w:ascii="仿宋" w:hAnsi="仿宋" w:eastAsia="仿宋" w:cs="仿宋"/>
          <w:color w:val="000000"/>
          <w:kern w:val="0"/>
          <w:sz w:val="30"/>
          <w:szCs w:val="30"/>
        </w:rPr>
        <w:t xml:space="preserve"> </w:t>
      </w:r>
    </w:p>
    <w:p>
      <w:pPr>
        <w:spacing w:line="360" w:lineRule="auto"/>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4.平台建设方面</w:t>
      </w:r>
    </w:p>
    <w:p>
      <w:pPr>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根据区政府统一部署，坚持区政府门户网站是政府信息公开第一平台的理念，由政府办公室全面执行公开信息发布和平台维护工作，专人专职、定岗定责，严格执行《条例》规定，依法依规、主动及时地将相关信息于区政府门户网站平台进行发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同时，通过梅陇</w:t>
      </w:r>
      <w:r>
        <w:rPr>
          <w:rFonts w:hint="eastAsia" w:ascii="仿宋" w:hAnsi="仿宋" w:eastAsia="仿宋" w:cs="仿宋"/>
          <w:i w:val="0"/>
          <w:caps w:val="0"/>
          <w:color w:val="000000"/>
          <w:spacing w:val="0"/>
          <w:sz w:val="30"/>
          <w:szCs w:val="30"/>
          <w:shd w:val="clear" w:fill="FFFFFF"/>
        </w:rPr>
        <w:t>报、</w:t>
      </w:r>
      <w:r>
        <w:rPr>
          <w:rFonts w:hint="eastAsia" w:ascii="仿宋" w:hAnsi="仿宋" w:eastAsia="仿宋" w:cs="仿宋"/>
          <w:i w:val="0"/>
          <w:caps w:val="0"/>
          <w:color w:val="000000"/>
          <w:spacing w:val="0"/>
          <w:sz w:val="30"/>
          <w:szCs w:val="30"/>
          <w:shd w:val="clear" w:fill="FFFFFF"/>
          <w:lang w:eastAsia="zh-CN"/>
        </w:rPr>
        <w:t>“</w:t>
      </w:r>
      <w:r>
        <w:rPr>
          <w:rFonts w:hint="eastAsia" w:ascii="仿宋" w:hAnsi="仿宋" w:eastAsia="仿宋" w:cs="仿宋"/>
          <w:i w:val="0"/>
          <w:caps w:val="0"/>
          <w:color w:val="000000"/>
          <w:spacing w:val="0"/>
          <w:sz w:val="30"/>
          <w:szCs w:val="30"/>
          <w:shd w:val="clear" w:fill="FFFFFF"/>
          <w:lang w:val="en-US" w:eastAsia="zh-CN"/>
        </w:rPr>
        <w:t>人文梅陇</w:t>
      </w:r>
      <w:r>
        <w:rPr>
          <w:rFonts w:hint="eastAsia" w:ascii="仿宋" w:hAnsi="仿宋" w:eastAsia="仿宋" w:cs="仿宋"/>
          <w:i w:val="0"/>
          <w:caps w:val="0"/>
          <w:color w:val="000000"/>
          <w:spacing w:val="0"/>
          <w:sz w:val="30"/>
          <w:szCs w:val="30"/>
          <w:shd w:val="clear" w:fill="FFFFFF"/>
          <w:lang w:eastAsia="zh-CN"/>
        </w:rPr>
        <w:t>”</w:t>
      </w:r>
      <w:r>
        <w:rPr>
          <w:rFonts w:hint="eastAsia" w:ascii="仿宋" w:hAnsi="仿宋" w:eastAsia="仿宋" w:cs="仿宋"/>
          <w:i w:val="0"/>
          <w:caps w:val="0"/>
          <w:color w:val="000000"/>
          <w:spacing w:val="0"/>
          <w:sz w:val="30"/>
          <w:szCs w:val="30"/>
          <w:shd w:val="clear" w:fill="FFFFFF"/>
        </w:rPr>
        <w:t>微信公众号</w:t>
      </w:r>
      <w:r>
        <w:rPr>
          <w:rFonts w:hint="eastAsia" w:ascii="仿宋" w:hAnsi="仿宋" w:eastAsia="仿宋" w:cs="仿宋"/>
          <w:i w:val="0"/>
          <w:caps w:val="0"/>
          <w:color w:val="000000"/>
          <w:spacing w:val="0"/>
          <w:sz w:val="30"/>
          <w:szCs w:val="30"/>
          <w:shd w:val="clear" w:fill="FFFFFF"/>
          <w:lang w:val="en-US" w:eastAsia="zh-CN"/>
        </w:rPr>
        <w:t>公开相关讯息。</w:t>
      </w:r>
    </w:p>
    <w:p>
      <w:pPr>
        <w:spacing w:line="360" w:lineRule="auto"/>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5.监督保障方面</w:t>
      </w:r>
    </w:p>
    <w:p>
      <w:pPr>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加强工作人员队伍建设，认真学习新修订的《政府信息公开条例》及相关政策，进一步规范信息公开工作。探索并建立政府信息公开监管长效机制，将政府信息公开工作纳入年终考核，加强对考核结果的评估利用。</w:t>
      </w:r>
    </w:p>
    <w:p>
      <w:pPr>
        <w:widowControl/>
        <w:spacing w:line="384" w:lineRule="atLeast"/>
        <w:ind w:firstLine="480"/>
        <w:rPr>
          <w:rFonts w:hint="eastAsia" w:ascii="仿宋" w:hAnsi="仿宋" w:eastAsia="仿宋" w:cs="仿宋"/>
          <w:color w:val="000000"/>
          <w:kern w:val="0"/>
          <w:sz w:val="30"/>
          <w:szCs w:val="30"/>
        </w:rPr>
      </w:pPr>
      <w:r>
        <w:rPr>
          <w:rFonts w:hint="eastAsia" w:ascii="仿宋" w:hAnsi="仿宋" w:eastAsia="仿宋" w:cs="仿宋"/>
          <w:b/>
          <w:bCs/>
          <w:color w:val="000000"/>
          <w:kern w:val="0"/>
          <w:sz w:val="30"/>
          <w:szCs w:val="30"/>
        </w:rPr>
        <w:t>二、主动公开政府信息情况</w:t>
      </w:r>
      <w:r>
        <w:rPr>
          <w:rFonts w:hint="eastAsia" w:ascii="仿宋" w:hAnsi="仿宋" w:eastAsia="仿宋" w:cs="仿宋"/>
          <w:b/>
          <w:bCs/>
          <w:color w:val="000000"/>
          <w:kern w:val="0"/>
          <w:sz w:val="30"/>
          <w:szCs w:val="30"/>
        </w:rPr>
        <w:br w:type="textWrapping"/>
      </w:r>
    </w:p>
    <w:tbl>
      <w:tblPr>
        <w:tblStyle w:val="4"/>
        <w:tblW w:w="8140" w:type="dxa"/>
        <w:jc w:val="center"/>
        <w:tblLayout w:type="autofit"/>
        <w:tblCellMar>
          <w:top w:w="15" w:type="dxa"/>
          <w:left w:w="15" w:type="dxa"/>
          <w:bottom w:w="15" w:type="dxa"/>
          <w:right w:w="15" w:type="dxa"/>
        </w:tblCellMar>
      </w:tblPr>
      <w:tblGrid>
        <w:gridCol w:w="3113"/>
        <w:gridCol w:w="1875"/>
        <w:gridCol w:w="6"/>
        <w:gridCol w:w="1265"/>
        <w:gridCol w:w="1881"/>
      </w:tblGrid>
      <w:tr>
        <w:tblPrEx>
          <w:tblCellMar>
            <w:top w:w="15" w:type="dxa"/>
            <w:left w:w="15" w:type="dxa"/>
            <w:bottom w:w="15" w:type="dxa"/>
            <w:right w:w="15"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0"/>
                <w:szCs w:val="20"/>
              </w:rPr>
              <w:t>第二十条第（一）项</w:t>
            </w:r>
          </w:p>
        </w:tc>
      </w:tr>
      <w:tr>
        <w:tblPrEx>
          <w:tblCellMar>
            <w:top w:w="15" w:type="dxa"/>
            <w:left w:w="15" w:type="dxa"/>
            <w:bottom w:w="15" w:type="dxa"/>
            <w:right w:w="15"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制作数量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公开数量</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对外公开总数量</w:t>
            </w:r>
          </w:p>
        </w:tc>
      </w:tr>
      <w:tr>
        <w:tblPrEx>
          <w:tblCellMar>
            <w:top w:w="15" w:type="dxa"/>
            <w:left w:w="15" w:type="dxa"/>
            <w:bottom w:w="15" w:type="dxa"/>
            <w:right w:w="15"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规章</w:t>
            </w:r>
          </w:p>
        </w:tc>
        <w:tc>
          <w:tcPr>
            <w:tcW w:w="187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0"/>
                <w:szCs w:val="20"/>
                <w:lang w:val="en-US" w:eastAsia="zh-CN"/>
              </w:rPr>
              <w:t>0</w:t>
            </w:r>
          </w:p>
        </w:tc>
        <w:tc>
          <w:tcPr>
            <w:tcW w:w="127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15" w:type="dxa"/>
            <w:left w:w="15" w:type="dxa"/>
            <w:bottom w:w="15" w:type="dxa"/>
            <w:right w:w="15"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规范性文件</w:t>
            </w:r>
          </w:p>
        </w:tc>
        <w:tc>
          <w:tcPr>
            <w:tcW w:w="187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27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15" w:type="dxa"/>
            <w:left w:w="15" w:type="dxa"/>
            <w:bottom w:w="15" w:type="dxa"/>
            <w:right w:w="15"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第二十条第（五）项</w:t>
            </w:r>
          </w:p>
        </w:tc>
      </w:tr>
      <w:tr>
        <w:tblPrEx>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处理决定数量</w:t>
            </w:r>
          </w:p>
        </w:tc>
      </w:tr>
      <w:tr>
        <w:tblPrEx>
          <w:tblCellMar>
            <w:top w:w="15" w:type="dxa"/>
            <w:left w:w="15" w:type="dxa"/>
            <w:bottom w:w="15" w:type="dxa"/>
            <w:right w:w="15"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行政许可</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44</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44</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15" w:type="dxa"/>
            <w:left w:w="15" w:type="dxa"/>
            <w:bottom w:w="15" w:type="dxa"/>
            <w:right w:w="15"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其他对外管理服务事项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15" w:type="dxa"/>
            <w:left w:w="15" w:type="dxa"/>
            <w:bottom w:w="15" w:type="dxa"/>
            <w:right w:w="15"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第二十条第（六）项</w:t>
            </w:r>
          </w:p>
        </w:tc>
      </w:tr>
      <w:tr>
        <w:tblPrEx>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处理决定数量</w:t>
            </w:r>
          </w:p>
        </w:tc>
      </w:tr>
      <w:tr>
        <w:tblPrEx>
          <w:tblCellMar>
            <w:top w:w="15" w:type="dxa"/>
            <w:left w:w="15" w:type="dxa"/>
            <w:bottom w:w="15" w:type="dxa"/>
            <w:right w:w="15"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行政处罚</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default"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val="en-US" w:eastAsia="zh-CN" w:bidi="ar-SA"/>
              </w:rPr>
              <w:t>472</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default"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val="en-US" w:eastAsia="zh-CN" w:bidi="ar-SA"/>
              </w:rPr>
              <w:t>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default"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lang w:val="en-US" w:eastAsia="zh-CN" w:bidi="ar-SA"/>
              </w:rPr>
              <w:t>472</w:t>
            </w:r>
          </w:p>
        </w:tc>
      </w:tr>
      <w:tr>
        <w:tblPrEx>
          <w:tblCellMar>
            <w:top w:w="15" w:type="dxa"/>
            <w:left w:w="15" w:type="dxa"/>
            <w:bottom w:w="15" w:type="dxa"/>
            <w:right w:w="15"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行政强制</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18</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18</w:t>
            </w:r>
          </w:p>
        </w:tc>
      </w:tr>
      <w:tr>
        <w:tblPrEx>
          <w:tblCellMar>
            <w:top w:w="15" w:type="dxa"/>
            <w:left w:w="15" w:type="dxa"/>
            <w:bottom w:w="15" w:type="dxa"/>
            <w:right w:w="15"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第二十条第（八）项</w:t>
            </w:r>
          </w:p>
        </w:tc>
      </w:tr>
      <w:tr>
        <w:tblPrEx>
          <w:tblCellMar>
            <w:top w:w="15" w:type="dxa"/>
            <w:left w:w="15" w:type="dxa"/>
            <w:bottom w:w="15" w:type="dxa"/>
            <w:right w:w="15"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信息内容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上一年项目数量</w:t>
            </w:r>
          </w:p>
        </w:tc>
        <w:tc>
          <w:tcPr>
            <w:tcW w:w="3146" w:type="dxa"/>
            <w:gridSpan w:val="2"/>
            <w:tcBorders>
              <w:top w:val="single" w:color="auto" w:sz="8" w:space="0"/>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本年增/减</w:t>
            </w:r>
          </w:p>
        </w:tc>
      </w:tr>
      <w:tr>
        <w:tblPrEx>
          <w:tblCellMar>
            <w:top w:w="15" w:type="dxa"/>
            <w:left w:w="15" w:type="dxa"/>
            <w:bottom w:w="15" w:type="dxa"/>
            <w:right w:w="15"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行政事业性收费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rPr>
              <w:t>0</w:t>
            </w:r>
          </w:p>
        </w:tc>
        <w:tc>
          <w:tcPr>
            <w:tcW w:w="3146" w:type="dxa"/>
            <w:gridSpan w:val="2"/>
            <w:tcBorders>
              <w:top w:val="nil"/>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widowControl/>
              <w:jc w:val="center"/>
              <w:rPr>
                <w:rFonts w:ascii="宋体" w:hAnsi="宋体" w:cs="宋体" w:eastAsiaTheme="minorEastAsia"/>
                <w:color w:val="000000"/>
                <w:kern w:val="0"/>
                <w:sz w:val="20"/>
                <w:szCs w:val="20"/>
                <w:lang w:val="en-US" w:eastAsia="zh-CN" w:bidi="ar-SA"/>
              </w:rPr>
            </w:pPr>
            <w:r>
              <w:rPr>
                <w:rFonts w:hint="eastAsia" w:ascii="宋体" w:hAnsi="宋体" w:cs="宋体"/>
                <w:color w:val="000000"/>
                <w:kern w:val="0"/>
                <w:sz w:val="20"/>
                <w:szCs w:val="20"/>
              </w:rPr>
              <w:t>0</w:t>
            </w:r>
          </w:p>
        </w:tc>
      </w:tr>
      <w:tr>
        <w:tblPrEx>
          <w:tblCellMar>
            <w:top w:w="15" w:type="dxa"/>
            <w:left w:w="15" w:type="dxa"/>
            <w:bottom w:w="15" w:type="dxa"/>
            <w:right w:w="15"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第二十条第（九）项</w:t>
            </w:r>
          </w:p>
        </w:tc>
      </w:tr>
      <w:tr>
        <w:tblPrEx>
          <w:tblCellMar>
            <w:top w:w="15" w:type="dxa"/>
            <w:left w:w="15" w:type="dxa"/>
            <w:bottom w:w="15" w:type="dxa"/>
            <w:right w:w="15"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信息内容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采购项目数量</w:t>
            </w:r>
          </w:p>
        </w:tc>
        <w:tc>
          <w:tcPr>
            <w:tcW w:w="3146" w:type="dxa"/>
            <w:gridSpan w:val="2"/>
            <w:tcBorders>
              <w:top w:val="single" w:color="auto" w:sz="8" w:space="0"/>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采购总金额</w:t>
            </w:r>
          </w:p>
        </w:tc>
      </w:tr>
      <w:tr>
        <w:tblPrEx>
          <w:tblCellMar>
            <w:top w:w="15" w:type="dxa"/>
            <w:left w:w="15" w:type="dxa"/>
            <w:bottom w:w="15" w:type="dxa"/>
            <w:right w:w="15"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政府集中采购</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0"/>
                <w:szCs w:val="20"/>
                <w:lang w:val="en-US" w:eastAsia="zh-CN"/>
              </w:rPr>
              <w:t>27</w:t>
            </w:r>
          </w:p>
        </w:tc>
        <w:tc>
          <w:tcPr>
            <w:tcW w:w="3146" w:type="dxa"/>
            <w:gridSpan w:val="2"/>
            <w:tcBorders>
              <w:top w:val="nil"/>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0"/>
                <w:szCs w:val="20"/>
                <w:lang w:val="en-US" w:eastAsia="zh-CN"/>
              </w:rPr>
              <w:t>54101万元</w:t>
            </w:r>
          </w:p>
        </w:tc>
      </w:tr>
    </w:tbl>
    <w:p>
      <w:pPr>
        <w:widowControl/>
        <w:spacing w:line="384" w:lineRule="atLeast"/>
        <w:ind w:firstLine="480"/>
        <w:rPr>
          <w:rFonts w:ascii="宋体" w:hAnsi="宋体" w:eastAsia="宋体" w:cs="宋体"/>
          <w:color w:val="000000"/>
          <w:kern w:val="0"/>
          <w:sz w:val="24"/>
          <w:szCs w:val="24"/>
        </w:rPr>
      </w:pPr>
    </w:p>
    <w:p>
      <w:pPr>
        <w:widowControl/>
        <w:spacing w:line="384" w:lineRule="atLeast"/>
        <w:ind w:firstLine="480"/>
        <w:rPr>
          <w:rFonts w:hint="eastAsia" w:ascii="宋体" w:hAnsi="宋体" w:eastAsia="宋体" w:cs="宋体"/>
          <w:color w:val="000000"/>
          <w:kern w:val="0"/>
          <w:sz w:val="24"/>
          <w:szCs w:val="24"/>
        </w:rPr>
      </w:pPr>
      <w:r>
        <w:rPr>
          <w:rFonts w:hint="eastAsia" w:ascii="仿宋" w:hAnsi="仿宋" w:eastAsia="仿宋" w:cs="仿宋"/>
          <w:b/>
          <w:bCs/>
          <w:color w:val="000000"/>
          <w:kern w:val="0"/>
          <w:sz w:val="30"/>
          <w:szCs w:val="30"/>
        </w:rPr>
        <w:t>三、收到和处理政府信息公开申请情况</w:t>
      </w:r>
      <w:r>
        <w:rPr>
          <w:rFonts w:hint="eastAsia" w:ascii="仿宋" w:hAnsi="仿宋" w:eastAsia="仿宋" w:cs="仿宋"/>
          <w:b/>
          <w:bCs/>
          <w:color w:val="000000"/>
          <w:kern w:val="0"/>
          <w:sz w:val="30"/>
          <w:szCs w:val="30"/>
        </w:rPr>
        <w:br w:type="textWrapping"/>
      </w:r>
      <w:r>
        <w:rPr>
          <w:rFonts w:hint="eastAsia" w:ascii="宋体" w:hAnsi="宋体" w:eastAsia="宋体" w:cs="宋体"/>
          <w:b/>
          <w:bCs/>
          <w:color w:val="000000"/>
          <w:kern w:val="0"/>
          <w:sz w:val="24"/>
          <w:szCs w:val="24"/>
        </w:rPr>
        <w:br w:type="textWrapping"/>
      </w:r>
    </w:p>
    <w:tbl>
      <w:tblPr>
        <w:tblStyle w:val="4"/>
        <w:tblW w:w="9071" w:type="dxa"/>
        <w:jc w:val="center"/>
        <w:tblLayout w:type="autofit"/>
        <w:tblCellMar>
          <w:top w:w="15" w:type="dxa"/>
          <w:left w:w="15" w:type="dxa"/>
          <w:bottom w:w="15" w:type="dxa"/>
          <w:right w:w="15" w:type="dxa"/>
        </w:tblCellMar>
      </w:tblPr>
      <w:tblGrid>
        <w:gridCol w:w="616"/>
        <w:gridCol w:w="854"/>
        <w:gridCol w:w="2159"/>
        <w:gridCol w:w="740"/>
        <w:gridCol w:w="755"/>
        <w:gridCol w:w="755"/>
        <w:gridCol w:w="813"/>
        <w:gridCol w:w="973"/>
        <w:gridCol w:w="711"/>
        <w:gridCol w:w="695"/>
      </w:tblGrid>
      <w:tr>
        <w:tblPrEx>
          <w:tblCellMar>
            <w:top w:w="15" w:type="dxa"/>
            <w:left w:w="15" w:type="dxa"/>
            <w:bottom w:w="15" w:type="dxa"/>
            <w:right w:w="15" w:type="dxa"/>
          </w:tblCellMar>
        </w:tblPrEx>
        <w:trPr>
          <w:jc w:val="center"/>
        </w:trPr>
        <w:tc>
          <w:tcPr>
            <w:tcW w:w="3629" w:type="dxa"/>
            <w:gridSpan w:val="3"/>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0"/>
                <w:szCs w:val="20"/>
              </w:rPr>
              <w:t>（本列数据的勾稽关系为：第一项加第二项之和，等于第三项加第四项之和）</w:t>
            </w:r>
          </w:p>
        </w:tc>
        <w:tc>
          <w:tcPr>
            <w:tcW w:w="5442" w:type="dxa"/>
            <w:gridSpan w:val="7"/>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申请人情况</w:t>
            </w:r>
          </w:p>
        </w:tc>
      </w:tr>
      <w:tr>
        <w:tblPrEx>
          <w:tblCellMar>
            <w:top w:w="15" w:type="dxa"/>
            <w:left w:w="15" w:type="dxa"/>
            <w:bottom w:w="15" w:type="dxa"/>
            <w:right w:w="15" w:type="dxa"/>
          </w:tblCellMar>
        </w:tblPrEx>
        <w:trPr>
          <w:jc w:val="center"/>
        </w:trPr>
        <w:tc>
          <w:tcPr>
            <w:tcW w:w="362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740"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自然人</w:t>
            </w:r>
          </w:p>
        </w:tc>
        <w:tc>
          <w:tcPr>
            <w:tcW w:w="4007"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法人或其他组织</w:t>
            </w:r>
          </w:p>
        </w:tc>
        <w:tc>
          <w:tcPr>
            <w:tcW w:w="695"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总计</w:t>
            </w:r>
          </w:p>
        </w:tc>
      </w:tr>
      <w:tr>
        <w:tblPrEx>
          <w:tblCellMar>
            <w:top w:w="15" w:type="dxa"/>
            <w:left w:w="15" w:type="dxa"/>
            <w:bottom w:w="15" w:type="dxa"/>
            <w:right w:w="15" w:type="dxa"/>
          </w:tblCellMar>
        </w:tblPrEx>
        <w:trPr>
          <w:jc w:val="center"/>
        </w:trPr>
        <w:tc>
          <w:tcPr>
            <w:tcW w:w="362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740"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商业企业</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科研机构</w:t>
            </w:r>
          </w:p>
        </w:tc>
        <w:tc>
          <w:tcPr>
            <w:tcW w:w="813"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社会公益组织</w:t>
            </w:r>
          </w:p>
        </w:tc>
        <w:tc>
          <w:tcPr>
            <w:tcW w:w="973"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法律服务机构</w:t>
            </w:r>
          </w:p>
        </w:tc>
        <w:tc>
          <w:tcPr>
            <w:tcW w:w="711"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r>
      <w:tr>
        <w:tblPrEx>
          <w:tblCellMar>
            <w:top w:w="15" w:type="dxa"/>
            <w:left w:w="15" w:type="dxa"/>
            <w:bottom w:w="15" w:type="dxa"/>
            <w:right w:w="15" w:type="dxa"/>
          </w:tblCellMar>
        </w:tblPrEx>
        <w:trPr>
          <w:jc w:val="center"/>
        </w:trPr>
        <w:tc>
          <w:tcPr>
            <w:tcW w:w="3629"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一、本年新收政府信息公开申请数量</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2"/>
                <w:lang w:val="en-US" w:eastAsia="zh-CN" w:bidi="ar-SA"/>
              </w:rPr>
            </w:pPr>
            <w:r>
              <w:rPr>
                <w:rFonts w:hint="eastAsia" w:ascii="宋体" w:hAnsi="宋体" w:cs="宋体"/>
                <w:color w:val="000000"/>
                <w:kern w:val="0"/>
                <w:sz w:val="24"/>
              </w:rPr>
              <w:t>1</w:t>
            </w:r>
            <w:r>
              <w:rPr>
                <w:rFonts w:hint="eastAsia" w:ascii="宋体" w:hAnsi="宋体" w:cs="宋体"/>
                <w:color w:val="000000"/>
                <w:kern w:val="0"/>
                <w:sz w:val="24"/>
                <w:lang w:val="en-US" w:eastAsia="zh-CN"/>
              </w:rPr>
              <w:t>4</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2"/>
                <w:lang w:val="en-US" w:eastAsia="zh-CN" w:bidi="ar-SA"/>
              </w:rPr>
            </w:pPr>
            <w:r>
              <w:rPr>
                <w:rFonts w:hint="eastAsia" w:ascii="宋体" w:hAnsi="宋体" w:cs="宋体"/>
                <w:color w:val="000000"/>
                <w:kern w:val="0"/>
                <w:sz w:val="24"/>
                <w:lang w:val="en-US" w:eastAsia="zh-CN"/>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eastAsiaTheme="minorEastAsia"/>
                <w:color w:val="000000"/>
                <w:kern w:val="0"/>
                <w:sz w:val="24"/>
                <w:szCs w:val="22"/>
                <w:lang w:val="en-US" w:eastAsia="zh-CN" w:bidi="ar-SA"/>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eastAsiaTheme="minorEastAsia"/>
                <w:color w:val="000000"/>
                <w:kern w:val="0"/>
                <w:sz w:val="24"/>
                <w:szCs w:val="22"/>
                <w:lang w:val="en-US" w:eastAsia="zh-CN" w:bidi="ar-SA"/>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eastAsiaTheme="minorEastAsia"/>
                <w:color w:val="000000"/>
                <w:kern w:val="0"/>
                <w:sz w:val="24"/>
                <w:szCs w:val="22"/>
                <w:lang w:val="en-US" w:eastAsia="zh-CN" w:bidi="ar-SA"/>
              </w:rPr>
            </w:pPr>
            <w:r>
              <w:rPr>
                <w:rFonts w:hint="eastAsia" w:ascii="宋体" w:hAnsi="宋体" w:cs="宋体"/>
                <w:color w:val="000000"/>
                <w:kern w:val="0"/>
                <w:sz w:val="24"/>
              </w:rPr>
              <w:t>1</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eastAsiaTheme="minorEastAsia"/>
                <w:color w:val="000000"/>
                <w:kern w:val="0"/>
                <w:sz w:val="24"/>
                <w:szCs w:val="22"/>
                <w:lang w:val="en-US" w:eastAsia="zh-CN" w:bidi="ar-SA"/>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2"/>
                <w:lang w:val="en-US" w:eastAsia="zh-CN" w:bidi="ar-SA"/>
              </w:rPr>
            </w:pPr>
            <w:r>
              <w:rPr>
                <w:rFonts w:hint="eastAsia" w:ascii="宋体" w:hAnsi="宋体" w:cs="宋体"/>
                <w:color w:val="000000"/>
                <w:kern w:val="0"/>
                <w:sz w:val="24"/>
              </w:rPr>
              <w:t>1</w:t>
            </w:r>
            <w:r>
              <w:rPr>
                <w:rFonts w:hint="eastAsia" w:ascii="宋体" w:hAnsi="宋体" w:cs="宋体"/>
                <w:color w:val="000000"/>
                <w:kern w:val="0"/>
                <w:sz w:val="24"/>
                <w:lang w:val="en-US" w:eastAsia="zh-CN"/>
              </w:rPr>
              <w:t>5</w:t>
            </w:r>
          </w:p>
        </w:tc>
      </w:tr>
      <w:tr>
        <w:tblPrEx>
          <w:tblCellMar>
            <w:top w:w="15" w:type="dxa"/>
            <w:left w:w="15" w:type="dxa"/>
            <w:bottom w:w="15" w:type="dxa"/>
            <w:right w:w="15" w:type="dxa"/>
          </w:tblCellMar>
        </w:tblPrEx>
        <w:trPr>
          <w:jc w:val="center"/>
        </w:trPr>
        <w:tc>
          <w:tcPr>
            <w:tcW w:w="3629"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二、上年结转政府信息公开申请数量</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p>
        </w:tc>
      </w:tr>
      <w:tr>
        <w:tblPrEx>
          <w:tblCellMar>
            <w:top w:w="15" w:type="dxa"/>
            <w:left w:w="15" w:type="dxa"/>
            <w:bottom w:w="15" w:type="dxa"/>
            <w:right w:w="15" w:type="dxa"/>
          </w:tblCellMar>
        </w:tblPrEx>
        <w:trPr>
          <w:jc w:val="center"/>
        </w:trPr>
        <w:tc>
          <w:tcPr>
            <w:tcW w:w="616"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三、本年度办理结果</w:t>
            </w:r>
          </w:p>
        </w:tc>
        <w:tc>
          <w:tcPr>
            <w:tcW w:w="3013"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（一）予以公开</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9</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9</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3013"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（二）部分公开（区分处理的，只计这一情形，不计其他情形）</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1</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1</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85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（三）不予公开</w:t>
            </w:r>
          </w:p>
        </w:tc>
        <w:tc>
          <w:tcPr>
            <w:tcW w:w="215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1.属于国家秘密</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p>
        </w:tc>
        <w:tc>
          <w:tcPr>
            <w:tcW w:w="215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2.其他法律行政法规禁止公开</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p>
        </w:tc>
        <w:tc>
          <w:tcPr>
            <w:tcW w:w="215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3.危及“三安全一稳定”</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p>
        </w:tc>
        <w:tc>
          <w:tcPr>
            <w:tcW w:w="215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4.保护第三方合法权益</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1</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1</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p>
        </w:tc>
        <w:tc>
          <w:tcPr>
            <w:tcW w:w="215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5.属于三类内部事务信息</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p>
        </w:tc>
        <w:tc>
          <w:tcPr>
            <w:tcW w:w="215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6.属于四类过程性信息</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p>
        </w:tc>
        <w:tc>
          <w:tcPr>
            <w:tcW w:w="215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7.属于行政执法案卷</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p>
        </w:tc>
        <w:tc>
          <w:tcPr>
            <w:tcW w:w="215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8.属于行政查询事项</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85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（四）无法提供</w:t>
            </w:r>
          </w:p>
        </w:tc>
        <w:tc>
          <w:tcPr>
            <w:tcW w:w="215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1.本机关不掌握相关政府信息</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p>
        </w:tc>
        <w:tc>
          <w:tcPr>
            <w:tcW w:w="215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2.没有现成信息需要另行制作</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2</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2</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p>
        </w:tc>
        <w:tc>
          <w:tcPr>
            <w:tcW w:w="215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3.补正后申请内容仍不明确</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85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（五）不予处理</w:t>
            </w:r>
          </w:p>
        </w:tc>
        <w:tc>
          <w:tcPr>
            <w:tcW w:w="215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1.信访举报投诉类申请</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p>
        </w:tc>
        <w:tc>
          <w:tcPr>
            <w:tcW w:w="215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2.重复申请</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p>
        </w:tc>
        <w:tc>
          <w:tcPr>
            <w:tcW w:w="215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3.要求提供公开出版物</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p>
        </w:tc>
        <w:tc>
          <w:tcPr>
            <w:tcW w:w="215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4.无正当理由大量反复申请</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p>
        </w:tc>
        <w:tc>
          <w:tcPr>
            <w:tcW w:w="215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5.要求行政机关确认或重新出具已获取信息</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3013"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（六）其他处理</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2</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2</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3013"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（七）总计</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14</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1</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ascii="宋体" w:hAnsi="宋体" w:cs="宋体" w:eastAsiaTheme="minorEastAsia"/>
                <w:color w:val="000000"/>
                <w:kern w:val="0"/>
                <w:sz w:val="24"/>
                <w:szCs w:val="24"/>
                <w:lang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5</w:t>
            </w:r>
          </w:p>
        </w:tc>
      </w:tr>
      <w:tr>
        <w:tblPrEx>
          <w:tblCellMar>
            <w:top w:w="15" w:type="dxa"/>
            <w:left w:w="15" w:type="dxa"/>
            <w:bottom w:w="15" w:type="dxa"/>
            <w:right w:w="15" w:type="dxa"/>
          </w:tblCellMar>
        </w:tblPrEx>
        <w:trPr>
          <w:jc w:val="center"/>
        </w:trPr>
        <w:tc>
          <w:tcPr>
            <w:tcW w:w="3629"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四、结转下年度继续办理</w:t>
            </w:r>
          </w:p>
        </w:tc>
        <w:tc>
          <w:tcPr>
            <w:tcW w:w="7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lang w:val="en-US" w:eastAsia="zh-CN"/>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cs="宋体"/>
                <w:color w:val="000000"/>
                <w:kern w:val="0"/>
                <w:sz w:val="24"/>
                <w:lang w:val="en-US" w:eastAsia="zh-CN"/>
              </w:rPr>
              <w:t>0</w:t>
            </w:r>
          </w:p>
        </w:tc>
      </w:tr>
    </w:tbl>
    <w:p>
      <w:pPr>
        <w:widowControl/>
        <w:spacing w:line="384" w:lineRule="atLeast"/>
        <w:ind w:firstLine="480"/>
        <w:rPr>
          <w:rFonts w:ascii="宋体" w:hAnsi="宋体" w:eastAsia="宋体" w:cs="宋体"/>
          <w:color w:val="000000"/>
          <w:kern w:val="0"/>
          <w:sz w:val="24"/>
          <w:szCs w:val="24"/>
        </w:rPr>
      </w:pPr>
    </w:p>
    <w:p>
      <w:pPr>
        <w:widowControl/>
        <w:spacing w:line="384" w:lineRule="atLeast"/>
        <w:ind w:firstLine="480"/>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四、政府信息公开行政复议、行政诉讼情况</w:t>
      </w:r>
    </w:p>
    <w:p>
      <w:pPr>
        <w:widowControl/>
        <w:spacing w:line="384" w:lineRule="atLeast"/>
        <w:ind w:firstLine="480"/>
        <w:rPr>
          <w:rFonts w:hint="eastAsia" w:ascii="宋体" w:hAnsi="宋体" w:eastAsia="宋体" w:cs="宋体"/>
          <w:color w:val="000000"/>
          <w:kern w:val="0"/>
          <w:sz w:val="24"/>
          <w:szCs w:val="24"/>
        </w:rPr>
      </w:pPr>
    </w:p>
    <w:tbl>
      <w:tblPr>
        <w:tblStyle w:val="4"/>
        <w:tblW w:w="9071" w:type="dxa"/>
        <w:jc w:val="center"/>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行政诉讼</w:t>
            </w:r>
          </w:p>
        </w:tc>
      </w:tr>
      <w:tr>
        <w:tblPrEx>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结果维持</w:t>
            </w:r>
          </w:p>
        </w:tc>
        <w:tc>
          <w:tcPr>
            <w:tcW w:w="60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总计</w:t>
            </w:r>
          </w:p>
        </w:tc>
        <w:tc>
          <w:tcPr>
            <w:tcW w:w="2970"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复议后起诉</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color w:val="000000"/>
                <w:kern w:val="0"/>
                <w:sz w:val="24"/>
                <w:szCs w:val="24"/>
              </w:rPr>
            </w:pP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结果维持</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其他结果</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尚未审结</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总计</w:t>
            </w:r>
          </w:p>
        </w:tc>
      </w:tr>
      <w:tr>
        <w:tblPrEx>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p>
        </w:tc>
        <w:tc>
          <w:tcPr>
            <w:tcW w:w="6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1</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1</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w:t>
            </w:r>
          </w:p>
        </w:tc>
      </w:tr>
    </w:tbl>
    <w:p>
      <w:pPr>
        <w:widowControl/>
        <w:spacing w:line="384" w:lineRule="atLeast"/>
        <w:rPr>
          <w:rFonts w:hint="eastAsia" w:ascii="仿宋" w:hAnsi="仿宋" w:eastAsia="仿宋" w:cs="仿宋"/>
          <w:b/>
          <w:bCs/>
          <w:color w:val="000000"/>
          <w:kern w:val="0"/>
          <w:sz w:val="30"/>
          <w:szCs w:val="30"/>
        </w:rPr>
      </w:pPr>
    </w:p>
    <w:p>
      <w:pPr>
        <w:widowControl/>
        <w:spacing w:line="384" w:lineRule="atLeast"/>
        <w:ind w:firstLine="602" w:firstLineChars="200"/>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五、存在的主要问题及改进情况</w:t>
      </w:r>
    </w:p>
    <w:p>
      <w:pPr>
        <w:ind w:firstLine="600" w:firstLineChars="200"/>
        <w:rPr>
          <w:rFonts w:ascii="仿宋" w:hAnsi="仿宋" w:eastAsia="仿宋"/>
          <w:sz w:val="30"/>
          <w:szCs w:val="30"/>
        </w:rPr>
      </w:pPr>
      <w:r>
        <w:rPr>
          <w:rFonts w:hint="eastAsia" w:ascii="仿宋" w:hAnsi="仿宋" w:eastAsia="仿宋"/>
          <w:sz w:val="30"/>
          <w:szCs w:val="30"/>
          <w:lang w:val="en-US" w:eastAsia="zh-CN"/>
        </w:rPr>
        <w:t>本镇</w:t>
      </w:r>
      <w:r>
        <w:rPr>
          <w:rFonts w:ascii="仿宋" w:hAnsi="仿宋" w:eastAsia="仿宋"/>
          <w:sz w:val="30"/>
          <w:szCs w:val="30"/>
        </w:rPr>
        <w:t>政府信息公开虽然取得了一些成绩，但与上级要求和群众期盼仍有差距，一是政务公开长效机制有待进一步完善，现有制度执行力度还有待进一步加强</w:t>
      </w:r>
      <w:r>
        <w:rPr>
          <w:rFonts w:hint="eastAsia" w:ascii="仿宋" w:hAnsi="仿宋" w:eastAsia="仿宋"/>
          <w:sz w:val="30"/>
          <w:szCs w:val="30"/>
          <w:lang w:eastAsia="zh-CN"/>
        </w:rPr>
        <w:t>；</w:t>
      </w:r>
      <w:r>
        <w:rPr>
          <w:rFonts w:ascii="仿宋" w:hAnsi="仿宋" w:eastAsia="仿宋"/>
          <w:sz w:val="30"/>
          <w:szCs w:val="30"/>
        </w:rPr>
        <w:t>二是政府信息公开的深度和广度拓展不够</w:t>
      </w:r>
      <w:r>
        <w:rPr>
          <w:rFonts w:hint="eastAsia" w:ascii="仿宋" w:hAnsi="仿宋" w:eastAsia="仿宋"/>
          <w:sz w:val="30"/>
          <w:szCs w:val="30"/>
          <w:lang w:eastAsia="zh-CN"/>
        </w:rPr>
        <w:t>；</w:t>
      </w:r>
      <w:r>
        <w:rPr>
          <w:rFonts w:ascii="仿宋" w:hAnsi="仿宋" w:eastAsia="仿宋"/>
          <w:sz w:val="30"/>
          <w:szCs w:val="30"/>
        </w:rPr>
        <w:t>三是与社会公众互动的长效机制上有待加强。针对上述不足之处，本部门将不断提高思想认识，今后，将围绕机构职能、政策法规、业务、服务等方面深化细化政府信息公开内容；进一步畅通受理渠道，在依法答复的同时，加强与申请人的联系沟通，提高政府信息公开的服务质量；在推行政务公开的实践中，加强领导，明确职责，抓好落实，不断提高认识、加大主动公开力度，全面推进政务公开。</w:t>
      </w:r>
    </w:p>
    <w:p>
      <w:pPr>
        <w:widowControl/>
        <w:spacing w:line="384" w:lineRule="atLeast"/>
        <w:ind w:firstLine="602" w:firstLineChars="200"/>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30"/>
          <w:szCs w:val="30"/>
        </w:rPr>
      </w:pPr>
      <w:r>
        <w:rPr>
          <w:rFonts w:hint="eastAsia" w:ascii="黑体" w:hAnsi="宋体" w:eastAsia="黑体" w:cs="黑体"/>
          <w:i w:val="0"/>
          <w:caps w:val="0"/>
          <w:color w:val="4E4E4E"/>
          <w:spacing w:val="0"/>
          <w:sz w:val="30"/>
          <w:szCs w:val="30"/>
          <w:shd w:val="clear" w:fill="FFFFFF"/>
        </w:rPr>
        <w:t>  </w:t>
      </w:r>
      <w:r>
        <w:rPr>
          <w:rFonts w:ascii="仿宋" w:hAnsi="仿宋" w:eastAsia="仿宋" w:cstheme="minorBidi"/>
          <w:kern w:val="2"/>
          <w:sz w:val="30"/>
          <w:szCs w:val="30"/>
          <w:lang w:val="en-US" w:eastAsia="zh-CN" w:bidi="ar-SA"/>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D0A75"/>
    <w:rsid w:val="02B660BB"/>
    <w:rsid w:val="32AB2997"/>
    <w:rsid w:val="3AE52FCC"/>
    <w:rsid w:val="3E33316A"/>
    <w:rsid w:val="5D397C8E"/>
    <w:rsid w:val="6FDF26FB"/>
    <w:rsid w:val="777FF4EF"/>
    <w:rsid w:val="77DEA370"/>
    <w:rsid w:val="7CBD0A75"/>
    <w:rsid w:val="7EF7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2021-01-18T00:11:00Z</dcterms:created>
  <dc:creator>岚</dc:creator>
  <cp:lastModifiedBy>岚</cp:lastModifiedBy>
  <dcterms:modified xsi:type="dcterms:W3CDTF">2021-01-27T07:17:28Z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