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3FC" w:rsidRPr="000143FC" w:rsidRDefault="000143FC" w:rsidP="000143FC">
      <w:pPr>
        <w:jc w:val="center"/>
        <w:rPr>
          <w:rFonts w:asciiTheme="majorEastAsia" w:eastAsiaTheme="majorEastAsia" w:hAnsiTheme="majorEastAsia"/>
          <w:b/>
          <w:sz w:val="32"/>
          <w:szCs w:val="32"/>
        </w:rPr>
      </w:pPr>
      <w:r w:rsidRPr="000143FC">
        <w:rPr>
          <w:rFonts w:asciiTheme="majorEastAsia" w:eastAsiaTheme="majorEastAsia" w:hAnsiTheme="majorEastAsia" w:hint="eastAsia"/>
          <w:b/>
          <w:sz w:val="32"/>
          <w:szCs w:val="32"/>
        </w:rPr>
        <w:t>体育特色项目－围棋进课堂（与网球、足球归并评审）</w:t>
      </w:r>
    </w:p>
    <w:p w:rsidR="000143FC" w:rsidRPr="000143FC" w:rsidRDefault="000143FC" w:rsidP="000143FC">
      <w:pPr>
        <w:jc w:val="center"/>
        <w:rPr>
          <w:rFonts w:asciiTheme="majorEastAsia" w:eastAsiaTheme="majorEastAsia" w:hAnsiTheme="majorEastAsia"/>
          <w:b/>
          <w:sz w:val="32"/>
          <w:szCs w:val="32"/>
        </w:rPr>
      </w:pPr>
      <w:r w:rsidRPr="000143FC">
        <w:rPr>
          <w:rFonts w:asciiTheme="majorEastAsia" w:eastAsiaTheme="majorEastAsia" w:hAnsiTheme="majorEastAsia" w:hint="eastAsia"/>
          <w:b/>
          <w:sz w:val="32"/>
          <w:szCs w:val="32"/>
        </w:rPr>
        <w:t>项目描述</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一、区委、区府战略目标：</w:t>
      </w:r>
    </w:p>
    <w:p w:rsidR="000143FC" w:rsidRPr="00FF1044" w:rsidRDefault="000143FC"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根据《中共中央国务院关于加强青少年体育增强青少年体质的意见》（中发〔2007〕7 号）、《教育部办公厅关于在义务教育阶段中小学实施“体育、艺术2+1项目”的通知》（教体艺厅[2011]4号）、《上海市中长期教育改革和发展规划纲要(2010—2020年)》(沪委发[2010]5号)</w:t>
      </w:r>
      <w:r w:rsidR="009E220E">
        <w:rPr>
          <w:rFonts w:asciiTheme="majorEastAsia" w:eastAsiaTheme="majorEastAsia" w:hAnsiTheme="majorEastAsia" w:hint="eastAsia"/>
          <w:sz w:val="24"/>
          <w:szCs w:val="24"/>
        </w:rPr>
        <w:t>、</w:t>
      </w:r>
      <w:r w:rsidR="009E220E" w:rsidRPr="009E220E">
        <w:rPr>
          <w:sz w:val="24"/>
          <w:szCs w:val="24"/>
        </w:rPr>
        <w:t>《中共上海市委、上海市人民政府关于切实提高青少年学生身心健康水平实施学生健康促进工程的通知》（沪委发【</w:t>
      </w:r>
      <w:r w:rsidR="009E220E" w:rsidRPr="009E220E">
        <w:rPr>
          <w:sz w:val="24"/>
          <w:szCs w:val="24"/>
        </w:rPr>
        <w:t>2011</w:t>
      </w:r>
      <w:r w:rsidR="009E220E" w:rsidRPr="009E220E">
        <w:rPr>
          <w:sz w:val="24"/>
          <w:szCs w:val="24"/>
        </w:rPr>
        <w:t>】</w:t>
      </w:r>
      <w:r w:rsidR="009E220E" w:rsidRPr="009E220E">
        <w:rPr>
          <w:sz w:val="24"/>
          <w:szCs w:val="24"/>
        </w:rPr>
        <w:t>15</w:t>
      </w:r>
      <w:r w:rsidR="009E220E" w:rsidRPr="009E220E">
        <w:rPr>
          <w:sz w:val="24"/>
          <w:szCs w:val="24"/>
        </w:rPr>
        <w:t>号）</w:t>
      </w:r>
      <w:r w:rsidRPr="00FF1044">
        <w:rPr>
          <w:rFonts w:asciiTheme="majorEastAsia" w:eastAsiaTheme="majorEastAsia" w:hAnsiTheme="majorEastAsia" w:hint="eastAsia"/>
          <w:sz w:val="24"/>
          <w:szCs w:val="24"/>
        </w:rPr>
        <w:t>文件要求，以实施“学生健康促进工程”为抓手，全面落实“为了每一个学生终身发展”的理念，</w:t>
      </w:r>
      <w:r w:rsidR="002929B6" w:rsidRPr="002929B6">
        <w:rPr>
          <w:rFonts w:asciiTheme="majorEastAsia" w:eastAsiaTheme="majorEastAsia" w:hAnsiTheme="majorEastAsia" w:hint="eastAsia"/>
          <w:sz w:val="24"/>
          <w:szCs w:val="24"/>
        </w:rPr>
        <w:t>进</w:t>
      </w:r>
      <w:r w:rsidR="002929B6">
        <w:rPr>
          <w:rFonts w:asciiTheme="majorEastAsia" w:eastAsiaTheme="majorEastAsia" w:hAnsiTheme="majorEastAsia" w:hint="eastAsia"/>
          <w:sz w:val="24"/>
          <w:szCs w:val="24"/>
        </w:rPr>
        <w:t>一步提高“每天一小时校园体育活动”质量，提升阳光体育运动实效性。</w:t>
      </w:r>
      <w:r w:rsidR="003E33AC">
        <w:rPr>
          <w:rFonts w:asciiTheme="majorEastAsia" w:eastAsiaTheme="majorEastAsia" w:hAnsiTheme="majorEastAsia" w:hint="eastAsia"/>
          <w:sz w:val="24"/>
          <w:szCs w:val="24"/>
        </w:rPr>
        <w:t>教育部门主动与体育</w:t>
      </w:r>
      <w:r w:rsidR="00AC3680">
        <w:rPr>
          <w:rFonts w:asciiTheme="majorEastAsia" w:eastAsiaTheme="majorEastAsia" w:hAnsiTheme="majorEastAsia" w:hint="eastAsia"/>
          <w:sz w:val="24"/>
          <w:szCs w:val="24"/>
        </w:rPr>
        <w:t>部门配合，</w:t>
      </w:r>
      <w:r w:rsidR="002929B6" w:rsidRPr="00FF1044">
        <w:rPr>
          <w:rFonts w:asciiTheme="majorEastAsia" w:eastAsiaTheme="majorEastAsia" w:hAnsiTheme="majorEastAsia" w:hint="eastAsia"/>
          <w:sz w:val="24"/>
          <w:szCs w:val="24"/>
        </w:rPr>
        <w:t>推进体教结合，</w:t>
      </w:r>
      <w:r w:rsidRPr="00FF1044">
        <w:rPr>
          <w:rFonts w:asciiTheme="majorEastAsia" w:eastAsiaTheme="majorEastAsia" w:hAnsiTheme="majorEastAsia" w:hint="eastAsia"/>
          <w:sz w:val="24"/>
          <w:szCs w:val="24"/>
        </w:rPr>
        <w:t>形成全社会齐心协力关心学生健康发展的格局，鼓励专业教练员进校园，加强对学校健康工作</w:t>
      </w:r>
      <w:r w:rsidR="002929B6">
        <w:rPr>
          <w:rFonts w:asciiTheme="majorEastAsia" w:eastAsiaTheme="majorEastAsia" w:hAnsiTheme="majorEastAsia" w:hint="eastAsia"/>
          <w:sz w:val="24"/>
          <w:szCs w:val="24"/>
        </w:rPr>
        <w:t>的专业指导和支持，促进青少年学生积极主动参与体育锻炼，有效提高学生体质健康水平。</w:t>
      </w:r>
    </w:p>
    <w:p w:rsidR="000143FC" w:rsidRPr="00FF1044" w:rsidRDefault="000143FC"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同时，根据国家教育部</w:t>
      </w:r>
      <w:r w:rsidR="0001399A"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国家体育总局教体艺回函[2001]7号文件颁布的文件精神</w:t>
      </w:r>
      <w:r w:rsidR="0001399A" w:rsidRPr="00FF1044">
        <w:rPr>
          <w:rFonts w:asciiTheme="majorEastAsia" w:eastAsiaTheme="majorEastAsia" w:hAnsiTheme="majorEastAsia" w:hint="eastAsia"/>
          <w:sz w:val="24"/>
          <w:szCs w:val="24"/>
        </w:rPr>
        <w:t>，让</w:t>
      </w:r>
      <w:r w:rsidRPr="00FF1044">
        <w:rPr>
          <w:rFonts w:asciiTheme="majorEastAsia" w:eastAsiaTheme="majorEastAsia" w:hAnsiTheme="majorEastAsia" w:hint="eastAsia"/>
          <w:sz w:val="24"/>
          <w:szCs w:val="24"/>
        </w:rPr>
        <w:t>各级教育</w:t>
      </w:r>
      <w:r w:rsidR="00034F8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体育行政部门在促进学生全面发展的素质教育过程中，要结合本地区和各学校的实际，作为“体育与健康”课程中课外文体活动的一项内容，有计划，有组织地开展各类活动。</w:t>
      </w:r>
      <w:r w:rsidR="003E33AC">
        <w:rPr>
          <w:rFonts w:asciiTheme="majorEastAsia" w:eastAsiaTheme="majorEastAsia" w:hAnsiTheme="majorEastAsia" w:hint="eastAsia"/>
          <w:sz w:val="24"/>
          <w:szCs w:val="24"/>
        </w:rPr>
        <w:t>近</w:t>
      </w:r>
      <w:r w:rsidR="00F74D60" w:rsidRPr="00FF1044">
        <w:rPr>
          <w:rFonts w:asciiTheme="majorEastAsia" w:eastAsiaTheme="majorEastAsia" w:hAnsiTheme="majorEastAsia" w:hint="eastAsia"/>
          <w:sz w:val="24"/>
          <w:szCs w:val="24"/>
        </w:rPr>
        <w:t>几年，</w:t>
      </w:r>
      <w:r w:rsidRPr="00FF1044">
        <w:rPr>
          <w:rFonts w:asciiTheme="majorEastAsia" w:eastAsiaTheme="majorEastAsia" w:hAnsiTheme="majorEastAsia" w:hint="eastAsia"/>
          <w:sz w:val="24"/>
          <w:szCs w:val="24"/>
        </w:rPr>
        <w:t>闵行区结合区域特点</w:t>
      </w:r>
      <w:r w:rsidR="003E33AC">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深化特色项目发展，重点推进“校园足球联盟”、“围棋进课堂”、“网球进校园”项目，打造具有闵行特点的</w:t>
      </w:r>
      <w:r w:rsidR="003E33AC">
        <w:rPr>
          <w:rFonts w:asciiTheme="majorEastAsia" w:eastAsiaTheme="majorEastAsia" w:hAnsiTheme="majorEastAsia" w:hint="eastAsia"/>
          <w:sz w:val="24"/>
          <w:szCs w:val="24"/>
        </w:rPr>
        <w:t>教育</w:t>
      </w:r>
      <w:r w:rsidRPr="00FF1044">
        <w:rPr>
          <w:rFonts w:asciiTheme="majorEastAsia" w:eastAsiaTheme="majorEastAsia" w:hAnsiTheme="majorEastAsia" w:hint="eastAsia"/>
          <w:sz w:val="24"/>
          <w:szCs w:val="24"/>
        </w:rPr>
        <w:t>体育品牌项目。</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二、项目概况</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（一）项目的基本情况；</w:t>
      </w:r>
    </w:p>
    <w:p w:rsidR="000143FC" w:rsidRPr="00637ABF" w:rsidRDefault="00637ABF" w:rsidP="00FF1044">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1、</w:t>
      </w:r>
      <w:r w:rsidR="000143FC" w:rsidRPr="00637ABF">
        <w:rPr>
          <w:rFonts w:asciiTheme="majorEastAsia" w:eastAsiaTheme="majorEastAsia" w:hAnsiTheme="majorEastAsia" w:hint="eastAsia"/>
          <w:b/>
          <w:sz w:val="24"/>
          <w:szCs w:val="24"/>
        </w:rPr>
        <w:t>项目背景</w:t>
      </w:r>
    </w:p>
    <w:p w:rsidR="000143FC" w:rsidRPr="00FF1044" w:rsidRDefault="00503DEE"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项目根据《中共中央国务院关于加强青少年体育增强青少年体质的意见》（中发〔2007〕7 号）、《教育部办公厅关于在义务教育阶段中小学实施“体育、艺术2+1项目”的通知》（教体艺厅[2011]4号）、《上海市中长期教育改革和发展规划纲要(2010—2020年)》(沪委发[2010]5号)</w:t>
      </w:r>
      <w:r w:rsidR="009E220E">
        <w:rPr>
          <w:rFonts w:asciiTheme="majorEastAsia" w:eastAsiaTheme="majorEastAsia" w:hAnsiTheme="majorEastAsia" w:hint="eastAsia"/>
          <w:sz w:val="24"/>
          <w:szCs w:val="24"/>
        </w:rPr>
        <w:t>、</w:t>
      </w:r>
      <w:r w:rsidR="009E220E" w:rsidRPr="009E220E">
        <w:rPr>
          <w:sz w:val="24"/>
          <w:szCs w:val="24"/>
        </w:rPr>
        <w:t>《中共上海市委、上海市人民政府关于切实提高青少年学生身心健康水平实施学生健康促进工程的通知》（沪委发【</w:t>
      </w:r>
      <w:r w:rsidR="009E220E" w:rsidRPr="009E220E">
        <w:rPr>
          <w:sz w:val="24"/>
          <w:szCs w:val="24"/>
        </w:rPr>
        <w:t>2011</w:t>
      </w:r>
      <w:r w:rsidR="009E220E" w:rsidRPr="009E220E">
        <w:rPr>
          <w:sz w:val="24"/>
          <w:szCs w:val="24"/>
        </w:rPr>
        <w:t>】</w:t>
      </w:r>
      <w:r w:rsidR="009E220E" w:rsidRPr="009E220E">
        <w:rPr>
          <w:sz w:val="24"/>
          <w:szCs w:val="24"/>
        </w:rPr>
        <w:t>15</w:t>
      </w:r>
      <w:r w:rsidR="009E220E" w:rsidRPr="009E220E">
        <w:rPr>
          <w:sz w:val="24"/>
          <w:szCs w:val="24"/>
        </w:rPr>
        <w:t>号）</w:t>
      </w:r>
      <w:r w:rsidRPr="00FF1044">
        <w:rPr>
          <w:rFonts w:asciiTheme="majorEastAsia" w:eastAsiaTheme="majorEastAsia" w:hAnsiTheme="majorEastAsia" w:hint="eastAsia"/>
          <w:sz w:val="24"/>
          <w:szCs w:val="24"/>
        </w:rPr>
        <w:t>文件</w:t>
      </w:r>
      <w:r w:rsidR="00117B2B" w:rsidRPr="00FF1044">
        <w:rPr>
          <w:rFonts w:asciiTheme="majorEastAsia" w:eastAsiaTheme="majorEastAsia" w:hAnsiTheme="majorEastAsia" w:hint="eastAsia"/>
          <w:sz w:val="24"/>
          <w:szCs w:val="24"/>
        </w:rPr>
        <w:t>精神，</w:t>
      </w:r>
      <w:r w:rsidR="00AC3680" w:rsidRPr="00FF1044">
        <w:rPr>
          <w:rFonts w:asciiTheme="majorEastAsia" w:eastAsiaTheme="majorEastAsia" w:hAnsiTheme="majorEastAsia" w:hint="eastAsia"/>
          <w:sz w:val="24"/>
          <w:szCs w:val="24"/>
        </w:rPr>
        <w:t>结合区域特点</w:t>
      </w:r>
      <w:r w:rsidR="00AC3680">
        <w:rPr>
          <w:rFonts w:ascii="宋体" w:hAnsi="宋体" w:hint="eastAsia"/>
          <w:sz w:val="24"/>
        </w:rPr>
        <w:t>聚焦课程改革，改变育人模式，</w:t>
      </w:r>
      <w:r w:rsidR="00AC3680" w:rsidRPr="00FF1044">
        <w:rPr>
          <w:rFonts w:asciiTheme="majorEastAsia" w:eastAsiaTheme="majorEastAsia" w:hAnsiTheme="majorEastAsia" w:hint="eastAsia"/>
          <w:sz w:val="24"/>
          <w:szCs w:val="24"/>
        </w:rPr>
        <w:t>深化</w:t>
      </w:r>
      <w:r w:rsidR="00AC3680" w:rsidRPr="00FF1044">
        <w:rPr>
          <w:rFonts w:asciiTheme="majorEastAsia" w:eastAsiaTheme="majorEastAsia" w:hAnsiTheme="majorEastAsia" w:hint="eastAsia"/>
          <w:sz w:val="24"/>
          <w:szCs w:val="24"/>
        </w:rPr>
        <w:lastRenderedPageBreak/>
        <w:t>体育特色项目发展,</w:t>
      </w:r>
      <w:r w:rsidR="00AC3680">
        <w:rPr>
          <w:rFonts w:ascii="宋体" w:hAnsi="宋体" w:hint="eastAsia"/>
          <w:sz w:val="24"/>
        </w:rPr>
        <w:t>实施</w:t>
      </w:r>
      <w:r w:rsidR="002929B6" w:rsidRPr="003041FF">
        <w:rPr>
          <w:rFonts w:ascii="宋体" w:hAnsi="宋体" w:hint="eastAsia"/>
          <w:sz w:val="24"/>
        </w:rPr>
        <w:t>个性化、多样化的</w:t>
      </w:r>
      <w:r w:rsidR="00AC3680">
        <w:rPr>
          <w:rFonts w:ascii="宋体" w:hAnsi="宋体" w:hint="eastAsia"/>
          <w:sz w:val="24"/>
        </w:rPr>
        <w:t>育人</w:t>
      </w:r>
      <w:r w:rsidR="002929B6" w:rsidRPr="003041FF">
        <w:rPr>
          <w:rFonts w:ascii="宋体" w:hAnsi="宋体" w:hint="eastAsia"/>
          <w:sz w:val="24"/>
        </w:rPr>
        <w:t>培养模式</w:t>
      </w:r>
      <w:r w:rsidR="00AC3680">
        <w:rPr>
          <w:rFonts w:ascii="宋体" w:hAnsi="宋体" w:hint="eastAsia"/>
          <w:sz w:val="24"/>
        </w:rPr>
        <w:t>，</w:t>
      </w:r>
      <w:r w:rsidR="00BB625E" w:rsidRPr="00FF1044">
        <w:rPr>
          <w:rFonts w:asciiTheme="majorEastAsia" w:eastAsiaTheme="majorEastAsia" w:hAnsiTheme="majorEastAsia" w:hint="eastAsia"/>
          <w:sz w:val="24"/>
          <w:szCs w:val="24"/>
        </w:rPr>
        <w:t>重点推进“校园足球联盟”、“围棋进课堂”、“网球进校园”项目，打造具有闵行特点的</w:t>
      </w:r>
      <w:r w:rsidR="003E33AC">
        <w:rPr>
          <w:rFonts w:asciiTheme="majorEastAsia" w:eastAsiaTheme="majorEastAsia" w:hAnsiTheme="majorEastAsia" w:hint="eastAsia"/>
          <w:sz w:val="24"/>
          <w:szCs w:val="24"/>
        </w:rPr>
        <w:t>教育</w:t>
      </w:r>
      <w:r w:rsidR="00BB625E" w:rsidRPr="00FF1044">
        <w:rPr>
          <w:rFonts w:asciiTheme="majorEastAsia" w:eastAsiaTheme="majorEastAsia" w:hAnsiTheme="majorEastAsia" w:hint="eastAsia"/>
          <w:sz w:val="24"/>
          <w:szCs w:val="24"/>
        </w:rPr>
        <w:t>体育品牌项目。</w:t>
      </w:r>
    </w:p>
    <w:p w:rsidR="000143FC" w:rsidRPr="00637ABF" w:rsidRDefault="00637ABF" w:rsidP="00FF1044">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2、</w:t>
      </w:r>
      <w:r w:rsidR="000143FC" w:rsidRPr="00637ABF">
        <w:rPr>
          <w:rFonts w:asciiTheme="majorEastAsia" w:eastAsiaTheme="majorEastAsia" w:hAnsiTheme="majorEastAsia" w:hint="eastAsia"/>
          <w:b/>
          <w:sz w:val="24"/>
          <w:szCs w:val="24"/>
        </w:rPr>
        <w:t>项目必要性</w:t>
      </w:r>
    </w:p>
    <w:p w:rsidR="000143FC" w:rsidRPr="00FF1044" w:rsidRDefault="009E220E" w:rsidP="00397A25">
      <w:pPr>
        <w:spacing w:line="360" w:lineRule="auto"/>
        <w:ind w:firstLineChars="200" w:firstLine="480"/>
        <w:rPr>
          <w:rFonts w:asciiTheme="majorEastAsia" w:eastAsiaTheme="majorEastAsia" w:hAnsiTheme="majorEastAsia"/>
          <w:sz w:val="24"/>
          <w:szCs w:val="24"/>
        </w:rPr>
      </w:pPr>
      <w:r w:rsidRPr="009E220E">
        <w:rPr>
          <w:sz w:val="24"/>
          <w:szCs w:val="24"/>
        </w:rPr>
        <w:t>《中共上海市委、上海市人民政府关于切实提高青少年学生身心健康水平实施学生健康促进工程的通知》（沪委发【</w:t>
      </w:r>
      <w:r w:rsidRPr="009E220E">
        <w:rPr>
          <w:sz w:val="24"/>
          <w:szCs w:val="24"/>
        </w:rPr>
        <w:t>2011</w:t>
      </w:r>
      <w:r w:rsidRPr="009E220E">
        <w:rPr>
          <w:sz w:val="24"/>
          <w:szCs w:val="24"/>
        </w:rPr>
        <w:t>】</w:t>
      </w:r>
      <w:r w:rsidRPr="009E220E">
        <w:rPr>
          <w:sz w:val="24"/>
          <w:szCs w:val="24"/>
        </w:rPr>
        <w:t>15</w:t>
      </w:r>
      <w:r w:rsidRPr="009E220E">
        <w:rPr>
          <w:sz w:val="24"/>
          <w:szCs w:val="24"/>
        </w:rPr>
        <w:t>号</w:t>
      </w:r>
      <w:r>
        <w:rPr>
          <w:rFonts w:hint="eastAsia"/>
          <w:sz w:val="24"/>
          <w:szCs w:val="24"/>
        </w:rPr>
        <w:t>）的发布</w:t>
      </w:r>
      <w:r>
        <w:rPr>
          <w:rFonts w:asciiTheme="majorEastAsia" w:eastAsiaTheme="majorEastAsia" w:hAnsiTheme="majorEastAsia" w:hint="eastAsia"/>
          <w:sz w:val="24"/>
          <w:szCs w:val="24"/>
        </w:rPr>
        <w:t>，充分体现了党和政府</w:t>
      </w:r>
      <w:r w:rsidR="000143FC" w:rsidRPr="00FF1044">
        <w:rPr>
          <w:rFonts w:asciiTheme="majorEastAsia" w:eastAsiaTheme="majorEastAsia" w:hAnsiTheme="majorEastAsia" w:hint="eastAsia"/>
          <w:sz w:val="24"/>
          <w:szCs w:val="24"/>
        </w:rPr>
        <w:t>对广大青少年学生体质健康的高度重视和巨大关怀</w:t>
      </w:r>
      <w:r w:rsidR="006F26A7">
        <w:rPr>
          <w:rFonts w:asciiTheme="majorEastAsia" w:eastAsiaTheme="majorEastAsia" w:hAnsiTheme="majorEastAsia" w:hint="eastAsia"/>
          <w:sz w:val="24"/>
          <w:szCs w:val="24"/>
        </w:rPr>
        <w:t>,文件指出：</w:t>
      </w:r>
      <w:r w:rsidR="006F26A7" w:rsidRPr="006F26A7">
        <w:rPr>
          <w:rFonts w:ascii="宋体" w:eastAsia="宋体" w:cs="宋体" w:hint="eastAsia"/>
          <w:color w:val="000000"/>
          <w:kern w:val="0"/>
          <w:sz w:val="24"/>
          <w:szCs w:val="24"/>
        </w:rPr>
        <w:t>继续深化各项综合改革，积极构建政府全面主导、学校重点推进、社会深度参与的三位一体的工作机制，着力营造全社会关心青少年学生身心健康的良好氛围，全面推进青少年学生健康促进各项工作。</w:t>
      </w:r>
      <w:r w:rsidR="00E02B1E">
        <w:rPr>
          <w:rFonts w:asciiTheme="majorEastAsia" w:eastAsiaTheme="majorEastAsia" w:hAnsiTheme="majorEastAsia" w:hint="eastAsia"/>
          <w:sz w:val="24"/>
          <w:szCs w:val="24"/>
        </w:rPr>
        <w:t>在这个大背景下，</w:t>
      </w:r>
      <w:r w:rsidR="000143FC" w:rsidRPr="00FF1044">
        <w:rPr>
          <w:rFonts w:asciiTheme="majorEastAsia" w:eastAsiaTheme="majorEastAsia" w:hAnsiTheme="majorEastAsia" w:hint="eastAsia"/>
          <w:sz w:val="24"/>
          <w:szCs w:val="24"/>
        </w:rPr>
        <w:t>闵行区积极推进“一校一品”阳光体育品牌建设，</w:t>
      </w:r>
      <w:r w:rsidR="00E02B1E" w:rsidRPr="00FF1044">
        <w:rPr>
          <w:rFonts w:asciiTheme="majorEastAsia" w:eastAsiaTheme="majorEastAsia" w:hAnsiTheme="majorEastAsia" w:hint="eastAsia"/>
          <w:sz w:val="24"/>
          <w:szCs w:val="24"/>
        </w:rPr>
        <w:t>区域重点打造“校</w:t>
      </w:r>
      <w:r w:rsidR="00397A25">
        <w:rPr>
          <w:rFonts w:asciiTheme="majorEastAsia" w:eastAsiaTheme="majorEastAsia" w:hAnsiTheme="majorEastAsia" w:hint="eastAsia"/>
          <w:sz w:val="24"/>
          <w:szCs w:val="24"/>
        </w:rPr>
        <w:t>园足球联盟”、“围棋进课堂”、“网球进校园”特色项目，开展“普及</w:t>
      </w:r>
      <w:r w:rsidR="00E02B1E" w:rsidRPr="00FF1044">
        <w:rPr>
          <w:rFonts w:asciiTheme="majorEastAsia" w:eastAsiaTheme="majorEastAsia" w:hAnsiTheme="majorEastAsia" w:hint="eastAsia"/>
          <w:sz w:val="24"/>
          <w:szCs w:val="24"/>
        </w:rPr>
        <w:t>+提高”的教学模式</w:t>
      </w:r>
      <w:r w:rsidR="00E02B1E">
        <w:rPr>
          <w:rFonts w:asciiTheme="majorEastAsia" w:eastAsiaTheme="majorEastAsia" w:hAnsiTheme="majorEastAsia" w:hint="eastAsia"/>
          <w:sz w:val="24"/>
          <w:szCs w:val="24"/>
        </w:rPr>
        <w:t>，</w:t>
      </w:r>
      <w:r w:rsidR="000143FC" w:rsidRPr="00FF1044">
        <w:rPr>
          <w:rFonts w:asciiTheme="majorEastAsia" w:eastAsiaTheme="majorEastAsia" w:hAnsiTheme="majorEastAsia" w:hint="eastAsia"/>
          <w:sz w:val="24"/>
          <w:szCs w:val="24"/>
        </w:rPr>
        <w:t>以“人人有项目、班班有活动、校校有特色”为目标，</w:t>
      </w:r>
      <w:r w:rsidR="00397A25">
        <w:rPr>
          <w:rFonts w:asciiTheme="majorEastAsia" w:eastAsiaTheme="majorEastAsia" w:hAnsiTheme="majorEastAsia" w:hint="eastAsia"/>
          <w:sz w:val="24"/>
          <w:szCs w:val="24"/>
        </w:rPr>
        <w:t>提升活动品质，彰显学校特色。</w:t>
      </w:r>
      <w:r w:rsidR="00204EE9" w:rsidRPr="00FF1044">
        <w:rPr>
          <w:rFonts w:asciiTheme="majorEastAsia" w:eastAsiaTheme="majorEastAsia" w:hAnsiTheme="majorEastAsia" w:hint="eastAsia"/>
          <w:sz w:val="24"/>
          <w:szCs w:val="24"/>
        </w:rPr>
        <w:t>但目前</w:t>
      </w:r>
      <w:r w:rsidR="001242AC" w:rsidRPr="00FF1044">
        <w:rPr>
          <w:rFonts w:asciiTheme="majorEastAsia" w:eastAsiaTheme="majorEastAsia" w:hAnsiTheme="majorEastAsia" w:hint="eastAsia"/>
          <w:sz w:val="24"/>
          <w:szCs w:val="24"/>
        </w:rPr>
        <w:t>学校</w:t>
      </w:r>
      <w:r w:rsidR="00204EE9" w:rsidRPr="00FF1044">
        <w:rPr>
          <w:rFonts w:asciiTheme="majorEastAsia" w:eastAsiaTheme="majorEastAsia" w:hAnsiTheme="majorEastAsia" w:hint="eastAsia"/>
          <w:sz w:val="24"/>
          <w:szCs w:val="24"/>
        </w:rPr>
        <w:t>在</w:t>
      </w:r>
      <w:r w:rsidR="00397A25">
        <w:rPr>
          <w:rFonts w:asciiTheme="majorEastAsia" w:eastAsiaTheme="majorEastAsia" w:hAnsiTheme="majorEastAsia" w:hint="eastAsia"/>
          <w:sz w:val="24"/>
          <w:szCs w:val="24"/>
        </w:rPr>
        <w:t>这些项目的</w:t>
      </w:r>
      <w:r w:rsidR="00204EE9" w:rsidRPr="00FF1044">
        <w:rPr>
          <w:rFonts w:asciiTheme="majorEastAsia" w:eastAsiaTheme="majorEastAsia" w:hAnsiTheme="majorEastAsia" w:hint="eastAsia"/>
          <w:sz w:val="24"/>
          <w:szCs w:val="24"/>
        </w:rPr>
        <w:t>师资力量</w:t>
      </w:r>
      <w:r w:rsidR="001242AC" w:rsidRPr="00FF1044">
        <w:rPr>
          <w:rFonts w:asciiTheme="majorEastAsia" w:eastAsiaTheme="majorEastAsia" w:hAnsiTheme="majorEastAsia" w:hint="eastAsia"/>
          <w:sz w:val="24"/>
          <w:szCs w:val="24"/>
        </w:rPr>
        <w:t>的</w:t>
      </w:r>
      <w:r w:rsidR="00204EE9" w:rsidRPr="00FF1044">
        <w:rPr>
          <w:rFonts w:asciiTheme="majorEastAsia" w:eastAsiaTheme="majorEastAsia" w:hAnsiTheme="majorEastAsia" w:hint="eastAsia"/>
          <w:sz w:val="24"/>
          <w:szCs w:val="24"/>
        </w:rPr>
        <w:t>配备上</w:t>
      </w:r>
      <w:r w:rsidR="00397A25">
        <w:rPr>
          <w:rFonts w:asciiTheme="majorEastAsia" w:eastAsiaTheme="majorEastAsia" w:hAnsiTheme="majorEastAsia" w:hint="eastAsia"/>
          <w:sz w:val="24"/>
          <w:szCs w:val="24"/>
        </w:rPr>
        <w:t>还无法满足课程教学需要，</w:t>
      </w:r>
      <w:r w:rsidR="00981CA4" w:rsidRPr="00FF1044">
        <w:rPr>
          <w:rFonts w:asciiTheme="majorEastAsia" w:eastAsiaTheme="majorEastAsia" w:hAnsiTheme="majorEastAsia" w:hint="eastAsia"/>
          <w:sz w:val="24"/>
          <w:szCs w:val="24"/>
        </w:rPr>
        <w:t>区高水平运动队建设也需要大量的优质教练员进校园</w:t>
      </w:r>
      <w:r w:rsidR="00397A25">
        <w:rPr>
          <w:rFonts w:asciiTheme="majorEastAsia" w:eastAsiaTheme="majorEastAsia" w:hAnsiTheme="majorEastAsia" w:hint="eastAsia"/>
          <w:sz w:val="24"/>
          <w:szCs w:val="24"/>
        </w:rPr>
        <w:t>指导</w:t>
      </w:r>
      <w:r w:rsidR="00981CA4" w:rsidRPr="00FF1044">
        <w:rPr>
          <w:rFonts w:asciiTheme="majorEastAsia" w:eastAsiaTheme="majorEastAsia" w:hAnsiTheme="majorEastAsia" w:hint="eastAsia"/>
          <w:sz w:val="24"/>
          <w:szCs w:val="24"/>
        </w:rPr>
        <w:t>，</w:t>
      </w:r>
      <w:r w:rsidR="00397A25">
        <w:rPr>
          <w:rFonts w:asciiTheme="majorEastAsia" w:eastAsiaTheme="majorEastAsia" w:hAnsiTheme="majorEastAsia" w:hint="eastAsia"/>
          <w:sz w:val="24"/>
          <w:szCs w:val="24"/>
        </w:rPr>
        <w:t>因此，</w:t>
      </w:r>
      <w:r w:rsidR="001B6E31" w:rsidRPr="00FF1044">
        <w:rPr>
          <w:rFonts w:asciiTheme="majorEastAsia" w:eastAsiaTheme="majorEastAsia" w:hAnsiTheme="majorEastAsia" w:hint="eastAsia"/>
          <w:sz w:val="24"/>
          <w:szCs w:val="24"/>
        </w:rPr>
        <w:t>需要</w:t>
      </w:r>
      <w:r w:rsidR="00397A25">
        <w:rPr>
          <w:rFonts w:asciiTheme="majorEastAsia" w:eastAsiaTheme="majorEastAsia" w:hAnsiTheme="majorEastAsia" w:hint="eastAsia"/>
          <w:sz w:val="24"/>
          <w:szCs w:val="24"/>
        </w:rPr>
        <w:t>依托社会力量、体育俱乐部等专业机构，</w:t>
      </w:r>
      <w:r w:rsidR="001B6E31" w:rsidRPr="00FF1044">
        <w:rPr>
          <w:rFonts w:asciiTheme="majorEastAsia" w:eastAsiaTheme="majorEastAsia" w:hAnsiTheme="majorEastAsia" w:hint="eastAsia"/>
          <w:sz w:val="24"/>
          <w:szCs w:val="24"/>
        </w:rPr>
        <w:t>通过</w:t>
      </w:r>
      <w:r w:rsidR="00397A25">
        <w:rPr>
          <w:rFonts w:asciiTheme="majorEastAsia" w:eastAsiaTheme="majorEastAsia" w:hAnsiTheme="majorEastAsia" w:hint="eastAsia"/>
          <w:sz w:val="24"/>
          <w:szCs w:val="24"/>
        </w:rPr>
        <w:t>政府购买服务的方式，进校开展教育教学活动，满足学生对多元体育课程的需求，打造学校特色品牌项目。</w:t>
      </w:r>
    </w:p>
    <w:p w:rsidR="000143FC" w:rsidRPr="00637ABF" w:rsidRDefault="000143FC" w:rsidP="00FF1044">
      <w:pPr>
        <w:spacing w:line="360" w:lineRule="auto"/>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3、项目的可行性</w:t>
      </w:r>
    </w:p>
    <w:p w:rsidR="00ED5298" w:rsidRPr="00FF1044" w:rsidRDefault="000143FC"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项目通过适当的政府购买服务的方式</w:t>
      </w:r>
      <w:r w:rsidR="00245D77">
        <w:rPr>
          <w:rFonts w:asciiTheme="majorEastAsia" w:eastAsiaTheme="majorEastAsia" w:hAnsiTheme="majorEastAsia" w:hint="eastAsia"/>
          <w:sz w:val="24"/>
          <w:szCs w:val="24"/>
        </w:rPr>
        <w:t>给予</w:t>
      </w:r>
      <w:r w:rsidRPr="00FF1044">
        <w:rPr>
          <w:rFonts w:asciiTheme="majorEastAsia" w:eastAsiaTheme="majorEastAsia" w:hAnsiTheme="majorEastAsia" w:hint="eastAsia"/>
          <w:sz w:val="24"/>
          <w:szCs w:val="24"/>
        </w:rPr>
        <w:t>资金补贴，</w:t>
      </w:r>
      <w:r w:rsidR="004927A3" w:rsidRPr="00FF1044">
        <w:rPr>
          <w:rFonts w:asciiTheme="majorEastAsia" w:eastAsiaTheme="majorEastAsia" w:hAnsiTheme="majorEastAsia" w:hint="eastAsia"/>
          <w:sz w:val="24"/>
          <w:szCs w:val="24"/>
        </w:rPr>
        <w:t>并严格执行《专项资金管理暂行办法》，从而通过获得稳定的经费和规范的资金运作</w:t>
      </w:r>
      <w:r w:rsidR="00A05DCE" w:rsidRPr="00FF1044">
        <w:rPr>
          <w:rFonts w:asciiTheme="majorEastAsia" w:eastAsiaTheme="majorEastAsia" w:hAnsiTheme="majorEastAsia" w:hint="eastAsia"/>
          <w:sz w:val="24"/>
          <w:szCs w:val="24"/>
        </w:rPr>
        <w:t>，</w:t>
      </w:r>
      <w:r w:rsidR="004927A3" w:rsidRPr="00FF1044">
        <w:rPr>
          <w:rFonts w:asciiTheme="majorEastAsia" w:eastAsiaTheme="majorEastAsia" w:hAnsiTheme="majorEastAsia" w:hint="eastAsia"/>
          <w:sz w:val="24"/>
          <w:szCs w:val="24"/>
        </w:rPr>
        <w:t>来</w:t>
      </w:r>
      <w:r w:rsidRPr="00FF1044">
        <w:rPr>
          <w:rFonts w:asciiTheme="majorEastAsia" w:eastAsiaTheme="majorEastAsia" w:hAnsiTheme="majorEastAsia" w:hint="eastAsia"/>
          <w:sz w:val="24"/>
          <w:szCs w:val="24"/>
        </w:rPr>
        <w:t>保障</w:t>
      </w:r>
      <w:r w:rsidR="00B840E3" w:rsidRPr="00FF1044">
        <w:rPr>
          <w:rFonts w:asciiTheme="majorEastAsia" w:eastAsiaTheme="majorEastAsia" w:hAnsiTheme="majorEastAsia" w:hint="eastAsia"/>
          <w:sz w:val="24"/>
          <w:szCs w:val="24"/>
        </w:rPr>
        <w:t>配套人力</w:t>
      </w:r>
      <w:r w:rsidR="00A05DCE" w:rsidRPr="00FF1044">
        <w:rPr>
          <w:rFonts w:asciiTheme="majorEastAsia" w:eastAsiaTheme="majorEastAsia" w:hAnsiTheme="majorEastAsia" w:hint="eastAsia"/>
          <w:sz w:val="24"/>
          <w:szCs w:val="24"/>
        </w:rPr>
        <w:t>、</w:t>
      </w:r>
      <w:r w:rsidR="00B840E3" w:rsidRPr="00FF1044">
        <w:rPr>
          <w:rFonts w:asciiTheme="majorEastAsia" w:eastAsiaTheme="majorEastAsia" w:hAnsiTheme="majorEastAsia" w:hint="eastAsia"/>
          <w:sz w:val="24"/>
          <w:szCs w:val="24"/>
        </w:rPr>
        <w:t>物资</w:t>
      </w:r>
      <w:r w:rsidR="00A05DCE" w:rsidRPr="00FF1044">
        <w:rPr>
          <w:rFonts w:asciiTheme="majorEastAsia" w:eastAsiaTheme="majorEastAsia" w:hAnsiTheme="majorEastAsia" w:hint="eastAsia"/>
          <w:sz w:val="24"/>
          <w:szCs w:val="24"/>
        </w:rPr>
        <w:t>及</w:t>
      </w:r>
      <w:r w:rsidR="00B840E3" w:rsidRPr="00FF1044">
        <w:rPr>
          <w:rFonts w:asciiTheme="majorEastAsia" w:eastAsiaTheme="majorEastAsia" w:hAnsiTheme="majorEastAsia" w:hint="eastAsia"/>
          <w:sz w:val="24"/>
          <w:szCs w:val="24"/>
        </w:rPr>
        <w:t>设施</w:t>
      </w:r>
      <w:r w:rsidR="004927A3" w:rsidRPr="00FF1044">
        <w:rPr>
          <w:rFonts w:asciiTheme="majorEastAsia" w:eastAsiaTheme="majorEastAsia" w:hAnsiTheme="majorEastAsia" w:hint="eastAsia"/>
          <w:sz w:val="24"/>
          <w:szCs w:val="24"/>
        </w:rPr>
        <w:t>；并且分别建立了《网球进校园项目管理大纲》、《“围棋进课堂”普及课程项目管理办法》和《足球普及教学工作联席会议制度》项目管理制度加以规范执行。</w:t>
      </w:r>
    </w:p>
    <w:p w:rsidR="000143FC" w:rsidRPr="00FF1044" w:rsidRDefault="00ED5298"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sz w:val="24"/>
          <w:szCs w:val="24"/>
        </w:rPr>
        <w:t>以上措施</w:t>
      </w:r>
      <w:r w:rsidR="000143FC" w:rsidRPr="00FF1044">
        <w:rPr>
          <w:rFonts w:asciiTheme="majorEastAsia" w:eastAsiaTheme="majorEastAsia" w:hAnsiTheme="majorEastAsia" w:hint="eastAsia"/>
          <w:sz w:val="24"/>
          <w:szCs w:val="24"/>
        </w:rPr>
        <w:t>有助于加快“校园足球联盟”、“围棋进课堂”、“网球进校园”区域特色品牌项目建设，</w:t>
      </w:r>
      <w:r w:rsidR="004D0594" w:rsidRPr="00FF1044">
        <w:rPr>
          <w:rFonts w:asciiTheme="majorEastAsia" w:eastAsiaTheme="majorEastAsia" w:hAnsiTheme="majorEastAsia" w:hint="eastAsia"/>
          <w:sz w:val="24"/>
          <w:szCs w:val="24"/>
        </w:rPr>
        <w:t>使得计划受益学生</w:t>
      </w:r>
      <w:r w:rsidR="00CB0ED1" w:rsidRPr="00FF1044">
        <w:rPr>
          <w:rFonts w:asciiTheme="majorEastAsia" w:eastAsiaTheme="majorEastAsia" w:hAnsiTheme="majorEastAsia" w:hint="eastAsia"/>
          <w:sz w:val="24"/>
          <w:szCs w:val="24"/>
        </w:rPr>
        <w:t>积极参与</w:t>
      </w:r>
      <w:r w:rsidR="004D0594" w:rsidRPr="00FF1044">
        <w:rPr>
          <w:rFonts w:asciiTheme="majorEastAsia" w:eastAsiaTheme="majorEastAsia" w:hAnsiTheme="majorEastAsia" w:hint="eastAsia"/>
          <w:sz w:val="24"/>
          <w:szCs w:val="24"/>
        </w:rPr>
        <w:t>特色体育项目，</w:t>
      </w:r>
      <w:r w:rsidR="000143FC" w:rsidRPr="00FF1044">
        <w:rPr>
          <w:rFonts w:asciiTheme="majorEastAsia" w:eastAsiaTheme="majorEastAsia" w:hAnsiTheme="majorEastAsia" w:hint="eastAsia"/>
          <w:sz w:val="24"/>
          <w:szCs w:val="24"/>
        </w:rPr>
        <w:t>有助于推进师资队伍建设的稳定，确保高水平教练员进校园，</w:t>
      </w:r>
      <w:r w:rsidR="00903824" w:rsidRPr="00FF1044">
        <w:rPr>
          <w:rFonts w:asciiTheme="majorEastAsia" w:eastAsiaTheme="majorEastAsia" w:hAnsiTheme="majorEastAsia" w:hint="eastAsia"/>
          <w:sz w:val="24"/>
          <w:szCs w:val="24"/>
        </w:rPr>
        <w:t>且</w:t>
      </w:r>
      <w:r w:rsidR="000143FC" w:rsidRPr="00FF1044">
        <w:rPr>
          <w:rFonts w:asciiTheme="majorEastAsia" w:eastAsiaTheme="majorEastAsia" w:hAnsiTheme="majorEastAsia" w:hint="eastAsia"/>
          <w:sz w:val="24"/>
          <w:szCs w:val="24"/>
        </w:rPr>
        <w:t>保障区域开展项目品牌联赛，整体提高区域品牌项目质量。因此</w:t>
      </w:r>
      <w:r w:rsidR="00F80910" w:rsidRPr="00FF1044">
        <w:rPr>
          <w:rFonts w:asciiTheme="majorEastAsia" w:eastAsiaTheme="majorEastAsia" w:hAnsiTheme="majorEastAsia" w:hint="eastAsia"/>
          <w:sz w:val="24"/>
          <w:szCs w:val="24"/>
        </w:rPr>
        <w:t>该</w:t>
      </w:r>
      <w:r w:rsidR="000143FC" w:rsidRPr="00FF1044">
        <w:rPr>
          <w:rFonts w:asciiTheme="majorEastAsia" w:eastAsiaTheme="majorEastAsia" w:hAnsiTheme="majorEastAsia" w:hint="eastAsia"/>
          <w:sz w:val="24"/>
          <w:szCs w:val="24"/>
        </w:rPr>
        <w:t>项目具有可行性。</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（二）项目绩效目标设定情况</w:t>
      </w:r>
    </w:p>
    <w:p w:rsidR="000143FC" w:rsidRPr="00637ABF" w:rsidRDefault="000143FC" w:rsidP="00637ABF">
      <w:pPr>
        <w:spacing w:line="360" w:lineRule="auto"/>
        <w:ind w:firstLineChars="200" w:firstLine="482"/>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项目总体目标</w:t>
      </w:r>
      <w:r w:rsidR="00C03543" w:rsidRPr="00637ABF">
        <w:rPr>
          <w:rFonts w:asciiTheme="majorEastAsia" w:eastAsiaTheme="majorEastAsia" w:hAnsiTheme="majorEastAsia" w:hint="eastAsia"/>
          <w:b/>
          <w:sz w:val="24"/>
          <w:szCs w:val="24"/>
        </w:rPr>
        <w:t>：</w:t>
      </w:r>
      <w:r w:rsidRPr="00FF1044">
        <w:rPr>
          <w:rFonts w:asciiTheme="majorEastAsia" w:eastAsiaTheme="majorEastAsia" w:hAnsiTheme="majorEastAsia" w:hint="eastAsia"/>
          <w:sz w:val="24"/>
          <w:szCs w:val="24"/>
        </w:rPr>
        <w:t>通过政府购买服务的方式</w:t>
      </w:r>
      <w:r w:rsidR="00245D77">
        <w:rPr>
          <w:rFonts w:asciiTheme="majorEastAsia" w:eastAsiaTheme="majorEastAsia" w:hAnsiTheme="majorEastAsia" w:hint="eastAsia"/>
          <w:sz w:val="24"/>
          <w:szCs w:val="24"/>
        </w:rPr>
        <w:t>给予</w:t>
      </w:r>
      <w:r w:rsidRPr="00FF1044">
        <w:rPr>
          <w:rFonts w:asciiTheme="majorEastAsia" w:eastAsiaTheme="majorEastAsia" w:hAnsiTheme="majorEastAsia" w:hint="eastAsia"/>
          <w:sz w:val="24"/>
          <w:szCs w:val="24"/>
        </w:rPr>
        <w:t>资金补贴扶持，加快和促进“校</w:t>
      </w:r>
      <w:r w:rsidRPr="00FF1044">
        <w:rPr>
          <w:rFonts w:asciiTheme="majorEastAsia" w:eastAsiaTheme="majorEastAsia" w:hAnsiTheme="majorEastAsia" w:hint="eastAsia"/>
          <w:sz w:val="24"/>
          <w:szCs w:val="24"/>
        </w:rPr>
        <w:lastRenderedPageBreak/>
        <w:t>园足球联盟”、“围棋进课堂”、“网球进校园”项目建设，确保项目能有序运作，对具备条件的学校进行扶持学生普及率达</w:t>
      </w:r>
      <w:r w:rsidR="003A10C3" w:rsidRPr="00FF1044">
        <w:rPr>
          <w:rFonts w:asciiTheme="majorEastAsia" w:eastAsiaTheme="majorEastAsia" w:hAnsiTheme="majorEastAsia"/>
          <w:sz w:val="24"/>
          <w:szCs w:val="24"/>
        </w:rPr>
        <w:t>10</w:t>
      </w:r>
      <w:r w:rsidRPr="00FF1044">
        <w:rPr>
          <w:rFonts w:asciiTheme="majorEastAsia" w:eastAsiaTheme="majorEastAsia" w:hAnsiTheme="majorEastAsia" w:hint="eastAsia"/>
          <w:sz w:val="24"/>
          <w:szCs w:val="24"/>
        </w:rPr>
        <w:t>0%；加强队伍建设，扶持区高水平运动队建设，保障师资队伍稳定</w:t>
      </w:r>
      <w:r w:rsidR="00245D77">
        <w:rPr>
          <w:rFonts w:asciiTheme="majorEastAsia" w:eastAsiaTheme="majorEastAsia" w:hAnsiTheme="majorEastAsia" w:hint="eastAsia"/>
          <w:sz w:val="24"/>
          <w:szCs w:val="24"/>
        </w:rPr>
        <w:t>发展</w:t>
      </w:r>
      <w:r w:rsidRPr="00FF1044">
        <w:rPr>
          <w:rFonts w:asciiTheme="majorEastAsia" w:eastAsiaTheme="majorEastAsia" w:hAnsiTheme="majorEastAsia" w:hint="eastAsia"/>
          <w:sz w:val="24"/>
          <w:szCs w:val="24"/>
        </w:rPr>
        <w:t>；</w:t>
      </w:r>
      <w:r w:rsidR="008E7565" w:rsidRPr="00FF1044">
        <w:rPr>
          <w:rFonts w:asciiTheme="majorEastAsia" w:eastAsiaTheme="majorEastAsia" w:hAnsiTheme="majorEastAsia" w:hint="eastAsia"/>
          <w:sz w:val="24"/>
          <w:szCs w:val="24"/>
        </w:rPr>
        <w:t>促进</w:t>
      </w:r>
      <w:r w:rsidRPr="00FF1044">
        <w:rPr>
          <w:rFonts w:asciiTheme="majorEastAsia" w:eastAsiaTheme="majorEastAsia" w:hAnsiTheme="majorEastAsia" w:hint="eastAsia"/>
          <w:sz w:val="24"/>
          <w:szCs w:val="24"/>
        </w:rPr>
        <w:t>区级相关赛事</w:t>
      </w:r>
      <w:r w:rsidR="00245D77">
        <w:rPr>
          <w:rFonts w:asciiTheme="majorEastAsia" w:eastAsiaTheme="majorEastAsia" w:hAnsiTheme="majorEastAsia" w:hint="eastAsia"/>
          <w:sz w:val="24"/>
          <w:szCs w:val="24"/>
        </w:rPr>
        <w:t>顺利开展</w:t>
      </w:r>
      <w:r w:rsidRPr="00FF1044">
        <w:rPr>
          <w:rFonts w:asciiTheme="majorEastAsia" w:eastAsiaTheme="majorEastAsia" w:hAnsiTheme="majorEastAsia" w:hint="eastAsia"/>
          <w:sz w:val="24"/>
          <w:szCs w:val="24"/>
        </w:rPr>
        <w:t>。</w:t>
      </w:r>
    </w:p>
    <w:p w:rsidR="000143FC" w:rsidRPr="00637ABF" w:rsidRDefault="000143FC" w:rsidP="00637ABF">
      <w:pPr>
        <w:spacing w:line="360" w:lineRule="auto"/>
        <w:ind w:firstLineChars="200" w:firstLine="480"/>
        <w:rPr>
          <w:rFonts w:asciiTheme="majorEastAsia" w:eastAsiaTheme="majorEastAsia" w:hAnsiTheme="majorEastAsia"/>
          <w:sz w:val="24"/>
          <w:szCs w:val="24"/>
        </w:rPr>
      </w:pPr>
      <w:r w:rsidRPr="00637ABF">
        <w:rPr>
          <w:rFonts w:asciiTheme="majorEastAsia" w:eastAsiaTheme="majorEastAsia" w:hAnsiTheme="majorEastAsia" w:hint="eastAsia"/>
          <w:sz w:val="24"/>
          <w:szCs w:val="24"/>
        </w:rPr>
        <w:t>2015年度绩效目标如下：</w:t>
      </w:r>
    </w:p>
    <w:tbl>
      <w:tblPr>
        <w:tblW w:w="8354" w:type="dxa"/>
        <w:tblInd w:w="118" w:type="dxa"/>
        <w:tblLook w:val="04A0"/>
      </w:tblPr>
      <w:tblGrid>
        <w:gridCol w:w="841"/>
        <w:gridCol w:w="1843"/>
        <w:gridCol w:w="2693"/>
        <w:gridCol w:w="2977"/>
      </w:tblGrid>
      <w:tr w:rsidR="001978F7" w:rsidRPr="00637ABF" w:rsidTr="00637ABF">
        <w:trPr>
          <w:trHeight w:val="468"/>
        </w:trPr>
        <w:tc>
          <w:tcPr>
            <w:tcW w:w="2684" w:type="dxa"/>
            <w:gridSpan w:val="2"/>
            <w:vMerge w:val="restart"/>
            <w:tcBorders>
              <w:top w:val="single" w:sz="4" w:space="0" w:color="auto"/>
              <w:left w:val="single" w:sz="8"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绩效指标</w:t>
            </w:r>
          </w:p>
        </w:tc>
        <w:tc>
          <w:tcPr>
            <w:tcW w:w="2693"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指标名称</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绩效指标值</w:t>
            </w:r>
          </w:p>
        </w:tc>
      </w:tr>
      <w:tr w:rsidR="001978F7" w:rsidRPr="00637ABF" w:rsidTr="00637ABF">
        <w:trPr>
          <w:trHeight w:val="468"/>
        </w:trPr>
        <w:tc>
          <w:tcPr>
            <w:tcW w:w="2684" w:type="dxa"/>
            <w:gridSpan w:val="2"/>
            <w:vMerge/>
            <w:tcBorders>
              <w:top w:val="single" w:sz="4" w:space="0" w:color="auto"/>
              <w:left w:val="single" w:sz="8"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left"/>
              <w:rPr>
                <w:rFonts w:asciiTheme="minorEastAsia" w:hAnsiTheme="minorEastAsia" w:cs="宋体"/>
                <w:kern w:val="0"/>
                <w:sz w:val="24"/>
                <w:szCs w:val="24"/>
              </w:rPr>
            </w:pPr>
          </w:p>
        </w:tc>
        <w:tc>
          <w:tcPr>
            <w:tcW w:w="2693"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left"/>
              <w:rPr>
                <w:rFonts w:asciiTheme="minorEastAsia" w:hAnsiTheme="minorEastAsia" w:cs="宋体"/>
                <w:kern w:val="0"/>
                <w:sz w:val="24"/>
                <w:szCs w:val="24"/>
              </w:rPr>
            </w:pPr>
          </w:p>
        </w:tc>
        <w:tc>
          <w:tcPr>
            <w:tcW w:w="2977"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1978F7" w:rsidRPr="00637ABF" w:rsidRDefault="001978F7" w:rsidP="00FF1044">
            <w:pPr>
              <w:widowControl/>
              <w:spacing w:line="360" w:lineRule="auto"/>
              <w:jc w:val="left"/>
              <w:rPr>
                <w:rFonts w:asciiTheme="minorEastAsia" w:hAnsiTheme="minorEastAsia" w:cs="宋体"/>
                <w:kern w:val="0"/>
                <w:sz w:val="24"/>
                <w:szCs w:val="24"/>
              </w:rPr>
            </w:pPr>
          </w:p>
        </w:tc>
      </w:tr>
      <w:tr w:rsidR="001978F7" w:rsidRPr="00637ABF" w:rsidTr="00637ABF">
        <w:trPr>
          <w:trHeight w:val="570"/>
        </w:trPr>
        <w:tc>
          <w:tcPr>
            <w:tcW w:w="84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产</w:t>
            </w:r>
            <w:r w:rsidRPr="00637ABF">
              <w:rPr>
                <w:rFonts w:asciiTheme="minorEastAsia" w:hAnsiTheme="minorEastAsia" w:cs="宋体" w:hint="eastAsia"/>
                <w:color w:val="000000"/>
                <w:kern w:val="0"/>
                <w:sz w:val="24"/>
                <w:szCs w:val="24"/>
              </w:rPr>
              <w:br/>
              <w:t>出</w:t>
            </w:r>
            <w:r w:rsidRPr="00637ABF">
              <w:rPr>
                <w:rFonts w:asciiTheme="minorEastAsia" w:hAnsiTheme="minorEastAsia" w:cs="宋体" w:hint="eastAsia"/>
                <w:color w:val="000000"/>
                <w:kern w:val="0"/>
                <w:sz w:val="24"/>
                <w:szCs w:val="24"/>
              </w:rPr>
              <w:br/>
              <w:t>指</w:t>
            </w:r>
            <w:r w:rsidRPr="00637ABF">
              <w:rPr>
                <w:rFonts w:asciiTheme="minorEastAsia" w:hAnsiTheme="minorEastAsia" w:cs="宋体" w:hint="eastAsia"/>
                <w:color w:val="000000"/>
                <w:kern w:val="0"/>
                <w:sz w:val="24"/>
                <w:szCs w:val="24"/>
              </w:rPr>
              <w:br/>
              <w:t>标</w:t>
            </w:r>
          </w:p>
        </w:tc>
        <w:tc>
          <w:tcPr>
            <w:tcW w:w="184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产出数量</w:t>
            </w:r>
            <w:r w:rsidRPr="00637ABF">
              <w:rPr>
                <w:rFonts w:asciiTheme="minorEastAsia" w:hAnsiTheme="minorEastAsia" w:cs="宋体" w:hint="eastAsia"/>
                <w:color w:val="000000"/>
                <w:kern w:val="0"/>
                <w:sz w:val="24"/>
                <w:szCs w:val="24"/>
              </w:rPr>
              <w:br/>
              <w:t>（C11）</w:t>
            </w:r>
          </w:p>
        </w:tc>
        <w:tc>
          <w:tcPr>
            <w:tcW w:w="2693" w:type="dxa"/>
            <w:tcBorders>
              <w:top w:val="single" w:sz="8" w:space="0" w:color="auto"/>
              <w:left w:val="nil"/>
              <w:bottom w:val="nil"/>
              <w:right w:val="single" w:sz="4" w:space="0" w:color="000000"/>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特色课程</w:t>
            </w:r>
            <w:r w:rsidR="00FB10E5" w:rsidRPr="00637ABF">
              <w:rPr>
                <w:rFonts w:asciiTheme="minorEastAsia" w:hAnsiTheme="minorEastAsia" w:cs="宋体" w:hint="eastAsia"/>
                <w:color w:val="000000"/>
                <w:kern w:val="0"/>
                <w:sz w:val="24"/>
                <w:szCs w:val="24"/>
              </w:rPr>
              <w:t>完成</w:t>
            </w:r>
            <w:r w:rsidRPr="00637ABF">
              <w:rPr>
                <w:rFonts w:asciiTheme="minorEastAsia" w:hAnsiTheme="minorEastAsia" w:cs="宋体" w:hint="eastAsia"/>
                <w:color w:val="000000"/>
                <w:kern w:val="0"/>
                <w:sz w:val="24"/>
                <w:szCs w:val="24"/>
              </w:rPr>
              <w:t>率</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100%</w:t>
            </w:r>
          </w:p>
        </w:tc>
      </w:tr>
      <w:tr w:rsidR="001978F7" w:rsidRPr="00637ABF" w:rsidTr="00637ABF">
        <w:trPr>
          <w:trHeight w:val="555"/>
        </w:trPr>
        <w:tc>
          <w:tcPr>
            <w:tcW w:w="841" w:type="dxa"/>
            <w:vMerge/>
            <w:tcBorders>
              <w:top w:val="single" w:sz="8" w:space="0" w:color="auto"/>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2693" w:type="dxa"/>
            <w:tcBorders>
              <w:top w:val="single" w:sz="4" w:space="0" w:color="auto"/>
              <w:left w:val="nil"/>
              <w:bottom w:val="single" w:sz="4" w:space="0" w:color="auto"/>
              <w:right w:val="single" w:sz="4" w:space="0" w:color="000000"/>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区队建设完成率</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100%</w:t>
            </w:r>
          </w:p>
        </w:tc>
      </w:tr>
      <w:tr w:rsidR="001978F7" w:rsidRPr="00637ABF" w:rsidTr="00637ABF">
        <w:trPr>
          <w:trHeight w:val="480"/>
        </w:trPr>
        <w:tc>
          <w:tcPr>
            <w:tcW w:w="841" w:type="dxa"/>
            <w:vMerge/>
            <w:tcBorders>
              <w:top w:val="single" w:sz="8" w:space="0" w:color="auto"/>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产出质量</w:t>
            </w:r>
            <w:r w:rsidRPr="00637ABF">
              <w:rPr>
                <w:rFonts w:asciiTheme="minorEastAsia" w:hAnsiTheme="minorEastAsia" w:cs="宋体" w:hint="eastAsia"/>
                <w:color w:val="000000"/>
                <w:kern w:val="0"/>
                <w:sz w:val="24"/>
                <w:szCs w:val="24"/>
              </w:rPr>
              <w:br/>
              <w:t>（C12）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学生合格率</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≥85%</w:t>
            </w:r>
          </w:p>
        </w:tc>
      </w:tr>
      <w:tr w:rsidR="001978F7" w:rsidRPr="00637ABF" w:rsidTr="00637ABF">
        <w:trPr>
          <w:trHeight w:val="510"/>
        </w:trPr>
        <w:tc>
          <w:tcPr>
            <w:tcW w:w="841" w:type="dxa"/>
            <w:vMerge/>
            <w:tcBorders>
              <w:top w:val="single" w:sz="8" w:space="0" w:color="auto"/>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教师培训</w:t>
            </w:r>
            <w:r w:rsidR="008D378F" w:rsidRPr="00637ABF">
              <w:rPr>
                <w:rFonts w:asciiTheme="minorEastAsia" w:hAnsiTheme="minorEastAsia" w:cs="宋体" w:hint="eastAsia"/>
                <w:color w:val="000000"/>
                <w:kern w:val="0"/>
                <w:sz w:val="24"/>
                <w:szCs w:val="24"/>
              </w:rPr>
              <w:t>后</w:t>
            </w:r>
            <w:bookmarkStart w:id="0" w:name="_GoBack"/>
            <w:bookmarkEnd w:id="0"/>
            <w:r w:rsidRPr="00637ABF">
              <w:rPr>
                <w:rFonts w:asciiTheme="minorEastAsia" w:hAnsiTheme="minorEastAsia" w:cs="宋体" w:hint="eastAsia"/>
                <w:color w:val="000000"/>
                <w:kern w:val="0"/>
                <w:sz w:val="24"/>
                <w:szCs w:val="24"/>
              </w:rPr>
              <w:t>合格率</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100%</w:t>
            </w:r>
          </w:p>
        </w:tc>
      </w:tr>
      <w:tr w:rsidR="001978F7" w:rsidRPr="00637ABF" w:rsidTr="00637ABF">
        <w:trPr>
          <w:trHeight w:val="585"/>
        </w:trPr>
        <w:tc>
          <w:tcPr>
            <w:tcW w:w="841" w:type="dxa"/>
            <w:vMerge/>
            <w:tcBorders>
              <w:top w:val="single" w:sz="8" w:space="0" w:color="auto"/>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产出时效</w:t>
            </w:r>
            <w:r w:rsidRPr="00637ABF">
              <w:rPr>
                <w:rFonts w:asciiTheme="minorEastAsia" w:hAnsiTheme="minorEastAsia" w:cs="宋体" w:hint="eastAsia"/>
                <w:color w:val="000000"/>
                <w:kern w:val="0"/>
                <w:sz w:val="24"/>
                <w:szCs w:val="24"/>
              </w:rPr>
              <w:br/>
              <w:t>（C13）</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245D77" w:rsidP="00FF1044">
            <w:pPr>
              <w:widowControl/>
              <w:spacing w:line="360" w:lineRule="auto"/>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授课考勤出勤</w:t>
            </w:r>
            <w:r w:rsidR="001978F7" w:rsidRPr="00637ABF">
              <w:rPr>
                <w:rFonts w:asciiTheme="minorEastAsia" w:hAnsiTheme="minorEastAsia" w:cs="宋体" w:hint="eastAsia"/>
                <w:color w:val="000000"/>
                <w:kern w:val="0"/>
                <w:sz w:val="24"/>
                <w:szCs w:val="24"/>
              </w:rPr>
              <w:t>率</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100%</w:t>
            </w:r>
          </w:p>
        </w:tc>
      </w:tr>
      <w:tr w:rsidR="001978F7" w:rsidRPr="00637ABF" w:rsidTr="00637ABF">
        <w:trPr>
          <w:trHeight w:val="555"/>
        </w:trPr>
        <w:tc>
          <w:tcPr>
            <w:tcW w:w="841" w:type="dxa"/>
            <w:vMerge/>
            <w:tcBorders>
              <w:top w:val="single" w:sz="8" w:space="0" w:color="auto"/>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nil"/>
              <w:left w:val="single" w:sz="4"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2693" w:type="dxa"/>
            <w:tcBorders>
              <w:top w:val="single" w:sz="4" w:space="0" w:color="auto"/>
              <w:left w:val="nil"/>
              <w:bottom w:val="single" w:sz="8" w:space="0" w:color="auto"/>
              <w:right w:val="single" w:sz="4" w:space="0" w:color="auto"/>
            </w:tcBorders>
            <w:shd w:val="clear" w:color="auto" w:fill="auto"/>
            <w:vAlign w:val="center"/>
            <w:hideMark/>
          </w:tcPr>
          <w:p w:rsidR="001978F7" w:rsidRPr="00637ABF" w:rsidRDefault="00245D77" w:rsidP="00FF1044">
            <w:pPr>
              <w:widowControl/>
              <w:spacing w:line="360" w:lineRule="auto"/>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教师培训授课</w:t>
            </w:r>
            <w:r w:rsidR="001978F7" w:rsidRPr="00637ABF">
              <w:rPr>
                <w:rFonts w:asciiTheme="minorEastAsia" w:hAnsiTheme="minorEastAsia" w:cs="宋体" w:hint="eastAsia"/>
                <w:color w:val="000000"/>
                <w:kern w:val="0"/>
                <w:sz w:val="24"/>
                <w:szCs w:val="24"/>
              </w:rPr>
              <w:t>率</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100%</w:t>
            </w:r>
          </w:p>
        </w:tc>
      </w:tr>
      <w:tr w:rsidR="001978F7" w:rsidRPr="00637ABF" w:rsidTr="00637ABF">
        <w:trPr>
          <w:trHeight w:val="897"/>
        </w:trPr>
        <w:tc>
          <w:tcPr>
            <w:tcW w:w="841" w:type="dxa"/>
            <w:vMerge w:val="restart"/>
            <w:tcBorders>
              <w:top w:val="nil"/>
              <w:left w:val="single" w:sz="8" w:space="0" w:color="auto"/>
              <w:bottom w:val="single" w:sz="8" w:space="0" w:color="000000"/>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效</w:t>
            </w:r>
            <w:r w:rsidRPr="00637ABF">
              <w:rPr>
                <w:rFonts w:asciiTheme="minorEastAsia" w:hAnsiTheme="minorEastAsia" w:cs="宋体" w:hint="eastAsia"/>
                <w:color w:val="000000"/>
                <w:kern w:val="0"/>
                <w:sz w:val="24"/>
                <w:szCs w:val="24"/>
              </w:rPr>
              <w:br/>
              <w:t>益</w:t>
            </w:r>
            <w:r w:rsidRPr="00637ABF">
              <w:rPr>
                <w:rFonts w:asciiTheme="minorEastAsia" w:hAnsiTheme="minorEastAsia" w:cs="宋体" w:hint="eastAsia"/>
                <w:color w:val="000000"/>
                <w:kern w:val="0"/>
                <w:sz w:val="24"/>
                <w:szCs w:val="24"/>
              </w:rPr>
              <w:br/>
              <w:t>指</w:t>
            </w:r>
            <w:r w:rsidRPr="00637ABF">
              <w:rPr>
                <w:rFonts w:asciiTheme="minorEastAsia" w:hAnsiTheme="minorEastAsia" w:cs="宋体" w:hint="eastAsia"/>
                <w:color w:val="000000"/>
                <w:kern w:val="0"/>
                <w:sz w:val="24"/>
                <w:szCs w:val="24"/>
              </w:rPr>
              <w:br/>
              <w:t>标</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978F7" w:rsidRPr="00637ABF" w:rsidRDefault="001978F7" w:rsidP="00FF1044">
            <w:pPr>
              <w:spacing w:line="360" w:lineRule="auto"/>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社会效益</w:t>
            </w:r>
            <w:r w:rsidRPr="00637ABF">
              <w:rPr>
                <w:rFonts w:asciiTheme="minorEastAsia" w:hAnsiTheme="minorEastAsia" w:cs="宋体" w:hint="eastAsia"/>
                <w:color w:val="000000"/>
                <w:kern w:val="0"/>
                <w:sz w:val="24"/>
                <w:szCs w:val="24"/>
              </w:rPr>
              <w:br/>
              <w:t>（C22）</w:t>
            </w:r>
          </w:p>
        </w:tc>
        <w:tc>
          <w:tcPr>
            <w:tcW w:w="2693" w:type="dxa"/>
            <w:tcBorders>
              <w:top w:val="single" w:sz="8"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比赛人数增长率</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 xml:space="preserve">　≥10%</w:t>
            </w:r>
          </w:p>
        </w:tc>
      </w:tr>
      <w:tr w:rsidR="001978F7" w:rsidRPr="00637ABF" w:rsidTr="00637ABF">
        <w:trPr>
          <w:trHeight w:val="746"/>
        </w:trPr>
        <w:tc>
          <w:tcPr>
            <w:tcW w:w="841" w:type="dxa"/>
            <w:vMerge/>
            <w:tcBorders>
              <w:top w:val="nil"/>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978F7" w:rsidRPr="00637ABF" w:rsidRDefault="001978F7" w:rsidP="00FF1044">
            <w:pPr>
              <w:spacing w:line="360" w:lineRule="auto"/>
              <w:jc w:val="center"/>
              <w:rPr>
                <w:rFonts w:asciiTheme="minorEastAsia" w:hAnsiTheme="minorEastAsia" w:cs="宋体"/>
                <w:color w:val="000000"/>
                <w:kern w:val="0"/>
                <w:sz w:val="24"/>
                <w:szCs w:val="24"/>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245D77" w:rsidP="00FF1044">
            <w:pPr>
              <w:widowControl/>
              <w:spacing w:line="360" w:lineRule="auto"/>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区队参加市级比赛参与率</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1</w:t>
            </w:r>
            <w:r w:rsidR="00245D77">
              <w:rPr>
                <w:rFonts w:asciiTheme="minorEastAsia" w:hAnsiTheme="minorEastAsia" w:cs="宋体" w:hint="eastAsia"/>
                <w:kern w:val="0"/>
                <w:sz w:val="24"/>
                <w:szCs w:val="24"/>
              </w:rPr>
              <w:t>0</w:t>
            </w:r>
            <w:r w:rsidRPr="00637ABF">
              <w:rPr>
                <w:rFonts w:asciiTheme="minorEastAsia" w:hAnsiTheme="minorEastAsia" w:cs="宋体" w:hint="eastAsia"/>
                <w:kern w:val="0"/>
                <w:sz w:val="24"/>
                <w:szCs w:val="24"/>
              </w:rPr>
              <w:t>0%</w:t>
            </w:r>
          </w:p>
        </w:tc>
      </w:tr>
      <w:tr w:rsidR="001978F7" w:rsidRPr="00245D77" w:rsidTr="00637ABF">
        <w:trPr>
          <w:trHeight w:val="1080"/>
        </w:trPr>
        <w:tc>
          <w:tcPr>
            <w:tcW w:w="841" w:type="dxa"/>
            <w:vMerge w:val="restart"/>
            <w:tcBorders>
              <w:top w:val="nil"/>
              <w:left w:val="single" w:sz="8" w:space="0" w:color="auto"/>
              <w:bottom w:val="single" w:sz="8" w:space="0" w:color="000000"/>
              <w:right w:val="nil"/>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效</w:t>
            </w:r>
            <w:r w:rsidRPr="00637ABF">
              <w:rPr>
                <w:rFonts w:asciiTheme="minorEastAsia" w:hAnsiTheme="minorEastAsia" w:cs="宋体" w:hint="eastAsia"/>
                <w:color w:val="000000"/>
                <w:kern w:val="0"/>
                <w:sz w:val="24"/>
                <w:szCs w:val="24"/>
              </w:rPr>
              <w:br/>
              <w:t>果</w:t>
            </w:r>
            <w:r w:rsidRPr="00637ABF">
              <w:rPr>
                <w:rFonts w:asciiTheme="minorEastAsia" w:hAnsiTheme="minorEastAsia" w:cs="宋体" w:hint="eastAsia"/>
                <w:color w:val="000000"/>
                <w:kern w:val="0"/>
                <w:sz w:val="24"/>
                <w:szCs w:val="24"/>
              </w:rPr>
              <w:br/>
              <w:t>指</w:t>
            </w:r>
            <w:r w:rsidRPr="00637ABF">
              <w:rPr>
                <w:rFonts w:asciiTheme="minorEastAsia" w:hAnsiTheme="minorEastAsia" w:cs="宋体" w:hint="eastAsia"/>
                <w:color w:val="000000"/>
                <w:kern w:val="0"/>
                <w:sz w:val="24"/>
                <w:szCs w:val="24"/>
              </w:rPr>
              <w:br/>
              <w:t>标</w:t>
            </w:r>
          </w:p>
        </w:tc>
        <w:tc>
          <w:tcPr>
            <w:tcW w:w="1843"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影响力</w:t>
            </w:r>
            <w:r w:rsidRPr="00637ABF">
              <w:rPr>
                <w:rFonts w:asciiTheme="minorEastAsia" w:hAnsiTheme="minorEastAsia" w:cs="宋体" w:hint="eastAsia"/>
                <w:color w:val="000000"/>
                <w:kern w:val="0"/>
                <w:sz w:val="24"/>
                <w:szCs w:val="24"/>
              </w:rPr>
              <w:br/>
              <w:t>（C31）</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245D77" w:rsidP="00FF1044">
            <w:pPr>
              <w:widowControl/>
              <w:spacing w:line="360" w:lineRule="auto"/>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建立健全长效保障</w:t>
            </w:r>
            <w:r w:rsidR="001978F7" w:rsidRPr="00637ABF">
              <w:rPr>
                <w:rFonts w:asciiTheme="minorEastAsia" w:hAnsiTheme="minorEastAsia" w:cs="宋体" w:hint="eastAsia"/>
                <w:color w:val="000000"/>
                <w:kern w:val="0"/>
                <w:sz w:val="24"/>
                <w:szCs w:val="24"/>
              </w:rPr>
              <w:t>制度</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245D77" w:rsidRPr="00245D77" w:rsidRDefault="00245D77" w:rsidP="00245D77">
            <w:pPr>
              <w:jc w:val="center"/>
              <w:rPr>
                <w:rFonts w:ascii="宋体" w:eastAsia="宋体" w:hAnsi="宋体" w:cs="宋体"/>
                <w:color w:val="000000"/>
                <w:sz w:val="24"/>
                <w:szCs w:val="24"/>
              </w:rPr>
            </w:pPr>
            <w:r w:rsidRPr="00245D77">
              <w:rPr>
                <w:rFonts w:hint="eastAsia"/>
                <w:color w:val="000000"/>
                <w:sz w:val="24"/>
                <w:szCs w:val="24"/>
              </w:rPr>
              <w:t>≥一个健全长效保障制度</w:t>
            </w:r>
          </w:p>
          <w:p w:rsidR="001978F7" w:rsidRPr="00245D77" w:rsidRDefault="001978F7" w:rsidP="00FF1044">
            <w:pPr>
              <w:widowControl/>
              <w:spacing w:line="360" w:lineRule="auto"/>
              <w:jc w:val="center"/>
              <w:rPr>
                <w:rFonts w:asciiTheme="minorEastAsia" w:hAnsiTheme="minorEastAsia" w:cs="宋体"/>
                <w:color w:val="000000"/>
                <w:kern w:val="0"/>
                <w:sz w:val="24"/>
                <w:szCs w:val="24"/>
              </w:rPr>
            </w:pPr>
          </w:p>
        </w:tc>
      </w:tr>
      <w:tr w:rsidR="001978F7" w:rsidRPr="00637ABF" w:rsidTr="00637ABF">
        <w:trPr>
          <w:trHeight w:val="524"/>
        </w:trPr>
        <w:tc>
          <w:tcPr>
            <w:tcW w:w="841" w:type="dxa"/>
            <w:vMerge/>
            <w:tcBorders>
              <w:top w:val="nil"/>
              <w:left w:val="single" w:sz="8" w:space="0" w:color="auto"/>
              <w:bottom w:val="single" w:sz="8" w:space="0" w:color="000000"/>
              <w:right w:val="nil"/>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nil"/>
              <w:left w:val="single" w:sz="8" w:space="0" w:color="auto"/>
              <w:bottom w:val="single" w:sz="4" w:space="0" w:color="auto"/>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5E7939"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项目经费保障</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245D77" w:rsidP="00FF1044">
            <w:pPr>
              <w:widowControl/>
              <w:spacing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100%</w:t>
            </w:r>
          </w:p>
        </w:tc>
      </w:tr>
      <w:tr w:rsidR="001978F7" w:rsidRPr="00637ABF" w:rsidTr="00637ABF">
        <w:trPr>
          <w:trHeight w:val="454"/>
        </w:trPr>
        <w:tc>
          <w:tcPr>
            <w:tcW w:w="841" w:type="dxa"/>
            <w:vMerge/>
            <w:tcBorders>
              <w:top w:val="nil"/>
              <w:left w:val="single" w:sz="8" w:space="0" w:color="auto"/>
              <w:bottom w:val="single" w:sz="8" w:space="0" w:color="000000"/>
              <w:right w:val="nil"/>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val="restart"/>
            <w:tcBorders>
              <w:top w:val="nil"/>
              <w:left w:val="single" w:sz="8" w:space="0" w:color="auto"/>
              <w:bottom w:val="single" w:sz="8" w:space="0" w:color="000000"/>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满意度</w:t>
            </w:r>
            <w:r w:rsidRPr="00637ABF">
              <w:rPr>
                <w:rFonts w:asciiTheme="minorEastAsia" w:hAnsiTheme="minorEastAsia" w:cs="宋体" w:hint="eastAsia"/>
                <w:color w:val="000000"/>
                <w:kern w:val="0"/>
                <w:sz w:val="24"/>
                <w:szCs w:val="24"/>
              </w:rPr>
              <w:br/>
              <w:t>（C32）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家长满意度</w:t>
            </w:r>
          </w:p>
        </w:tc>
        <w:tc>
          <w:tcPr>
            <w:tcW w:w="2977" w:type="dxa"/>
            <w:tcBorders>
              <w:top w:val="nil"/>
              <w:left w:val="nil"/>
              <w:bottom w:val="single" w:sz="4"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≥85%</w:t>
            </w:r>
          </w:p>
        </w:tc>
      </w:tr>
      <w:tr w:rsidR="001978F7" w:rsidRPr="00637ABF" w:rsidTr="00637ABF">
        <w:trPr>
          <w:trHeight w:val="602"/>
        </w:trPr>
        <w:tc>
          <w:tcPr>
            <w:tcW w:w="841" w:type="dxa"/>
            <w:vMerge/>
            <w:tcBorders>
              <w:top w:val="nil"/>
              <w:left w:val="single" w:sz="8" w:space="0" w:color="auto"/>
              <w:bottom w:val="single" w:sz="8" w:space="0" w:color="000000"/>
              <w:right w:val="nil"/>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1843" w:type="dxa"/>
            <w:vMerge/>
            <w:tcBorders>
              <w:top w:val="nil"/>
              <w:left w:val="single" w:sz="8" w:space="0" w:color="auto"/>
              <w:bottom w:val="single" w:sz="8" w:space="0" w:color="000000"/>
              <w:right w:val="single" w:sz="4" w:space="0" w:color="auto"/>
            </w:tcBorders>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p>
        </w:tc>
        <w:tc>
          <w:tcPr>
            <w:tcW w:w="2693" w:type="dxa"/>
            <w:tcBorders>
              <w:top w:val="single" w:sz="4" w:space="0" w:color="auto"/>
              <w:left w:val="nil"/>
              <w:bottom w:val="single" w:sz="8" w:space="0" w:color="auto"/>
              <w:right w:val="single" w:sz="4" w:space="0" w:color="auto"/>
            </w:tcBorders>
            <w:shd w:val="clear" w:color="auto" w:fill="auto"/>
            <w:vAlign w:val="center"/>
            <w:hideMark/>
          </w:tcPr>
          <w:p w:rsidR="001978F7" w:rsidRPr="00637ABF" w:rsidRDefault="001978F7" w:rsidP="00FF1044">
            <w:pPr>
              <w:widowControl/>
              <w:spacing w:line="360" w:lineRule="auto"/>
              <w:jc w:val="left"/>
              <w:rPr>
                <w:rFonts w:asciiTheme="minorEastAsia" w:hAnsiTheme="minorEastAsia" w:cs="宋体"/>
                <w:color w:val="000000"/>
                <w:kern w:val="0"/>
                <w:sz w:val="24"/>
                <w:szCs w:val="24"/>
              </w:rPr>
            </w:pPr>
            <w:r w:rsidRPr="00637ABF">
              <w:rPr>
                <w:rFonts w:asciiTheme="minorEastAsia" w:hAnsiTheme="minorEastAsia" w:cs="宋体" w:hint="eastAsia"/>
                <w:color w:val="000000"/>
                <w:kern w:val="0"/>
                <w:sz w:val="24"/>
                <w:szCs w:val="24"/>
              </w:rPr>
              <w:t>学生满意度</w:t>
            </w:r>
          </w:p>
        </w:tc>
        <w:tc>
          <w:tcPr>
            <w:tcW w:w="2977" w:type="dxa"/>
            <w:tcBorders>
              <w:top w:val="nil"/>
              <w:left w:val="nil"/>
              <w:bottom w:val="single" w:sz="8" w:space="0" w:color="auto"/>
              <w:right w:val="single" w:sz="4" w:space="0" w:color="auto"/>
            </w:tcBorders>
            <w:shd w:val="clear" w:color="auto" w:fill="auto"/>
            <w:vAlign w:val="center"/>
            <w:hideMark/>
          </w:tcPr>
          <w:p w:rsidR="001978F7" w:rsidRPr="00637ABF" w:rsidRDefault="001978F7" w:rsidP="00FF1044">
            <w:pPr>
              <w:widowControl/>
              <w:spacing w:line="360" w:lineRule="auto"/>
              <w:jc w:val="center"/>
              <w:rPr>
                <w:rFonts w:asciiTheme="minorEastAsia" w:hAnsiTheme="minorEastAsia" w:cs="宋体"/>
                <w:kern w:val="0"/>
                <w:sz w:val="24"/>
                <w:szCs w:val="24"/>
              </w:rPr>
            </w:pPr>
            <w:r w:rsidRPr="00637ABF">
              <w:rPr>
                <w:rFonts w:asciiTheme="minorEastAsia" w:hAnsiTheme="minorEastAsia" w:cs="宋体" w:hint="eastAsia"/>
                <w:kern w:val="0"/>
                <w:sz w:val="24"/>
                <w:szCs w:val="24"/>
              </w:rPr>
              <w:t>≥85%</w:t>
            </w:r>
          </w:p>
        </w:tc>
      </w:tr>
    </w:tbl>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（三）项目总投入</w:t>
      </w:r>
    </w:p>
    <w:p w:rsidR="000143FC" w:rsidRPr="00637ABF" w:rsidRDefault="000143FC" w:rsidP="00FF1044">
      <w:pPr>
        <w:spacing w:line="360" w:lineRule="auto"/>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1、资金来源</w:t>
      </w:r>
    </w:p>
    <w:p w:rsidR="000143FC" w:rsidRDefault="000143FC" w:rsidP="0053630E">
      <w:pPr>
        <w:spacing w:line="360" w:lineRule="auto"/>
        <w:ind w:firstLineChars="150" w:firstLine="36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项目资金全部由区级财政承担。</w:t>
      </w:r>
    </w:p>
    <w:p w:rsidR="00AC3680" w:rsidRPr="00637ABF" w:rsidRDefault="00AC3680" w:rsidP="00FF1044">
      <w:pPr>
        <w:spacing w:line="360" w:lineRule="auto"/>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2、项目资金用途和费用支出范围</w:t>
      </w:r>
    </w:p>
    <w:p w:rsidR="00B26AF4" w:rsidRPr="00AC3680" w:rsidRDefault="005D7809" w:rsidP="0068283F">
      <w:pPr>
        <w:spacing w:line="360" w:lineRule="auto"/>
        <w:ind w:firstLine="480"/>
        <w:rPr>
          <w:rFonts w:asciiTheme="majorEastAsia" w:eastAsiaTheme="majorEastAsia" w:hAnsiTheme="majorEastAsia"/>
          <w:sz w:val="24"/>
          <w:szCs w:val="24"/>
        </w:rPr>
      </w:pPr>
      <w:r w:rsidRPr="0068283F">
        <w:rPr>
          <w:rFonts w:asciiTheme="majorEastAsia" w:eastAsiaTheme="majorEastAsia" w:hAnsiTheme="majorEastAsia" w:hint="eastAsia"/>
          <w:sz w:val="24"/>
          <w:szCs w:val="24"/>
        </w:rPr>
        <w:t>项目以政府购买服务的形式，委托</w:t>
      </w:r>
      <w:r w:rsidR="0068283F" w:rsidRPr="00FF1044">
        <w:rPr>
          <w:rFonts w:asciiTheme="majorEastAsia" w:eastAsiaTheme="majorEastAsia" w:hAnsiTheme="majorEastAsia" w:hint="eastAsia"/>
          <w:sz w:val="24"/>
          <w:szCs w:val="24"/>
        </w:rPr>
        <w:t>上海优体足球俱乐部</w:t>
      </w:r>
      <w:r w:rsidR="0068283F">
        <w:rPr>
          <w:rFonts w:asciiTheme="majorEastAsia" w:eastAsiaTheme="majorEastAsia" w:hAnsiTheme="majorEastAsia" w:hint="eastAsia"/>
          <w:sz w:val="24"/>
          <w:szCs w:val="24"/>
        </w:rPr>
        <w:t>、</w:t>
      </w:r>
      <w:r w:rsidR="00245D77">
        <w:rPr>
          <w:rFonts w:asciiTheme="majorEastAsia" w:eastAsiaTheme="majorEastAsia" w:hAnsiTheme="majorEastAsia" w:hint="eastAsia"/>
          <w:sz w:val="24"/>
          <w:szCs w:val="24"/>
        </w:rPr>
        <w:t>上海</w:t>
      </w:r>
      <w:r w:rsidR="0068283F" w:rsidRPr="00FF1044">
        <w:rPr>
          <w:rFonts w:asciiTheme="majorEastAsia" w:eastAsiaTheme="majorEastAsia" w:hAnsiTheme="majorEastAsia" w:hint="eastAsia"/>
          <w:sz w:val="24"/>
          <w:szCs w:val="24"/>
        </w:rPr>
        <w:t>乐在四季教育培训中心</w:t>
      </w:r>
      <w:r w:rsidR="0068283F">
        <w:rPr>
          <w:rFonts w:asciiTheme="majorEastAsia" w:eastAsiaTheme="majorEastAsia" w:hAnsiTheme="majorEastAsia" w:hint="eastAsia"/>
          <w:sz w:val="24"/>
          <w:szCs w:val="24"/>
        </w:rPr>
        <w:t>、</w:t>
      </w:r>
      <w:r w:rsidR="0068283F" w:rsidRPr="00FF1044">
        <w:rPr>
          <w:rFonts w:asciiTheme="majorEastAsia" w:eastAsiaTheme="majorEastAsia" w:hAnsiTheme="majorEastAsia" w:hint="eastAsia"/>
          <w:sz w:val="24"/>
          <w:szCs w:val="24"/>
        </w:rPr>
        <w:t>上海市闵行巅峰青少年体育俱乐部</w:t>
      </w:r>
      <w:r w:rsidR="0068283F">
        <w:rPr>
          <w:rFonts w:asciiTheme="majorEastAsia" w:eastAsiaTheme="majorEastAsia" w:hAnsiTheme="majorEastAsia" w:hint="eastAsia"/>
          <w:sz w:val="24"/>
          <w:szCs w:val="24"/>
        </w:rPr>
        <w:t>三家单位普及足球、围棋、网球体</w:t>
      </w:r>
      <w:r w:rsidR="0068283F">
        <w:rPr>
          <w:rFonts w:asciiTheme="majorEastAsia" w:eastAsiaTheme="majorEastAsia" w:hAnsiTheme="majorEastAsia" w:hint="eastAsia"/>
          <w:sz w:val="24"/>
          <w:szCs w:val="24"/>
        </w:rPr>
        <w:lastRenderedPageBreak/>
        <w:t>育特色项目教学工作</w:t>
      </w:r>
      <w:r w:rsidRPr="0068283F">
        <w:rPr>
          <w:rFonts w:asciiTheme="majorEastAsia" w:eastAsiaTheme="majorEastAsia" w:hAnsiTheme="majorEastAsia" w:hint="eastAsia"/>
          <w:sz w:val="24"/>
          <w:szCs w:val="24"/>
        </w:rPr>
        <w:t>，项目总投入</w:t>
      </w:r>
      <w:r w:rsidR="0068283F" w:rsidRPr="00FF1044">
        <w:rPr>
          <w:rFonts w:asciiTheme="majorEastAsia" w:eastAsiaTheme="majorEastAsia" w:hAnsiTheme="majorEastAsia"/>
          <w:sz w:val="24"/>
          <w:szCs w:val="24"/>
        </w:rPr>
        <w:t>6,105,378.00</w:t>
      </w:r>
      <w:r w:rsidR="0068283F" w:rsidRPr="00FF1044">
        <w:rPr>
          <w:rFonts w:asciiTheme="majorEastAsia" w:eastAsiaTheme="majorEastAsia" w:hAnsiTheme="majorEastAsia" w:hint="eastAsia"/>
          <w:sz w:val="24"/>
          <w:szCs w:val="24"/>
        </w:rPr>
        <w:t>元</w:t>
      </w:r>
      <w:r w:rsidR="00030BDE">
        <w:rPr>
          <w:rFonts w:asciiTheme="majorEastAsia" w:eastAsiaTheme="majorEastAsia" w:hAnsiTheme="majorEastAsia" w:hint="eastAsia"/>
          <w:sz w:val="24"/>
          <w:szCs w:val="24"/>
        </w:rPr>
        <w:t>。预算费用包括课程体系建设</w:t>
      </w:r>
      <w:r w:rsidR="0068283F">
        <w:rPr>
          <w:rFonts w:asciiTheme="majorEastAsia" w:eastAsiaTheme="majorEastAsia" w:hAnsiTheme="majorEastAsia" w:hint="eastAsia"/>
          <w:sz w:val="24"/>
          <w:szCs w:val="24"/>
        </w:rPr>
        <w:t>、教学普及、高水平教练进校园、区队高水平运动队带训、教师培训以及开展年度相关竞赛。</w:t>
      </w:r>
      <w:r w:rsidRPr="0068283F">
        <w:rPr>
          <w:rFonts w:asciiTheme="majorEastAsia" w:eastAsiaTheme="majorEastAsia" w:hAnsiTheme="majorEastAsia" w:hint="eastAsia"/>
          <w:sz w:val="24"/>
          <w:szCs w:val="24"/>
        </w:rPr>
        <w:t>专项经费纳入教育部门的部门预算，</w:t>
      </w:r>
      <w:r w:rsidR="0068283F">
        <w:rPr>
          <w:rFonts w:asciiTheme="majorEastAsia" w:eastAsiaTheme="majorEastAsia" w:hAnsiTheme="majorEastAsia" w:hint="eastAsia"/>
          <w:sz w:val="24"/>
          <w:szCs w:val="24"/>
        </w:rPr>
        <w:t>子项目金额预算明细见附件</w:t>
      </w:r>
      <w:r w:rsidR="00245D77">
        <w:rPr>
          <w:rFonts w:asciiTheme="majorEastAsia" w:eastAsiaTheme="majorEastAsia" w:hAnsiTheme="majorEastAsia" w:hint="eastAsia"/>
          <w:sz w:val="24"/>
          <w:szCs w:val="24"/>
        </w:rPr>
        <w:t>6</w:t>
      </w:r>
      <w:r w:rsidRPr="0068283F">
        <w:rPr>
          <w:rFonts w:asciiTheme="majorEastAsia" w:eastAsiaTheme="majorEastAsia" w:hAnsiTheme="majorEastAsia" w:hint="eastAsia"/>
          <w:sz w:val="24"/>
          <w:szCs w:val="24"/>
        </w:rPr>
        <w:t>。</w:t>
      </w:r>
    </w:p>
    <w:p w:rsidR="000143FC" w:rsidRPr="00637ABF" w:rsidRDefault="00AC3680" w:rsidP="00FF1044">
      <w:pPr>
        <w:spacing w:line="360" w:lineRule="auto"/>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3</w:t>
      </w:r>
      <w:r w:rsidR="000143FC" w:rsidRPr="00637ABF">
        <w:rPr>
          <w:rFonts w:asciiTheme="majorEastAsia" w:eastAsiaTheme="majorEastAsia" w:hAnsiTheme="majorEastAsia" w:hint="eastAsia"/>
          <w:b/>
          <w:sz w:val="24"/>
          <w:szCs w:val="24"/>
        </w:rPr>
        <w:t>、2015年估算方式及预算明细</w:t>
      </w:r>
    </w:p>
    <w:p w:rsidR="000143FC" w:rsidRPr="00FF1044" w:rsidRDefault="000143FC" w:rsidP="00B26AF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2015年项目数量主要参考上年实际情况和财政核定限额数进行估算，经计算年度预算总额为</w:t>
      </w:r>
      <w:r w:rsidR="00FB273F" w:rsidRPr="00FF1044">
        <w:rPr>
          <w:rFonts w:asciiTheme="majorEastAsia" w:eastAsiaTheme="majorEastAsia" w:hAnsiTheme="majorEastAsia"/>
          <w:sz w:val="24"/>
          <w:szCs w:val="24"/>
        </w:rPr>
        <w:t>6,105,378.00</w:t>
      </w:r>
      <w:r w:rsidRPr="00FF1044">
        <w:rPr>
          <w:rFonts w:asciiTheme="majorEastAsia" w:eastAsiaTheme="majorEastAsia" w:hAnsiTheme="majorEastAsia" w:hint="eastAsia"/>
          <w:sz w:val="24"/>
          <w:szCs w:val="24"/>
        </w:rPr>
        <w:t>元，金额明细及估算说明如下：</w:t>
      </w:r>
    </w:p>
    <w:tbl>
      <w:tblPr>
        <w:tblW w:w="8274" w:type="dxa"/>
        <w:jc w:val="center"/>
        <w:tblInd w:w="-463" w:type="dxa"/>
        <w:tblLayout w:type="fixed"/>
        <w:tblLook w:val="04A0"/>
      </w:tblPr>
      <w:tblGrid>
        <w:gridCol w:w="762"/>
        <w:gridCol w:w="1774"/>
        <w:gridCol w:w="1701"/>
        <w:gridCol w:w="1196"/>
        <w:gridCol w:w="2841"/>
      </w:tblGrid>
      <w:tr w:rsidR="00120641" w:rsidRPr="00FF1044" w:rsidTr="00B26AF4">
        <w:trPr>
          <w:trHeight w:val="270"/>
          <w:jc w:val="center"/>
        </w:trPr>
        <w:tc>
          <w:tcPr>
            <w:tcW w:w="76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序号</w:t>
            </w:r>
          </w:p>
        </w:tc>
        <w:tc>
          <w:tcPr>
            <w:tcW w:w="1774" w:type="dxa"/>
            <w:tcBorders>
              <w:top w:val="single" w:sz="8"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明细</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预算金额</w:t>
            </w:r>
          </w:p>
        </w:tc>
        <w:tc>
          <w:tcPr>
            <w:tcW w:w="1196" w:type="dxa"/>
            <w:tcBorders>
              <w:top w:val="single" w:sz="8"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占比重</w:t>
            </w:r>
          </w:p>
        </w:tc>
        <w:tc>
          <w:tcPr>
            <w:tcW w:w="2841" w:type="dxa"/>
            <w:tcBorders>
              <w:top w:val="single" w:sz="8"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数量估算说明</w:t>
            </w:r>
          </w:p>
        </w:tc>
      </w:tr>
      <w:tr w:rsidR="00120641" w:rsidRPr="00FF1044" w:rsidTr="00B26AF4">
        <w:trPr>
          <w:trHeight w:val="390"/>
          <w:jc w:val="center"/>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1</w:t>
            </w:r>
          </w:p>
        </w:tc>
        <w:tc>
          <w:tcPr>
            <w:tcW w:w="1774"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校园足球联盟</w:t>
            </w:r>
          </w:p>
        </w:tc>
        <w:tc>
          <w:tcPr>
            <w:tcW w:w="1701"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color w:val="000000"/>
                <w:kern w:val="0"/>
                <w:sz w:val="24"/>
                <w:szCs w:val="24"/>
              </w:rPr>
              <w:t>2,020,250.00</w:t>
            </w:r>
          </w:p>
        </w:tc>
        <w:tc>
          <w:tcPr>
            <w:tcW w:w="1196"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33.09%</w:t>
            </w:r>
          </w:p>
        </w:tc>
        <w:tc>
          <w:tcPr>
            <w:tcW w:w="2841"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根据当年项目的具体实施受益面，估算出金额</w:t>
            </w:r>
          </w:p>
        </w:tc>
      </w:tr>
      <w:tr w:rsidR="00120641" w:rsidRPr="00FF1044" w:rsidTr="00B26AF4">
        <w:trPr>
          <w:trHeight w:val="270"/>
          <w:jc w:val="center"/>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2</w:t>
            </w:r>
          </w:p>
        </w:tc>
        <w:tc>
          <w:tcPr>
            <w:tcW w:w="1774"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围棋进课堂</w:t>
            </w:r>
          </w:p>
        </w:tc>
        <w:tc>
          <w:tcPr>
            <w:tcW w:w="1701"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color w:val="000000"/>
                <w:kern w:val="0"/>
                <w:sz w:val="24"/>
                <w:szCs w:val="24"/>
              </w:rPr>
              <w:t>3,485,128.00</w:t>
            </w:r>
          </w:p>
        </w:tc>
        <w:tc>
          <w:tcPr>
            <w:tcW w:w="1196"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57.09%</w:t>
            </w:r>
          </w:p>
        </w:tc>
        <w:tc>
          <w:tcPr>
            <w:tcW w:w="2841" w:type="dxa"/>
            <w:tcBorders>
              <w:top w:val="nil"/>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根据当年项目的具体实施受益面，估算出金额</w:t>
            </w:r>
          </w:p>
        </w:tc>
      </w:tr>
      <w:tr w:rsidR="00120641" w:rsidRPr="00FF1044" w:rsidTr="00B26AF4">
        <w:trPr>
          <w:trHeight w:val="285"/>
          <w:jc w:val="center"/>
        </w:trPr>
        <w:tc>
          <w:tcPr>
            <w:tcW w:w="7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3</w:t>
            </w:r>
          </w:p>
        </w:tc>
        <w:tc>
          <w:tcPr>
            <w:tcW w:w="1774" w:type="dxa"/>
            <w:tcBorders>
              <w:top w:val="single" w:sz="4"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网球进校园</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color w:val="000000"/>
                <w:kern w:val="0"/>
                <w:sz w:val="24"/>
                <w:szCs w:val="24"/>
              </w:rPr>
              <w:t>600,000.00</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9.82%</w:t>
            </w:r>
          </w:p>
        </w:tc>
        <w:tc>
          <w:tcPr>
            <w:tcW w:w="2841" w:type="dxa"/>
            <w:tcBorders>
              <w:top w:val="single" w:sz="4" w:space="0" w:color="auto"/>
              <w:left w:val="nil"/>
              <w:bottom w:val="single" w:sz="4" w:space="0" w:color="auto"/>
              <w:right w:val="single" w:sz="4" w:space="0" w:color="auto"/>
            </w:tcBorders>
            <w:shd w:val="clear" w:color="auto" w:fill="auto"/>
            <w:noWrap/>
            <w:vAlign w:val="center"/>
            <w:hideMark/>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根据当年项目的具体实施受益面，估算出金额</w:t>
            </w:r>
          </w:p>
        </w:tc>
      </w:tr>
      <w:tr w:rsidR="00120641" w:rsidRPr="00FF1044" w:rsidTr="00B26AF4">
        <w:trPr>
          <w:trHeight w:val="285"/>
          <w:jc w:val="center"/>
        </w:trPr>
        <w:tc>
          <w:tcPr>
            <w:tcW w:w="762" w:type="dxa"/>
            <w:tcBorders>
              <w:top w:val="single" w:sz="4" w:space="0" w:color="auto"/>
              <w:left w:val="single" w:sz="8" w:space="0" w:color="auto"/>
              <w:bottom w:val="single" w:sz="8" w:space="0" w:color="auto"/>
              <w:right w:val="single" w:sz="4" w:space="0" w:color="auto"/>
            </w:tcBorders>
            <w:shd w:val="clear" w:color="auto" w:fill="auto"/>
            <w:noWrap/>
            <w:vAlign w:val="center"/>
          </w:tcPr>
          <w:p w:rsidR="00120641" w:rsidRPr="00FF1044" w:rsidRDefault="00120641" w:rsidP="00FF1044">
            <w:pPr>
              <w:widowControl/>
              <w:spacing w:line="360" w:lineRule="auto"/>
              <w:jc w:val="right"/>
              <w:rPr>
                <w:rFonts w:asciiTheme="majorEastAsia" w:eastAsiaTheme="majorEastAsia" w:hAnsiTheme="majorEastAsia" w:cs="宋体"/>
                <w:color w:val="000000"/>
                <w:kern w:val="0"/>
                <w:sz w:val="24"/>
                <w:szCs w:val="24"/>
              </w:rPr>
            </w:pPr>
          </w:p>
        </w:tc>
        <w:tc>
          <w:tcPr>
            <w:tcW w:w="1774" w:type="dxa"/>
            <w:tcBorders>
              <w:top w:val="single" w:sz="4" w:space="0" w:color="auto"/>
              <w:left w:val="nil"/>
              <w:bottom w:val="single" w:sz="8" w:space="0" w:color="auto"/>
              <w:right w:val="single" w:sz="4" w:space="0" w:color="auto"/>
            </w:tcBorders>
            <w:shd w:val="clear" w:color="auto" w:fill="auto"/>
            <w:noWrap/>
            <w:vAlign w:val="center"/>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合计</w:t>
            </w:r>
          </w:p>
        </w:tc>
        <w:tc>
          <w:tcPr>
            <w:tcW w:w="1701" w:type="dxa"/>
            <w:tcBorders>
              <w:top w:val="single" w:sz="4" w:space="0" w:color="auto"/>
              <w:left w:val="nil"/>
              <w:bottom w:val="single" w:sz="8" w:space="0" w:color="auto"/>
              <w:right w:val="single" w:sz="4" w:space="0" w:color="auto"/>
            </w:tcBorders>
            <w:shd w:val="clear" w:color="auto" w:fill="auto"/>
            <w:noWrap/>
            <w:vAlign w:val="center"/>
          </w:tcPr>
          <w:p w:rsidR="00120641" w:rsidRPr="00FF1044" w:rsidRDefault="00FB273F" w:rsidP="00FF1044">
            <w:pPr>
              <w:widowControl/>
              <w:spacing w:line="360" w:lineRule="auto"/>
              <w:jc w:val="righ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color w:val="000000"/>
                <w:kern w:val="0"/>
                <w:sz w:val="24"/>
                <w:szCs w:val="24"/>
              </w:rPr>
              <w:t>6,105,378.00</w:t>
            </w:r>
          </w:p>
        </w:tc>
        <w:tc>
          <w:tcPr>
            <w:tcW w:w="1196" w:type="dxa"/>
            <w:tcBorders>
              <w:top w:val="single" w:sz="4" w:space="0" w:color="auto"/>
              <w:left w:val="nil"/>
              <w:bottom w:val="single" w:sz="8" w:space="0" w:color="auto"/>
              <w:right w:val="single" w:sz="4" w:space="0" w:color="auto"/>
            </w:tcBorders>
            <w:shd w:val="clear" w:color="auto" w:fill="auto"/>
            <w:noWrap/>
            <w:vAlign w:val="center"/>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r w:rsidRPr="00FF1044">
              <w:rPr>
                <w:rFonts w:asciiTheme="majorEastAsia" w:eastAsiaTheme="majorEastAsia" w:hAnsiTheme="majorEastAsia" w:cs="宋体" w:hint="eastAsia"/>
                <w:color w:val="000000"/>
                <w:kern w:val="0"/>
                <w:sz w:val="24"/>
                <w:szCs w:val="24"/>
              </w:rPr>
              <w:t>100.00%</w:t>
            </w:r>
          </w:p>
        </w:tc>
        <w:tc>
          <w:tcPr>
            <w:tcW w:w="2841" w:type="dxa"/>
            <w:tcBorders>
              <w:top w:val="single" w:sz="4" w:space="0" w:color="auto"/>
              <w:left w:val="nil"/>
              <w:bottom w:val="single" w:sz="8" w:space="0" w:color="auto"/>
              <w:right w:val="single" w:sz="4" w:space="0" w:color="auto"/>
            </w:tcBorders>
            <w:shd w:val="clear" w:color="auto" w:fill="auto"/>
            <w:noWrap/>
            <w:vAlign w:val="center"/>
          </w:tcPr>
          <w:p w:rsidR="00120641" w:rsidRPr="00FF1044" w:rsidRDefault="00120641" w:rsidP="00FF1044">
            <w:pPr>
              <w:widowControl/>
              <w:spacing w:line="360" w:lineRule="auto"/>
              <w:jc w:val="left"/>
              <w:rPr>
                <w:rFonts w:asciiTheme="majorEastAsia" w:eastAsiaTheme="majorEastAsia" w:hAnsiTheme="majorEastAsia" w:cs="宋体"/>
                <w:color w:val="000000"/>
                <w:kern w:val="0"/>
                <w:sz w:val="24"/>
                <w:szCs w:val="24"/>
              </w:rPr>
            </w:pPr>
          </w:p>
        </w:tc>
      </w:tr>
    </w:tbl>
    <w:p w:rsidR="00D502C6" w:rsidRPr="00FF1044" w:rsidRDefault="00D502C6" w:rsidP="00637ABF">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sz w:val="24"/>
          <w:szCs w:val="24"/>
        </w:rPr>
        <w:t>具体子项目预算明细见附件</w:t>
      </w:r>
      <w:r w:rsidR="00245D77">
        <w:rPr>
          <w:rFonts w:asciiTheme="majorEastAsia" w:eastAsiaTheme="majorEastAsia" w:hAnsiTheme="majorEastAsia" w:hint="eastAsia"/>
          <w:sz w:val="24"/>
          <w:szCs w:val="24"/>
        </w:rPr>
        <w:t>6</w:t>
      </w:r>
      <w:r w:rsidRPr="00FF1044">
        <w:rPr>
          <w:rFonts w:asciiTheme="majorEastAsia" w:eastAsiaTheme="majorEastAsia" w:hAnsiTheme="majorEastAsia" w:hint="eastAsia"/>
          <w:sz w:val="24"/>
          <w:szCs w:val="24"/>
        </w:rPr>
        <w:t>。</w:t>
      </w:r>
    </w:p>
    <w:p w:rsidR="000143FC" w:rsidRPr="00637ABF" w:rsidRDefault="000143FC" w:rsidP="00FF1044">
      <w:pPr>
        <w:spacing w:line="360" w:lineRule="auto"/>
        <w:rPr>
          <w:rFonts w:asciiTheme="majorEastAsia" w:eastAsiaTheme="majorEastAsia" w:hAnsiTheme="majorEastAsia"/>
          <w:b/>
          <w:sz w:val="24"/>
          <w:szCs w:val="24"/>
        </w:rPr>
      </w:pPr>
      <w:r w:rsidRPr="00637ABF">
        <w:rPr>
          <w:rFonts w:asciiTheme="majorEastAsia" w:eastAsiaTheme="majorEastAsia" w:hAnsiTheme="majorEastAsia" w:hint="eastAsia"/>
          <w:b/>
          <w:sz w:val="24"/>
          <w:szCs w:val="24"/>
        </w:rPr>
        <w:t>3、资金拨付方式</w:t>
      </w:r>
    </w:p>
    <w:p w:rsidR="00B26AF4" w:rsidRDefault="000143FC" w:rsidP="00B26AF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项目资金由</w:t>
      </w:r>
      <w:r w:rsidR="00B26AF4">
        <w:rPr>
          <w:rFonts w:asciiTheme="majorEastAsia" w:eastAsiaTheme="majorEastAsia" w:hAnsiTheme="majorEastAsia" w:hint="eastAsia"/>
          <w:sz w:val="24"/>
          <w:szCs w:val="24"/>
        </w:rPr>
        <w:t>政府采购实施，经专家指导论证统一上报</w:t>
      </w:r>
      <w:r w:rsidRPr="00FF1044">
        <w:rPr>
          <w:rFonts w:asciiTheme="majorEastAsia" w:eastAsiaTheme="majorEastAsia" w:hAnsiTheme="majorEastAsia" w:hint="eastAsia"/>
          <w:sz w:val="24"/>
          <w:szCs w:val="24"/>
        </w:rPr>
        <w:t>区财政</w:t>
      </w:r>
      <w:r w:rsidR="00B26AF4">
        <w:rPr>
          <w:rFonts w:asciiTheme="majorEastAsia" w:eastAsiaTheme="majorEastAsia" w:hAnsiTheme="majorEastAsia" w:hint="eastAsia"/>
          <w:sz w:val="24"/>
          <w:szCs w:val="24"/>
        </w:rPr>
        <w:t>，经批准后由区财政</w:t>
      </w:r>
      <w:r w:rsidRPr="00FF1044">
        <w:rPr>
          <w:rFonts w:asciiTheme="majorEastAsia" w:eastAsiaTheme="majorEastAsia" w:hAnsiTheme="majorEastAsia" w:hint="eastAsia"/>
          <w:sz w:val="24"/>
          <w:szCs w:val="24"/>
        </w:rPr>
        <w:t>直拨。</w:t>
      </w:r>
    </w:p>
    <w:p w:rsidR="00B26AF4" w:rsidRPr="00637ABF" w:rsidRDefault="00B26AF4" w:rsidP="00B26AF4">
      <w:pPr>
        <w:spacing w:line="360" w:lineRule="auto"/>
        <w:rPr>
          <w:rFonts w:ascii="宋体" w:hAnsi="宋体"/>
          <w:b/>
          <w:sz w:val="24"/>
        </w:rPr>
      </w:pPr>
      <w:r w:rsidRPr="00637ABF">
        <w:rPr>
          <w:rFonts w:ascii="宋体" w:hAnsi="宋体" w:hint="eastAsia"/>
          <w:b/>
          <w:sz w:val="24"/>
        </w:rPr>
        <w:t>4、上年度资金预算及执行情况</w:t>
      </w:r>
    </w:p>
    <w:p w:rsidR="00B26AF4" w:rsidRPr="00B26AF4" w:rsidRDefault="00B26AF4" w:rsidP="0005368D">
      <w:pPr>
        <w:spacing w:line="360" w:lineRule="auto"/>
        <w:ind w:firstLineChars="200" w:firstLine="480"/>
        <w:rPr>
          <w:rFonts w:ascii="宋体" w:hAnsi="宋体"/>
          <w:sz w:val="24"/>
        </w:rPr>
      </w:pPr>
      <w:r>
        <w:rPr>
          <w:rFonts w:ascii="宋体" w:hAnsi="宋体" w:hint="eastAsia"/>
          <w:sz w:val="24"/>
        </w:rPr>
        <w:t>2014年无同类项目支出。</w:t>
      </w:r>
    </w:p>
    <w:p w:rsidR="000143FC"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（四）项目主要活动</w:t>
      </w:r>
    </w:p>
    <w:p w:rsidR="0005368D" w:rsidRPr="00205973" w:rsidRDefault="0005368D" w:rsidP="00637ABF">
      <w:pPr>
        <w:spacing w:line="360" w:lineRule="auto"/>
        <w:rPr>
          <w:rFonts w:ascii="宋体" w:hAnsi="宋体"/>
          <w:b/>
          <w:sz w:val="24"/>
        </w:rPr>
      </w:pPr>
      <w:r w:rsidRPr="00205973">
        <w:rPr>
          <w:rFonts w:ascii="宋体" w:hAnsi="宋体" w:hint="eastAsia"/>
          <w:b/>
          <w:sz w:val="24"/>
        </w:rPr>
        <w:t>1、实施范围</w:t>
      </w:r>
    </w:p>
    <w:p w:rsidR="0005368D" w:rsidRPr="0005368D" w:rsidRDefault="0005368D" w:rsidP="0005368D">
      <w:pPr>
        <w:spacing w:line="360" w:lineRule="auto"/>
        <w:ind w:firstLineChars="200" w:firstLine="480"/>
        <w:outlineLvl w:val="0"/>
        <w:rPr>
          <w:sz w:val="24"/>
        </w:rPr>
      </w:pPr>
      <w:r w:rsidRPr="002B5234">
        <w:rPr>
          <w:rFonts w:hint="eastAsia"/>
          <w:sz w:val="24"/>
        </w:rPr>
        <w:t>2015</w:t>
      </w:r>
      <w:r w:rsidRPr="002B5234">
        <w:rPr>
          <w:rFonts w:hint="eastAsia"/>
          <w:sz w:val="24"/>
        </w:rPr>
        <w:t>年项目计划实施范围为</w:t>
      </w:r>
      <w:r>
        <w:rPr>
          <w:rFonts w:hint="eastAsia"/>
          <w:sz w:val="24"/>
        </w:rPr>
        <w:t>闵行区具备</w:t>
      </w:r>
      <w:r w:rsidRPr="00FF1044">
        <w:rPr>
          <w:rFonts w:asciiTheme="majorEastAsia" w:eastAsiaTheme="majorEastAsia" w:hAnsiTheme="majorEastAsia" w:hint="eastAsia"/>
          <w:sz w:val="24"/>
          <w:szCs w:val="24"/>
        </w:rPr>
        <w:t>相关条件的学校</w:t>
      </w:r>
      <w:r>
        <w:rPr>
          <w:rFonts w:asciiTheme="majorEastAsia" w:eastAsiaTheme="majorEastAsia" w:hAnsiTheme="majorEastAsia" w:hint="eastAsia"/>
          <w:sz w:val="24"/>
          <w:szCs w:val="24"/>
        </w:rPr>
        <w:t>，</w:t>
      </w:r>
      <w:r>
        <w:rPr>
          <w:rFonts w:ascii="宋体" w:hAnsi="宋体" w:hint="eastAsia"/>
          <w:sz w:val="24"/>
        </w:rPr>
        <w:t>共有足球、围棋、网球三个特色子项目。</w:t>
      </w:r>
      <w:r w:rsidRPr="00FF1044">
        <w:rPr>
          <w:rFonts w:asciiTheme="majorEastAsia" w:eastAsiaTheme="majorEastAsia" w:hAnsiTheme="majorEastAsia" w:hint="eastAsia"/>
          <w:sz w:val="24"/>
          <w:szCs w:val="24"/>
        </w:rPr>
        <w:t>（具体学校</w:t>
      </w:r>
      <w:r>
        <w:rPr>
          <w:rFonts w:asciiTheme="majorEastAsia" w:eastAsiaTheme="majorEastAsia" w:hAnsiTheme="majorEastAsia" w:hint="eastAsia"/>
          <w:sz w:val="24"/>
          <w:szCs w:val="24"/>
        </w:rPr>
        <w:t>明</w:t>
      </w:r>
      <w:r w:rsidRPr="00FF1044">
        <w:rPr>
          <w:rFonts w:asciiTheme="majorEastAsia" w:eastAsiaTheme="majorEastAsia" w:hAnsiTheme="majorEastAsia" w:hint="eastAsia"/>
          <w:sz w:val="24"/>
          <w:szCs w:val="24"/>
        </w:rPr>
        <w:t>细见附件</w:t>
      </w:r>
      <w:r w:rsidR="00245D77">
        <w:rPr>
          <w:rFonts w:asciiTheme="majorEastAsia" w:eastAsiaTheme="majorEastAsia" w:hAnsiTheme="majorEastAsia" w:hint="eastAsia"/>
          <w:sz w:val="24"/>
          <w:szCs w:val="24"/>
        </w:rPr>
        <w:t>11</w:t>
      </w:r>
      <w:r w:rsidRPr="00FF1044">
        <w:rPr>
          <w:rFonts w:asciiTheme="majorEastAsia" w:eastAsiaTheme="majorEastAsia" w:hAnsiTheme="majorEastAsia" w:hint="eastAsia"/>
          <w:sz w:val="24"/>
          <w:szCs w:val="24"/>
        </w:rPr>
        <w:t>）</w:t>
      </w:r>
    </w:p>
    <w:p w:rsidR="0005368D" w:rsidRDefault="0005368D" w:rsidP="0005368D">
      <w:pPr>
        <w:spacing w:line="360" w:lineRule="auto"/>
        <w:ind w:firstLineChars="200" w:firstLine="480"/>
        <w:rPr>
          <w:sz w:val="24"/>
        </w:rPr>
      </w:pPr>
      <w:r>
        <w:rPr>
          <w:rFonts w:hint="eastAsia"/>
          <w:sz w:val="24"/>
        </w:rPr>
        <w:t>1</w:t>
      </w:r>
      <w:r>
        <w:rPr>
          <w:rFonts w:hint="eastAsia"/>
          <w:sz w:val="24"/>
        </w:rPr>
        <w:t>）</w:t>
      </w:r>
      <w:r>
        <w:rPr>
          <w:rFonts w:hint="eastAsia"/>
          <w:sz w:val="24"/>
        </w:rPr>
        <w:t>21</w:t>
      </w:r>
      <w:r>
        <w:rPr>
          <w:rFonts w:hint="eastAsia"/>
          <w:sz w:val="24"/>
        </w:rPr>
        <w:t>所学校“校园足球联盟”；</w:t>
      </w:r>
      <w:r>
        <w:rPr>
          <w:rFonts w:hint="eastAsia"/>
          <w:sz w:val="24"/>
        </w:rPr>
        <w:t xml:space="preserve"> </w:t>
      </w:r>
    </w:p>
    <w:p w:rsidR="0005368D" w:rsidRDefault="0005368D" w:rsidP="0005368D">
      <w:pPr>
        <w:spacing w:line="360" w:lineRule="auto"/>
        <w:ind w:firstLineChars="200" w:firstLine="480"/>
        <w:rPr>
          <w:sz w:val="24"/>
        </w:rPr>
      </w:pPr>
      <w:r>
        <w:rPr>
          <w:rFonts w:hint="eastAsia"/>
          <w:sz w:val="24"/>
        </w:rPr>
        <w:t>2</w:t>
      </w:r>
      <w:r>
        <w:rPr>
          <w:rFonts w:hint="eastAsia"/>
          <w:sz w:val="24"/>
        </w:rPr>
        <w:t>）</w:t>
      </w:r>
      <w:r>
        <w:rPr>
          <w:rFonts w:hint="eastAsia"/>
          <w:sz w:val="24"/>
        </w:rPr>
        <w:t>40</w:t>
      </w:r>
      <w:r>
        <w:rPr>
          <w:rFonts w:hint="eastAsia"/>
          <w:sz w:val="24"/>
        </w:rPr>
        <w:t>所学校“围棋进课堂”；</w:t>
      </w:r>
    </w:p>
    <w:p w:rsidR="0005368D" w:rsidRDefault="0005368D" w:rsidP="0005368D">
      <w:pPr>
        <w:spacing w:line="360" w:lineRule="auto"/>
        <w:ind w:firstLineChars="200" w:firstLine="480"/>
        <w:rPr>
          <w:sz w:val="24"/>
        </w:rPr>
      </w:pPr>
      <w:r>
        <w:rPr>
          <w:rFonts w:hint="eastAsia"/>
          <w:sz w:val="24"/>
        </w:rPr>
        <w:t>3</w:t>
      </w:r>
      <w:r>
        <w:rPr>
          <w:rFonts w:hint="eastAsia"/>
          <w:sz w:val="24"/>
        </w:rPr>
        <w:t>）</w:t>
      </w:r>
      <w:r>
        <w:rPr>
          <w:rFonts w:hint="eastAsia"/>
          <w:sz w:val="24"/>
        </w:rPr>
        <w:t>9</w:t>
      </w:r>
      <w:r>
        <w:rPr>
          <w:rFonts w:hint="eastAsia"/>
          <w:sz w:val="24"/>
        </w:rPr>
        <w:t>所学校“网球进校园”</w:t>
      </w:r>
    </w:p>
    <w:p w:rsidR="0005368D" w:rsidRPr="0053630E" w:rsidRDefault="0053630E" w:rsidP="00637ABF">
      <w:pPr>
        <w:spacing w:line="360" w:lineRule="auto"/>
        <w:rPr>
          <w:b/>
          <w:sz w:val="24"/>
        </w:rPr>
      </w:pPr>
      <w:r w:rsidRPr="0053630E">
        <w:rPr>
          <w:rFonts w:hint="eastAsia"/>
          <w:b/>
          <w:sz w:val="24"/>
        </w:rPr>
        <w:t>2</w:t>
      </w:r>
      <w:r w:rsidRPr="0053630E">
        <w:rPr>
          <w:rFonts w:hint="eastAsia"/>
          <w:b/>
          <w:sz w:val="24"/>
        </w:rPr>
        <w:t>、实施方式：</w:t>
      </w:r>
    </w:p>
    <w:p w:rsidR="0053630E" w:rsidRDefault="0053630E" w:rsidP="0053630E">
      <w:pPr>
        <w:spacing w:line="360" w:lineRule="auto"/>
        <w:ind w:firstLineChars="200" w:firstLine="480"/>
        <w:rPr>
          <w:sz w:val="24"/>
        </w:rPr>
      </w:pPr>
      <w:r>
        <w:rPr>
          <w:rFonts w:hint="eastAsia"/>
          <w:sz w:val="24"/>
        </w:rPr>
        <w:lastRenderedPageBreak/>
        <w:t>本项目预算单位为闵行区教育局，实施部门为教育局普教一科。</w:t>
      </w:r>
      <w:r w:rsidRPr="0053630E">
        <w:rPr>
          <w:rFonts w:hint="eastAsia"/>
          <w:sz w:val="24"/>
        </w:rPr>
        <w:t>各子项目实行各项目承办方负责人问责制，并对采购服务等参照政府采购实施进行风险把控；过程中项目主管部门闵行区教育局会对项目进行过程监管，</w:t>
      </w:r>
      <w:r w:rsidR="00030BDE">
        <w:rPr>
          <w:rFonts w:hint="eastAsia"/>
          <w:sz w:val="24"/>
        </w:rPr>
        <w:t>教育局</w:t>
      </w:r>
      <w:r w:rsidR="00541713">
        <w:rPr>
          <w:rFonts w:hint="eastAsia"/>
          <w:sz w:val="24"/>
        </w:rPr>
        <w:t>普教一科负责</w:t>
      </w:r>
      <w:r w:rsidRPr="0053630E">
        <w:rPr>
          <w:rFonts w:hint="eastAsia"/>
          <w:sz w:val="24"/>
        </w:rPr>
        <w:t>统筹协调、预算管理、督查考核、制定政策、把控方向、有效指导；各子项目</w:t>
      </w:r>
      <w:r w:rsidR="00030BDE">
        <w:rPr>
          <w:rFonts w:hint="eastAsia"/>
          <w:sz w:val="24"/>
        </w:rPr>
        <w:t>负责单位</w:t>
      </w:r>
      <w:r w:rsidRPr="0053630E">
        <w:rPr>
          <w:rFonts w:hint="eastAsia"/>
          <w:sz w:val="24"/>
        </w:rPr>
        <w:t>建立专项管理制度，</w:t>
      </w:r>
      <w:r w:rsidRPr="00FF1044">
        <w:rPr>
          <w:rFonts w:asciiTheme="majorEastAsia" w:eastAsiaTheme="majorEastAsia" w:hAnsiTheme="majorEastAsia" w:hint="eastAsia"/>
          <w:sz w:val="24"/>
          <w:szCs w:val="24"/>
        </w:rPr>
        <w:t>制定项目实施方案、具体落实项目进度、保证项目质量达到预期目标</w:t>
      </w:r>
      <w:r w:rsidRPr="0053630E">
        <w:rPr>
          <w:rFonts w:hint="eastAsia"/>
          <w:sz w:val="24"/>
        </w:rPr>
        <w:t>。</w:t>
      </w:r>
    </w:p>
    <w:p w:rsidR="00637ABF" w:rsidRPr="0094264F" w:rsidRDefault="00030BDE" w:rsidP="005D7809">
      <w:pPr>
        <w:pStyle w:val="1"/>
        <w:spacing w:line="360" w:lineRule="auto"/>
        <w:ind w:firstLine="480"/>
        <w:rPr>
          <w:rFonts w:ascii="Times New Roman" w:hAnsi="Times New Roman"/>
          <w:sz w:val="24"/>
        </w:rPr>
      </w:pPr>
      <w:r>
        <w:rPr>
          <w:rFonts w:ascii="Times New Roman" w:hAnsi="Times New Roman" w:hint="eastAsia"/>
          <w:sz w:val="24"/>
        </w:rPr>
        <w:t>项目实施流程</w:t>
      </w:r>
      <w:r w:rsidR="00637ABF" w:rsidRPr="0094264F">
        <w:rPr>
          <w:rFonts w:ascii="Times New Roman" w:hAnsi="Times New Roman" w:hint="eastAsia"/>
          <w:sz w:val="24"/>
        </w:rPr>
        <w:t>大致可分为</w:t>
      </w:r>
      <w:r w:rsidR="005D7809">
        <w:rPr>
          <w:rFonts w:ascii="Times New Roman" w:hAnsi="Times New Roman" w:hint="eastAsia"/>
          <w:sz w:val="24"/>
        </w:rPr>
        <w:t>四</w:t>
      </w:r>
      <w:r w:rsidR="00637ABF" w:rsidRPr="0094264F">
        <w:rPr>
          <w:rFonts w:ascii="Times New Roman" w:hAnsi="Times New Roman" w:hint="eastAsia"/>
          <w:sz w:val="24"/>
        </w:rPr>
        <w:t>个阶段：</w:t>
      </w:r>
    </w:p>
    <w:p w:rsidR="00637ABF" w:rsidRPr="00174F0E" w:rsidRDefault="00637ABF" w:rsidP="005D7809">
      <w:pPr>
        <w:spacing w:line="360" w:lineRule="auto"/>
        <w:ind w:firstLineChars="150" w:firstLine="360"/>
        <w:rPr>
          <w:sz w:val="24"/>
        </w:rPr>
      </w:pPr>
      <w:r>
        <w:rPr>
          <w:rFonts w:hint="eastAsia"/>
          <w:sz w:val="24"/>
        </w:rPr>
        <w:t>（</w:t>
      </w:r>
      <w:r w:rsidR="005D7809">
        <w:rPr>
          <w:rFonts w:hint="eastAsia"/>
          <w:sz w:val="24"/>
        </w:rPr>
        <w:t>1</w:t>
      </w:r>
      <w:r>
        <w:rPr>
          <w:rFonts w:hint="eastAsia"/>
          <w:sz w:val="24"/>
        </w:rPr>
        <w:t>）</w:t>
      </w:r>
      <w:r w:rsidRPr="00174F0E">
        <w:rPr>
          <w:rFonts w:hint="eastAsia"/>
          <w:sz w:val="24"/>
        </w:rPr>
        <w:t>申报审核</w:t>
      </w:r>
      <w:r>
        <w:rPr>
          <w:rFonts w:hint="eastAsia"/>
          <w:sz w:val="24"/>
        </w:rPr>
        <w:t>（</w:t>
      </w:r>
      <w:r w:rsidRPr="00174F0E">
        <w:rPr>
          <w:rFonts w:hint="eastAsia"/>
          <w:sz w:val="24"/>
        </w:rPr>
        <w:t>2014</w:t>
      </w:r>
      <w:r>
        <w:rPr>
          <w:rFonts w:hint="eastAsia"/>
          <w:sz w:val="24"/>
        </w:rPr>
        <w:t>年</w:t>
      </w:r>
      <w:r w:rsidRPr="00174F0E">
        <w:rPr>
          <w:rFonts w:hint="eastAsia"/>
          <w:sz w:val="24"/>
        </w:rPr>
        <w:t>10</w:t>
      </w:r>
      <w:r>
        <w:rPr>
          <w:rFonts w:hint="eastAsia"/>
          <w:sz w:val="24"/>
        </w:rPr>
        <w:t>-</w:t>
      </w:r>
      <w:r w:rsidR="00541713">
        <w:rPr>
          <w:rFonts w:hint="eastAsia"/>
          <w:sz w:val="24"/>
        </w:rPr>
        <w:t>12</w:t>
      </w:r>
      <w:r w:rsidRPr="00174F0E">
        <w:rPr>
          <w:rFonts w:hint="eastAsia"/>
          <w:sz w:val="24"/>
        </w:rPr>
        <w:t>月），</w:t>
      </w:r>
      <w:r w:rsidR="005D7809">
        <w:rPr>
          <w:rFonts w:hint="eastAsia"/>
          <w:sz w:val="24"/>
        </w:rPr>
        <w:t>三家子项目承办单位</w:t>
      </w:r>
      <w:r w:rsidR="00541713">
        <w:rPr>
          <w:rFonts w:hint="eastAsia"/>
          <w:sz w:val="24"/>
        </w:rPr>
        <w:t>向</w:t>
      </w:r>
      <w:r w:rsidR="005D7809">
        <w:rPr>
          <w:rFonts w:hint="eastAsia"/>
          <w:sz w:val="24"/>
        </w:rPr>
        <w:t>教育局</w:t>
      </w:r>
      <w:r w:rsidR="00541713">
        <w:rPr>
          <w:rFonts w:hint="eastAsia"/>
          <w:sz w:val="24"/>
        </w:rPr>
        <w:t>提出项目申请</w:t>
      </w:r>
      <w:r w:rsidR="005D7809">
        <w:rPr>
          <w:rFonts w:hint="eastAsia"/>
          <w:sz w:val="24"/>
        </w:rPr>
        <w:t>，</w:t>
      </w:r>
      <w:r w:rsidRPr="00174F0E">
        <w:rPr>
          <w:rFonts w:hint="eastAsia"/>
          <w:sz w:val="24"/>
        </w:rPr>
        <w:t>经教育财政审核通过后，确定</w:t>
      </w:r>
      <w:r w:rsidRPr="00174F0E">
        <w:rPr>
          <w:rFonts w:hint="eastAsia"/>
          <w:sz w:val="24"/>
        </w:rPr>
        <w:t>2015</w:t>
      </w:r>
      <w:r w:rsidRPr="00174F0E">
        <w:rPr>
          <w:rFonts w:hint="eastAsia"/>
          <w:sz w:val="24"/>
        </w:rPr>
        <w:t>年度扶持特色项目。</w:t>
      </w:r>
    </w:p>
    <w:p w:rsidR="00030BDE" w:rsidRDefault="00637ABF" w:rsidP="00030BDE">
      <w:pPr>
        <w:pStyle w:val="1"/>
        <w:spacing w:line="360" w:lineRule="auto"/>
        <w:ind w:firstLineChars="150" w:firstLine="360"/>
        <w:rPr>
          <w:rFonts w:ascii="Times New Roman" w:hAnsi="Times New Roman"/>
          <w:sz w:val="24"/>
        </w:rPr>
      </w:pPr>
      <w:r>
        <w:rPr>
          <w:rFonts w:ascii="Times New Roman" w:hAnsi="Times New Roman" w:hint="eastAsia"/>
          <w:sz w:val="24"/>
        </w:rPr>
        <w:t>（</w:t>
      </w:r>
      <w:r w:rsidR="005D7809">
        <w:rPr>
          <w:rFonts w:ascii="Times New Roman" w:hAnsi="Times New Roman" w:hint="eastAsia"/>
          <w:sz w:val="24"/>
        </w:rPr>
        <w:t>2</w:t>
      </w:r>
      <w:r>
        <w:rPr>
          <w:rFonts w:ascii="Times New Roman" w:hAnsi="Times New Roman" w:hint="eastAsia"/>
          <w:sz w:val="24"/>
        </w:rPr>
        <w:t>）细化</w:t>
      </w:r>
      <w:r w:rsidRPr="0088105F">
        <w:rPr>
          <w:rFonts w:ascii="Times New Roman" w:hAnsi="Times New Roman" w:hint="eastAsia"/>
          <w:sz w:val="24"/>
        </w:rPr>
        <w:t>沟通</w:t>
      </w:r>
      <w:r>
        <w:rPr>
          <w:rFonts w:ascii="Times New Roman" w:hAnsi="Times New Roman" w:hint="eastAsia"/>
          <w:sz w:val="24"/>
        </w:rPr>
        <w:t>（</w:t>
      </w:r>
      <w:r>
        <w:rPr>
          <w:rFonts w:ascii="Times New Roman" w:hAnsi="Times New Roman" w:hint="eastAsia"/>
          <w:sz w:val="24"/>
        </w:rPr>
        <w:t>201</w:t>
      </w:r>
      <w:r w:rsidR="00541713">
        <w:rPr>
          <w:rFonts w:ascii="Times New Roman" w:hAnsi="Times New Roman" w:hint="eastAsia"/>
          <w:sz w:val="24"/>
        </w:rPr>
        <w:t>5</w:t>
      </w:r>
      <w:r>
        <w:rPr>
          <w:rFonts w:ascii="Times New Roman" w:hAnsi="Times New Roman" w:hint="eastAsia"/>
          <w:sz w:val="24"/>
        </w:rPr>
        <w:t>年</w:t>
      </w:r>
      <w:r w:rsidR="005D7809">
        <w:rPr>
          <w:rFonts w:ascii="Times New Roman" w:hAnsi="Times New Roman" w:hint="eastAsia"/>
          <w:sz w:val="24"/>
        </w:rPr>
        <w:t>1</w:t>
      </w:r>
      <w:r>
        <w:rPr>
          <w:rFonts w:ascii="Times New Roman" w:hAnsi="Times New Roman" w:hint="eastAsia"/>
          <w:sz w:val="24"/>
        </w:rPr>
        <w:t>月）</w:t>
      </w:r>
      <w:r w:rsidRPr="0088105F">
        <w:rPr>
          <w:rFonts w:ascii="Times New Roman" w:hAnsi="Times New Roman" w:hint="eastAsia"/>
          <w:sz w:val="24"/>
        </w:rPr>
        <w:t>，</w:t>
      </w:r>
      <w:r>
        <w:rPr>
          <w:rFonts w:ascii="Times New Roman" w:hAnsi="Times New Roman" w:hint="eastAsia"/>
          <w:sz w:val="24"/>
        </w:rPr>
        <w:t>由</w:t>
      </w:r>
      <w:r w:rsidRPr="0088105F">
        <w:rPr>
          <w:rFonts w:ascii="Times New Roman" w:hAnsi="Times New Roman" w:hint="eastAsia"/>
          <w:sz w:val="24"/>
        </w:rPr>
        <w:t>教育局召开</w:t>
      </w:r>
      <w:r w:rsidR="005D7809">
        <w:rPr>
          <w:rFonts w:ascii="Times New Roman" w:hAnsi="Times New Roman" w:hint="eastAsia"/>
          <w:sz w:val="24"/>
        </w:rPr>
        <w:t>3</w:t>
      </w:r>
      <w:r w:rsidRPr="0088105F">
        <w:rPr>
          <w:rFonts w:ascii="Times New Roman" w:hAnsi="Times New Roman" w:hint="eastAsia"/>
          <w:sz w:val="24"/>
        </w:rPr>
        <w:t>家单位特色项目扶持工作</w:t>
      </w:r>
      <w:r w:rsidR="005D7809">
        <w:rPr>
          <w:rFonts w:ascii="Times New Roman" w:hAnsi="Times New Roman" w:hint="eastAsia"/>
          <w:sz w:val="24"/>
        </w:rPr>
        <w:t>会议，说明经费下拨条件、使用范围、申请办法、细化要求等，以便让</w:t>
      </w:r>
      <w:r w:rsidR="00030BDE">
        <w:rPr>
          <w:rFonts w:ascii="Times New Roman" w:hAnsi="Times New Roman" w:hint="eastAsia"/>
          <w:sz w:val="24"/>
        </w:rPr>
        <w:t>各</w:t>
      </w:r>
      <w:r w:rsidR="005D7809">
        <w:rPr>
          <w:rFonts w:ascii="Times New Roman" w:hAnsi="Times New Roman" w:hint="eastAsia"/>
          <w:sz w:val="24"/>
        </w:rPr>
        <w:t>项目</w:t>
      </w:r>
      <w:r w:rsidR="00030BDE">
        <w:rPr>
          <w:rFonts w:ascii="Times New Roman" w:hAnsi="Times New Roman" w:hint="eastAsia"/>
          <w:sz w:val="24"/>
        </w:rPr>
        <w:t>承办</w:t>
      </w:r>
      <w:r w:rsidR="005D7809">
        <w:rPr>
          <w:rFonts w:ascii="Times New Roman" w:hAnsi="Times New Roman" w:hint="eastAsia"/>
          <w:sz w:val="24"/>
        </w:rPr>
        <w:t>单位</w:t>
      </w:r>
      <w:r w:rsidRPr="0088105F">
        <w:rPr>
          <w:rFonts w:ascii="Times New Roman" w:hAnsi="Times New Roman" w:hint="eastAsia"/>
          <w:sz w:val="24"/>
        </w:rPr>
        <w:t>尽快将经费细化后申请执行。</w:t>
      </w:r>
    </w:p>
    <w:p w:rsidR="00637ABF" w:rsidRPr="00030BDE" w:rsidRDefault="00637ABF" w:rsidP="00030BDE">
      <w:pPr>
        <w:pStyle w:val="1"/>
        <w:spacing w:line="360" w:lineRule="auto"/>
        <w:ind w:firstLineChars="150" w:firstLine="360"/>
        <w:rPr>
          <w:rFonts w:ascii="Times New Roman" w:hAnsi="Times New Roman"/>
          <w:sz w:val="24"/>
        </w:rPr>
      </w:pPr>
      <w:r>
        <w:rPr>
          <w:rFonts w:hint="eastAsia"/>
          <w:sz w:val="24"/>
        </w:rPr>
        <w:t>（</w:t>
      </w:r>
      <w:r w:rsidR="005D7809">
        <w:rPr>
          <w:rFonts w:hint="eastAsia"/>
          <w:sz w:val="24"/>
        </w:rPr>
        <w:t>3</w:t>
      </w:r>
      <w:r>
        <w:rPr>
          <w:rFonts w:hint="eastAsia"/>
          <w:sz w:val="24"/>
        </w:rPr>
        <w:t>）</w:t>
      </w:r>
      <w:r w:rsidRPr="00174F0E">
        <w:rPr>
          <w:rFonts w:hint="eastAsia"/>
          <w:sz w:val="24"/>
        </w:rPr>
        <w:t>实施执行（</w:t>
      </w:r>
      <w:r w:rsidRPr="00174F0E">
        <w:rPr>
          <w:rFonts w:hint="eastAsia"/>
          <w:sz w:val="24"/>
        </w:rPr>
        <w:t>2015</w:t>
      </w:r>
      <w:r w:rsidRPr="00174F0E">
        <w:rPr>
          <w:rFonts w:hint="eastAsia"/>
          <w:sz w:val="24"/>
        </w:rPr>
        <w:t>年</w:t>
      </w:r>
      <w:r w:rsidR="005D7809">
        <w:rPr>
          <w:rFonts w:hint="eastAsia"/>
          <w:sz w:val="24"/>
        </w:rPr>
        <w:t>1</w:t>
      </w:r>
      <w:r w:rsidRPr="00174F0E">
        <w:rPr>
          <w:rFonts w:hint="eastAsia"/>
          <w:sz w:val="24"/>
        </w:rPr>
        <w:t>月</w:t>
      </w:r>
      <w:r w:rsidRPr="00174F0E">
        <w:rPr>
          <w:rFonts w:hint="eastAsia"/>
          <w:sz w:val="24"/>
        </w:rPr>
        <w:t>-12</w:t>
      </w:r>
      <w:r w:rsidRPr="00174F0E">
        <w:rPr>
          <w:rFonts w:hint="eastAsia"/>
          <w:sz w:val="24"/>
        </w:rPr>
        <w:t>月），根据实施</w:t>
      </w:r>
      <w:r w:rsidR="005D7809">
        <w:rPr>
          <w:rFonts w:hint="eastAsia"/>
          <w:sz w:val="24"/>
        </w:rPr>
        <w:t>计划</w:t>
      </w:r>
      <w:r w:rsidRPr="00174F0E">
        <w:rPr>
          <w:rFonts w:hint="eastAsia"/>
          <w:sz w:val="24"/>
        </w:rPr>
        <w:t>执行。</w:t>
      </w:r>
      <w:r>
        <w:rPr>
          <w:rFonts w:hint="eastAsia"/>
          <w:sz w:val="24"/>
        </w:rPr>
        <w:t>确保</w:t>
      </w:r>
      <w:r w:rsidRPr="00174F0E">
        <w:rPr>
          <w:rFonts w:hint="eastAsia"/>
          <w:sz w:val="24"/>
        </w:rPr>
        <w:t>特色项目按计划开展，项目执行率</w:t>
      </w:r>
      <w:r w:rsidRPr="00174F0E">
        <w:rPr>
          <w:rFonts w:hint="eastAsia"/>
          <w:sz w:val="24"/>
        </w:rPr>
        <w:t>100%</w:t>
      </w:r>
      <w:r w:rsidRPr="00174F0E">
        <w:rPr>
          <w:rFonts w:hint="eastAsia"/>
          <w:sz w:val="24"/>
        </w:rPr>
        <w:t>。</w:t>
      </w:r>
    </w:p>
    <w:p w:rsidR="00637ABF" w:rsidRPr="00637ABF" w:rsidRDefault="00637ABF" w:rsidP="00541713">
      <w:pPr>
        <w:spacing w:line="360" w:lineRule="auto"/>
        <w:ind w:firstLineChars="150" w:firstLine="360"/>
        <w:rPr>
          <w:rFonts w:ascii="宋体" w:hAnsi="宋体" w:cs="宋体"/>
          <w:sz w:val="18"/>
          <w:szCs w:val="18"/>
        </w:rPr>
      </w:pPr>
      <w:r>
        <w:rPr>
          <w:rFonts w:hint="eastAsia"/>
          <w:sz w:val="24"/>
        </w:rPr>
        <w:t>（</w:t>
      </w:r>
      <w:r w:rsidR="005D7809">
        <w:rPr>
          <w:rFonts w:hint="eastAsia"/>
          <w:sz w:val="24"/>
        </w:rPr>
        <w:t>4</w:t>
      </w:r>
      <w:r>
        <w:rPr>
          <w:rFonts w:hint="eastAsia"/>
          <w:sz w:val="24"/>
        </w:rPr>
        <w:t>）</w:t>
      </w:r>
      <w:r w:rsidR="00541713">
        <w:rPr>
          <w:rFonts w:hint="eastAsia"/>
          <w:sz w:val="24"/>
        </w:rPr>
        <w:t>过程</w:t>
      </w:r>
      <w:r w:rsidRPr="0088105F">
        <w:rPr>
          <w:rFonts w:hint="eastAsia"/>
          <w:sz w:val="24"/>
        </w:rPr>
        <w:t>监管</w:t>
      </w:r>
      <w:r>
        <w:rPr>
          <w:rFonts w:hint="eastAsia"/>
          <w:sz w:val="24"/>
        </w:rPr>
        <w:t>（</w:t>
      </w:r>
      <w:r>
        <w:rPr>
          <w:rFonts w:hint="eastAsia"/>
          <w:sz w:val="24"/>
        </w:rPr>
        <w:t>2015</w:t>
      </w:r>
      <w:r>
        <w:rPr>
          <w:rFonts w:hint="eastAsia"/>
          <w:sz w:val="24"/>
        </w:rPr>
        <w:t>年</w:t>
      </w:r>
      <w:r w:rsidR="005D7809">
        <w:rPr>
          <w:rFonts w:hint="eastAsia"/>
          <w:sz w:val="24"/>
        </w:rPr>
        <w:t>3-12</w:t>
      </w:r>
      <w:r>
        <w:rPr>
          <w:rFonts w:hint="eastAsia"/>
          <w:sz w:val="24"/>
        </w:rPr>
        <w:t>月）</w:t>
      </w:r>
      <w:r w:rsidRPr="0088105F">
        <w:rPr>
          <w:rFonts w:hint="eastAsia"/>
          <w:sz w:val="24"/>
        </w:rPr>
        <w:t>，为了有效执行好</w:t>
      </w:r>
      <w:r w:rsidR="005D7809">
        <w:rPr>
          <w:rFonts w:hint="eastAsia"/>
          <w:sz w:val="24"/>
        </w:rPr>
        <w:t>政府购买服务的</w:t>
      </w:r>
      <w:r w:rsidRPr="0088105F">
        <w:rPr>
          <w:rFonts w:hint="eastAsia"/>
          <w:sz w:val="24"/>
        </w:rPr>
        <w:t>财政经费，教育局与财政局将在经费执行过程予以严格监管。</w:t>
      </w:r>
      <w:r w:rsidR="005D7809">
        <w:rPr>
          <w:rFonts w:hint="eastAsia"/>
          <w:sz w:val="24"/>
        </w:rPr>
        <w:t>确保各子项目单位</w:t>
      </w:r>
      <w:r w:rsidRPr="00D04DC8">
        <w:rPr>
          <w:rFonts w:hint="eastAsia"/>
          <w:sz w:val="24"/>
        </w:rPr>
        <w:t>严格按照管理办法操作执行。</w:t>
      </w:r>
    </w:p>
    <w:p w:rsidR="00637ABF" w:rsidRPr="00637ABF" w:rsidRDefault="00637ABF" w:rsidP="00637ABF">
      <w:pPr>
        <w:spacing w:line="360" w:lineRule="auto"/>
        <w:rPr>
          <w:b/>
          <w:sz w:val="24"/>
        </w:rPr>
      </w:pPr>
      <w:r w:rsidRPr="00637ABF">
        <w:rPr>
          <w:rFonts w:hint="eastAsia"/>
          <w:b/>
          <w:sz w:val="24"/>
        </w:rPr>
        <w:t>3</w:t>
      </w:r>
      <w:r w:rsidRPr="00637ABF">
        <w:rPr>
          <w:rFonts w:hint="eastAsia"/>
          <w:b/>
          <w:sz w:val="24"/>
        </w:rPr>
        <w:t>、三个子项目主要活动计划：</w:t>
      </w:r>
    </w:p>
    <w:p w:rsidR="000143FC" w:rsidRPr="00FF1044" w:rsidRDefault="00637ABF" w:rsidP="0053630E">
      <w:pPr>
        <w:spacing w:line="360" w:lineRule="auto"/>
        <w:ind w:firstLineChars="200" w:firstLine="482"/>
        <w:rPr>
          <w:rFonts w:asciiTheme="majorEastAsia" w:eastAsiaTheme="majorEastAsia" w:hAnsiTheme="majorEastAsia"/>
          <w:sz w:val="24"/>
          <w:szCs w:val="24"/>
        </w:rPr>
      </w:pPr>
      <w:r>
        <w:rPr>
          <w:rFonts w:asciiTheme="majorEastAsia" w:eastAsiaTheme="majorEastAsia" w:hAnsiTheme="majorEastAsia" w:hint="eastAsia"/>
          <w:b/>
          <w:sz w:val="24"/>
          <w:szCs w:val="24"/>
        </w:rPr>
        <w:t>（</w:t>
      </w:r>
      <w:r w:rsidR="00625D31" w:rsidRPr="0053630E">
        <w:rPr>
          <w:rFonts w:asciiTheme="majorEastAsia" w:eastAsiaTheme="majorEastAsia" w:hAnsiTheme="majorEastAsia" w:hint="eastAsia"/>
          <w:b/>
          <w:sz w:val="24"/>
          <w:szCs w:val="24"/>
        </w:rPr>
        <w:t>1</w:t>
      </w:r>
      <w:r>
        <w:rPr>
          <w:rFonts w:asciiTheme="majorEastAsia" w:eastAsiaTheme="majorEastAsia" w:hAnsiTheme="majorEastAsia" w:hint="eastAsia"/>
          <w:b/>
          <w:sz w:val="24"/>
          <w:szCs w:val="24"/>
        </w:rPr>
        <w:t>）</w:t>
      </w:r>
      <w:r w:rsidR="000143FC" w:rsidRPr="0053630E">
        <w:rPr>
          <w:rFonts w:asciiTheme="majorEastAsia" w:eastAsiaTheme="majorEastAsia" w:hAnsiTheme="majorEastAsia" w:hint="eastAsia"/>
          <w:b/>
          <w:sz w:val="24"/>
          <w:szCs w:val="24"/>
        </w:rPr>
        <w:t>“校园足球联盟”</w:t>
      </w:r>
      <w:r w:rsidR="00030BDE">
        <w:rPr>
          <w:rFonts w:asciiTheme="majorEastAsia" w:eastAsiaTheme="majorEastAsia" w:hAnsiTheme="majorEastAsia" w:hint="eastAsia"/>
          <w:b/>
          <w:sz w:val="24"/>
          <w:szCs w:val="24"/>
        </w:rPr>
        <w:t>。</w:t>
      </w:r>
      <w:r w:rsidR="00625D31" w:rsidRPr="00FF1044">
        <w:rPr>
          <w:rFonts w:asciiTheme="majorEastAsia" w:eastAsiaTheme="majorEastAsia" w:hAnsiTheme="majorEastAsia" w:hint="eastAsia"/>
          <w:sz w:val="24"/>
          <w:szCs w:val="24"/>
        </w:rPr>
        <w:t>由上海优体足球俱乐部承办</w:t>
      </w:r>
      <w:r w:rsidR="00A06368" w:rsidRPr="00FF1044">
        <w:rPr>
          <w:rFonts w:asciiTheme="majorEastAsia" w:eastAsiaTheme="majorEastAsia" w:hAnsiTheme="majorEastAsia" w:hint="eastAsia"/>
          <w:sz w:val="24"/>
          <w:szCs w:val="24"/>
        </w:rPr>
        <w:t>，闵行区教育局监督，主要相关项目</w:t>
      </w:r>
      <w:r w:rsidR="00164410" w:rsidRPr="00FF1044">
        <w:rPr>
          <w:rFonts w:asciiTheme="majorEastAsia" w:eastAsiaTheme="majorEastAsia" w:hAnsiTheme="majorEastAsia" w:hint="eastAsia"/>
          <w:sz w:val="24"/>
          <w:szCs w:val="24"/>
        </w:rPr>
        <w:t>活动的</w:t>
      </w:r>
      <w:r w:rsidR="00A06368" w:rsidRPr="00FF1044">
        <w:rPr>
          <w:rFonts w:asciiTheme="majorEastAsia" w:eastAsiaTheme="majorEastAsia" w:hAnsiTheme="majorEastAsia" w:hint="eastAsia"/>
          <w:sz w:val="24"/>
          <w:szCs w:val="24"/>
        </w:rPr>
        <w:t>计划如下：</w:t>
      </w:r>
    </w:p>
    <w:p w:rsidR="00E80443" w:rsidRPr="00FF1044" w:rsidRDefault="00637ABF" w:rsidP="00FF1044">
      <w:pPr>
        <w:spacing w:line="360" w:lineRule="auto"/>
        <w:ind w:firstLineChars="250" w:firstLine="60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E80443" w:rsidRPr="00FF1044">
        <w:rPr>
          <w:rFonts w:asciiTheme="majorEastAsia" w:eastAsiaTheme="majorEastAsia" w:hAnsiTheme="majorEastAsia" w:hint="eastAsia"/>
          <w:sz w:val="24"/>
          <w:szCs w:val="24"/>
        </w:rPr>
        <w:t>1</w:t>
      </w:r>
      <w:r w:rsidR="00625D31" w:rsidRPr="00FF1044">
        <w:rPr>
          <w:rFonts w:asciiTheme="majorEastAsia" w:eastAsiaTheme="majorEastAsia" w:hAnsiTheme="majorEastAsia" w:hint="eastAsia"/>
          <w:sz w:val="24"/>
          <w:szCs w:val="24"/>
        </w:rPr>
        <w:t>）</w:t>
      </w:r>
      <w:r w:rsidR="00E80443" w:rsidRPr="00FF1044">
        <w:rPr>
          <w:rFonts w:asciiTheme="majorEastAsia" w:eastAsiaTheme="majorEastAsia" w:hAnsiTheme="majorEastAsia" w:hint="eastAsia"/>
          <w:sz w:val="24"/>
          <w:szCs w:val="24"/>
        </w:rPr>
        <w:t>21所校园足球联盟校</w:t>
      </w:r>
      <w:r w:rsidR="00A41F8D" w:rsidRPr="00FF1044">
        <w:rPr>
          <w:rFonts w:asciiTheme="majorEastAsia" w:eastAsiaTheme="majorEastAsia" w:hAnsiTheme="majorEastAsia" w:hint="eastAsia"/>
          <w:sz w:val="24"/>
          <w:szCs w:val="24"/>
        </w:rPr>
        <w:t>（小学）</w:t>
      </w:r>
      <w:r w:rsidR="00E80443" w:rsidRPr="00FF1044">
        <w:rPr>
          <w:rFonts w:asciiTheme="majorEastAsia" w:eastAsiaTheme="majorEastAsia" w:hAnsiTheme="majorEastAsia" w:hint="eastAsia"/>
          <w:sz w:val="24"/>
          <w:szCs w:val="24"/>
        </w:rPr>
        <w:t>结合体育活动课实施每周一节足球课，一学年32节课程。</w:t>
      </w:r>
    </w:p>
    <w:p w:rsidR="00E80443" w:rsidRPr="00FF1044" w:rsidRDefault="00E80443"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w:t>
      </w:r>
      <w:r w:rsidR="00625D31"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8支区队训练建设。（每周训练2次</w:t>
      </w:r>
      <w:r w:rsidR="00541713">
        <w:rPr>
          <w:rFonts w:asciiTheme="majorEastAsia" w:eastAsiaTheme="majorEastAsia" w:hAnsiTheme="majorEastAsia" w:hint="eastAsia"/>
          <w:sz w:val="24"/>
          <w:szCs w:val="24"/>
        </w:rPr>
        <w:t>，其中1次在双休日的半天</w:t>
      </w:r>
      <w:r w:rsidRPr="00FF1044">
        <w:rPr>
          <w:rFonts w:asciiTheme="majorEastAsia" w:eastAsiaTheme="majorEastAsia" w:hAnsiTheme="majorEastAsia" w:hint="eastAsia"/>
          <w:sz w:val="24"/>
          <w:szCs w:val="24"/>
        </w:rPr>
        <w:t>）</w:t>
      </w:r>
    </w:p>
    <w:p w:rsidR="00E80443" w:rsidRPr="00FF1044" w:rsidRDefault="00E80443"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3</w:t>
      </w:r>
      <w:r w:rsidR="00625D31"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13支校园联盟学校校队训练建设。（每周训练2次</w:t>
      </w:r>
      <w:r w:rsidR="00541713">
        <w:rPr>
          <w:rFonts w:asciiTheme="majorEastAsia" w:eastAsiaTheme="majorEastAsia" w:hAnsiTheme="majorEastAsia" w:hint="eastAsia"/>
          <w:sz w:val="24"/>
          <w:szCs w:val="24"/>
        </w:rPr>
        <w:t>，其中1次在双休日的半天</w:t>
      </w:r>
      <w:r w:rsidRPr="00FF1044">
        <w:rPr>
          <w:rFonts w:asciiTheme="majorEastAsia" w:eastAsiaTheme="majorEastAsia" w:hAnsiTheme="majorEastAsia" w:hint="eastAsia"/>
          <w:sz w:val="24"/>
          <w:szCs w:val="24"/>
        </w:rPr>
        <w:t>）</w:t>
      </w:r>
    </w:p>
    <w:p w:rsidR="00E80443" w:rsidRPr="00FF1044" w:rsidRDefault="00E80443"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4</w:t>
      </w:r>
      <w:r w:rsidR="00625D31"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一年两次校园足球联盟杯赛。（2015年上半年3至5月，2015下半年9至11月）</w:t>
      </w:r>
    </w:p>
    <w:p w:rsidR="00E80443" w:rsidRPr="00FF1044" w:rsidRDefault="00E80443"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5</w:t>
      </w:r>
      <w:r w:rsidR="00625D31"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一年一次足球夏令营活动。（2015年7月）</w:t>
      </w:r>
    </w:p>
    <w:p w:rsidR="00E80443" w:rsidRPr="00FF1044" w:rsidRDefault="00E80443" w:rsidP="00FF1044">
      <w:pPr>
        <w:spacing w:line="360" w:lineRule="auto"/>
        <w:ind w:firstLineChars="250" w:firstLine="60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6</w:t>
      </w:r>
      <w:r w:rsidR="00625D31"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区校园足球师资培训。（2015年8月）</w:t>
      </w:r>
    </w:p>
    <w:p w:rsidR="000143FC" w:rsidRPr="00FF1044" w:rsidRDefault="00637ABF" w:rsidP="00637ABF">
      <w:pPr>
        <w:spacing w:line="360" w:lineRule="auto"/>
        <w:ind w:firstLineChars="196" w:firstLine="472"/>
        <w:rPr>
          <w:rFonts w:asciiTheme="majorEastAsia" w:eastAsiaTheme="majorEastAsia" w:hAnsiTheme="majorEastAsia"/>
          <w:sz w:val="24"/>
          <w:szCs w:val="24"/>
        </w:rPr>
      </w:pPr>
      <w:r>
        <w:rPr>
          <w:rFonts w:asciiTheme="majorEastAsia" w:eastAsiaTheme="majorEastAsia" w:hAnsiTheme="majorEastAsia" w:hint="eastAsia"/>
          <w:b/>
          <w:sz w:val="24"/>
          <w:szCs w:val="24"/>
        </w:rPr>
        <w:lastRenderedPageBreak/>
        <w:t>（2）</w:t>
      </w:r>
      <w:r w:rsidR="000143FC" w:rsidRPr="0053630E">
        <w:rPr>
          <w:rFonts w:asciiTheme="majorEastAsia" w:eastAsiaTheme="majorEastAsia" w:hAnsiTheme="majorEastAsia" w:hint="eastAsia"/>
          <w:b/>
          <w:sz w:val="24"/>
          <w:szCs w:val="24"/>
        </w:rPr>
        <w:t>“围棋进课堂”</w:t>
      </w:r>
      <w:r w:rsidR="00030BDE">
        <w:rPr>
          <w:rFonts w:asciiTheme="majorEastAsia" w:eastAsiaTheme="majorEastAsia" w:hAnsiTheme="majorEastAsia" w:hint="eastAsia"/>
          <w:b/>
          <w:sz w:val="24"/>
          <w:szCs w:val="24"/>
        </w:rPr>
        <w:t>。</w:t>
      </w:r>
      <w:r w:rsidR="00541713">
        <w:rPr>
          <w:rFonts w:asciiTheme="majorEastAsia" w:eastAsiaTheme="majorEastAsia" w:hAnsiTheme="majorEastAsia" w:hint="eastAsia"/>
          <w:sz w:val="24"/>
          <w:szCs w:val="24"/>
        </w:rPr>
        <w:t>由上海</w:t>
      </w:r>
      <w:r w:rsidR="00440365" w:rsidRPr="00FF1044">
        <w:rPr>
          <w:rFonts w:asciiTheme="majorEastAsia" w:eastAsiaTheme="majorEastAsia" w:hAnsiTheme="majorEastAsia" w:hint="eastAsia"/>
          <w:sz w:val="24"/>
          <w:szCs w:val="24"/>
        </w:rPr>
        <w:t>乐在四季教育培训中心承办，闵行区教育局监督，主要相关项目活动的计划如下：</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1</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2015年完成围棋进课堂项目40所学校的确认；安排专职教师完成每周一课时的教学。</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2015年第一季度完成设备添置；校本教材的编写、印刷及发放。</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3</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2015年第二季度完成学生的初级水平认定；闵行区区队的选拔；组建区队完成区队培训。</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4</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2015年第三季度完成360</w:t>
      </w:r>
      <w:r w:rsidR="009F5900" w:rsidRPr="00FF1044">
        <w:rPr>
          <w:rFonts w:asciiTheme="majorEastAsia" w:eastAsiaTheme="majorEastAsia" w:hAnsiTheme="majorEastAsia" w:hint="eastAsia"/>
          <w:sz w:val="24"/>
          <w:szCs w:val="24"/>
        </w:rPr>
        <w:t>学分制</w:t>
      </w:r>
      <w:r w:rsidRPr="00FF1044">
        <w:rPr>
          <w:rFonts w:asciiTheme="majorEastAsia" w:eastAsiaTheme="majorEastAsia" w:hAnsiTheme="majorEastAsia" w:hint="eastAsia"/>
          <w:sz w:val="24"/>
          <w:szCs w:val="24"/>
        </w:rPr>
        <w:t>教师培训。</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5</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一年两次区级围棋比赛。</w:t>
      </w:r>
    </w:p>
    <w:p w:rsidR="00DB18E1" w:rsidRPr="00FF1044" w:rsidRDefault="00637ABF" w:rsidP="00637ABF">
      <w:pPr>
        <w:spacing w:line="360" w:lineRule="auto"/>
        <w:ind w:firstLineChars="196" w:firstLine="472"/>
        <w:rPr>
          <w:rFonts w:asciiTheme="majorEastAsia" w:eastAsiaTheme="majorEastAsia" w:hAnsiTheme="majorEastAsia"/>
          <w:sz w:val="24"/>
          <w:szCs w:val="24"/>
        </w:rPr>
      </w:pPr>
      <w:r>
        <w:rPr>
          <w:rFonts w:asciiTheme="majorEastAsia" w:eastAsiaTheme="majorEastAsia" w:hAnsiTheme="majorEastAsia" w:hint="eastAsia"/>
          <w:b/>
          <w:sz w:val="24"/>
          <w:szCs w:val="24"/>
        </w:rPr>
        <w:t>（3）</w:t>
      </w:r>
      <w:r w:rsidR="00DB18E1" w:rsidRPr="0053630E">
        <w:rPr>
          <w:rFonts w:asciiTheme="majorEastAsia" w:eastAsiaTheme="majorEastAsia" w:hAnsiTheme="majorEastAsia" w:hint="eastAsia"/>
          <w:b/>
          <w:sz w:val="24"/>
          <w:szCs w:val="24"/>
        </w:rPr>
        <w:t>“网球进校园”</w:t>
      </w:r>
      <w:r w:rsidR="00030BDE">
        <w:rPr>
          <w:rFonts w:asciiTheme="majorEastAsia" w:eastAsiaTheme="majorEastAsia" w:hAnsiTheme="majorEastAsia" w:hint="eastAsia"/>
          <w:b/>
          <w:sz w:val="24"/>
          <w:szCs w:val="24"/>
        </w:rPr>
        <w:t>。</w:t>
      </w:r>
      <w:r w:rsidR="00DB18E1" w:rsidRPr="00FF1044">
        <w:rPr>
          <w:rFonts w:asciiTheme="majorEastAsia" w:eastAsiaTheme="majorEastAsia" w:hAnsiTheme="majorEastAsia" w:hint="eastAsia"/>
          <w:sz w:val="24"/>
          <w:szCs w:val="24"/>
        </w:rPr>
        <w:t>由</w:t>
      </w:r>
      <w:r w:rsidR="00741EF7" w:rsidRPr="00FF1044">
        <w:rPr>
          <w:rFonts w:asciiTheme="majorEastAsia" w:eastAsiaTheme="majorEastAsia" w:hAnsiTheme="majorEastAsia" w:hint="eastAsia"/>
          <w:sz w:val="24"/>
          <w:szCs w:val="24"/>
        </w:rPr>
        <w:t>上海市闵行巅峰青少年体育俱乐部</w:t>
      </w:r>
      <w:r w:rsidR="00DB18E1" w:rsidRPr="00FF1044">
        <w:rPr>
          <w:rFonts w:asciiTheme="majorEastAsia" w:eastAsiaTheme="majorEastAsia" w:hAnsiTheme="majorEastAsia" w:hint="eastAsia"/>
          <w:sz w:val="24"/>
          <w:szCs w:val="24"/>
        </w:rPr>
        <w:t>承办，闵行区教育局监督，主要相关项目活动的计划如下：</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1</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9所校园足球联盟校每周一节足球课，一学年36节课程。</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2015年4月、8月、12月聘请专家培训教练，提高教练自身的网球技能和教学水平。</w:t>
      </w:r>
    </w:p>
    <w:p w:rsidR="000143FC" w:rsidRPr="00FF1044" w:rsidRDefault="000143FC"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3</w:t>
      </w:r>
      <w:r w:rsidR="004B6F7C" w:rsidRPr="00FF1044">
        <w:rPr>
          <w:rFonts w:asciiTheme="majorEastAsia" w:eastAsiaTheme="majorEastAsia" w:hAnsiTheme="majorEastAsia" w:hint="eastAsia"/>
          <w:sz w:val="24"/>
          <w:szCs w:val="24"/>
        </w:rPr>
        <w:t>）</w:t>
      </w:r>
      <w:r w:rsidRPr="00FF1044">
        <w:rPr>
          <w:rFonts w:asciiTheme="majorEastAsia" w:eastAsiaTheme="majorEastAsia" w:hAnsiTheme="majorEastAsia" w:hint="eastAsia"/>
          <w:sz w:val="24"/>
          <w:szCs w:val="24"/>
        </w:rPr>
        <w:t>一年一次网球双语夏令营。（2015年7月）</w:t>
      </w:r>
    </w:p>
    <w:p w:rsidR="00763F9D" w:rsidRPr="00FF1044" w:rsidRDefault="00763F9D" w:rsidP="00FF1044">
      <w:pPr>
        <w:spacing w:line="360" w:lineRule="auto"/>
        <w:ind w:firstLineChars="300" w:firstLine="72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4）设备添置。</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（五）项目利益相关方</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1.</w:t>
      </w:r>
      <w:r w:rsidRPr="00FF1044">
        <w:rPr>
          <w:rFonts w:asciiTheme="majorEastAsia" w:eastAsiaTheme="majorEastAsia" w:hAnsiTheme="majorEastAsia" w:hint="eastAsia"/>
          <w:sz w:val="24"/>
          <w:szCs w:val="24"/>
        </w:rPr>
        <w:tab/>
        <w:t>项目主管部门：闵行区教育局</w:t>
      </w:r>
    </w:p>
    <w:p w:rsidR="000F6526"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职责：</w:t>
      </w:r>
      <w:r w:rsidR="00A228F1" w:rsidRPr="00FF1044">
        <w:rPr>
          <w:rFonts w:asciiTheme="majorEastAsia" w:eastAsiaTheme="majorEastAsia" w:hAnsiTheme="majorEastAsia" w:hint="eastAsia"/>
          <w:sz w:val="24"/>
          <w:szCs w:val="24"/>
        </w:rPr>
        <w:t>普教一科</w:t>
      </w:r>
      <w:r w:rsidR="00541713">
        <w:rPr>
          <w:rFonts w:asciiTheme="majorEastAsia" w:eastAsiaTheme="majorEastAsia" w:hAnsiTheme="majorEastAsia" w:hint="eastAsia"/>
          <w:sz w:val="24"/>
          <w:szCs w:val="24"/>
        </w:rPr>
        <w:t>负责</w:t>
      </w:r>
      <w:r w:rsidR="000F6526" w:rsidRPr="00FF1044">
        <w:rPr>
          <w:rFonts w:asciiTheme="majorEastAsia" w:eastAsiaTheme="majorEastAsia" w:hAnsiTheme="majorEastAsia" w:hint="eastAsia"/>
          <w:sz w:val="24"/>
          <w:szCs w:val="24"/>
        </w:rPr>
        <w:t>统筹协调、预算管</w:t>
      </w:r>
      <w:r w:rsidR="00541713">
        <w:rPr>
          <w:rFonts w:asciiTheme="majorEastAsia" w:eastAsiaTheme="majorEastAsia" w:hAnsiTheme="majorEastAsia" w:hint="eastAsia"/>
          <w:sz w:val="24"/>
          <w:szCs w:val="24"/>
        </w:rPr>
        <w:t>理、督查考核、制定政策、把控方向、有效指导；计财科负责监督各项目</w:t>
      </w:r>
      <w:r w:rsidR="000F6526" w:rsidRPr="00FF1044">
        <w:rPr>
          <w:rFonts w:asciiTheme="majorEastAsia" w:eastAsiaTheme="majorEastAsia" w:hAnsiTheme="majorEastAsia" w:hint="eastAsia"/>
          <w:sz w:val="24"/>
          <w:szCs w:val="24"/>
        </w:rPr>
        <w:t>资金申请及划拨使用。</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w:t>
      </w:r>
      <w:r w:rsidRPr="00FF1044">
        <w:rPr>
          <w:rFonts w:asciiTheme="majorEastAsia" w:eastAsiaTheme="majorEastAsia" w:hAnsiTheme="majorEastAsia" w:hint="eastAsia"/>
          <w:sz w:val="24"/>
          <w:szCs w:val="24"/>
        </w:rPr>
        <w:tab/>
      </w:r>
      <w:r w:rsidR="00541713">
        <w:rPr>
          <w:rFonts w:asciiTheme="majorEastAsia" w:eastAsiaTheme="majorEastAsia" w:hAnsiTheme="majorEastAsia" w:hint="eastAsia"/>
          <w:sz w:val="24"/>
          <w:szCs w:val="24"/>
        </w:rPr>
        <w:t>项目承办方：上海优体足球俱乐部、上海</w:t>
      </w:r>
      <w:r w:rsidRPr="00FF1044">
        <w:rPr>
          <w:rFonts w:asciiTheme="majorEastAsia" w:eastAsiaTheme="majorEastAsia" w:hAnsiTheme="majorEastAsia" w:hint="eastAsia"/>
          <w:sz w:val="24"/>
          <w:szCs w:val="24"/>
        </w:rPr>
        <w:t>乐在四季教育培训中心、上海市闵行巅峰青少年体育俱乐部</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职责：制定项目实施方案、具体落实项目进度、保证项目质量达到预期目标。</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3.</w:t>
      </w:r>
      <w:r w:rsidRPr="00FF1044">
        <w:rPr>
          <w:rFonts w:asciiTheme="majorEastAsia" w:eastAsiaTheme="majorEastAsia" w:hAnsiTheme="majorEastAsia" w:hint="eastAsia"/>
          <w:sz w:val="24"/>
          <w:szCs w:val="24"/>
        </w:rPr>
        <w:tab/>
        <w:t>项目参与方：</w:t>
      </w:r>
      <w:r w:rsidR="00763F9D" w:rsidRPr="00FF1044">
        <w:rPr>
          <w:rFonts w:asciiTheme="majorEastAsia" w:eastAsiaTheme="majorEastAsia" w:hAnsiTheme="majorEastAsia" w:hint="eastAsia"/>
          <w:sz w:val="24"/>
          <w:szCs w:val="24"/>
        </w:rPr>
        <w:t>具备相关条件的学校。（具体学校明细见附件</w:t>
      </w:r>
      <w:r w:rsidR="00AE164C">
        <w:rPr>
          <w:rFonts w:asciiTheme="majorEastAsia" w:eastAsiaTheme="majorEastAsia" w:hAnsiTheme="majorEastAsia" w:hint="eastAsia"/>
          <w:sz w:val="24"/>
          <w:szCs w:val="24"/>
        </w:rPr>
        <w:t>11</w:t>
      </w:r>
      <w:r w:rsidR="00763F9D" w:rsidRPr="00FF1044">
        <w:rPr>
          <w:rFonts w:asciiTheme="majorEastAsia" w:eastAsiaTheme="majorEastAsia" w:hAnsiTheme="majorEastAsia" w:hint="eastAsia"/>
          <w:sz w:val="24"/>
          <w:szCs w:val="24"/>
        </w:rPr>
        <w:t>）</w:t>
      </w:r>
    </w:p>
    <w:p w:rsidR="000143FC" w:rsidRPr="00FF1044" w:rsidRDefault="00AE164C"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职责：积极配合项目运作，办成</w:t>
      </w:r>
      <w:r w:rsidR="007B5CB2" w:rsidRPr="00FF1044">
        <w:rPr>
          <w:rFonts w:asciiTheme="majorEastAsia" w:eastAsiaTheme="majorEastAsia" w:hAnsiTheme="majorEastAsia" w:hint="eastAsia"/>
          <w:sz w:val="24"/>
          <w:szCs w:val="24"/>
        </w:rPr>
        <w:t>项目</w:t>
      </w:r>
      <w:r>
        <w:rPr>
          <w:rFonts w:asciiTheme="majorEastAsia" w:eastAsiaTheme="majorEastAsia" w:hAnsiTheme="majorEastAsia" w:hint="eastAsia"/>
          <w:sz w:val="24"/>
          <w:szCs w:val="24"/>
        </w:rPr>
        <w:t>特色学校</w:t>
      </w:r>
      <w:r w:rsidR="001A1553" w:rsidRPr="00FF1044">
        <w:rPr>
          <w:rFonts w:asciiTheme="majorEastAsia" w:eastAsiaTheme="majorEastAsia" w:hAnsiTheme="majorEastAsia" w:hint="eastAsia"/>
          <w:sz w:val="24"/>
          <w:szCs w:val="24"/>
        </w:rPr>
        <w:t>。</w:t>
      </w:r>
    </w:p>
    <w:p w:rsidR="000143FC" w:rsidRPr="00FF1044" w:rsidRDefault="000143FC"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三、保证项目实施的制度、措施</w:t>
      </w:r>
    </w:p>
    <w:p w:rsidR="007865E7" w:rsidRPr="00FF1044" w:rsidRDefault="000143FC"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为保障本项目实施，已建立了必要的制度和管理措施，并落实到相应的实施部门和人员。目前执行的制度文件主要有</w:t>
      </w:r>
      <w:r w:rsidR="007865E7" w:rsidRPr="00FF1044">
        <w:rPr>
          <w:rFonts w:asciiTheme="majorEastAsia" w:eastAsiaTheme="majorEastAsia" w:hAnsiTheme="majorEastAsia" w:hint="eastAsia"/>
          <w:sz w:val="24"/>
          <w:szCs w:val="24"/>
        </w:rPr>
        <w:t>《专项资金管理暂行办法》、《网球进校园项目管理大纲》、《“围棋进课堂”普及课程项目管理办法》和《足球普及教学</w:t>
      </w:r>
      <w:r w:rsidR="007865E7" w:rsidRPr="00FF1044">
        <w:rPr>
          <w:rFonts w:asciiTheme="majorEastAsia" w:eastAsiaTheme="majorEastAsia" w:hAnsiTheme="majorEastAsia" w:hint="eastAsia"/>
          <w:sz w:val="24"/>
          <w:szCs w:val="24"/>
        </w:rPr>
        <w:lastRenderedPageBreak/>
        <w:t>工作联席会议制度》等。</w:t>
      </w:r>
    </w:p>
    <w:p w:rsidR="000143FC" w:rsidRPr="00FF1044" w:rsidRDefault="009F2D5F"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四</w:t>
      </w:r>
      <w:r w:rsidR="000143FC" w:rsidRPr="00FF1044">
        <w:rPr>
          <w:rFonts w:asciiTheme="majorEastAsia" w:eastAsiaTheme="majorEastAsia" w:hAnsiTheme="majorEastAsia" w:hint="eastAsia"/>
          <w:b/>
          <w:sz w:val="24"/>
          <w:szCs w:val="24"/>
        </w:rPr>
        <w:t>、影响项目执行的因素</w:t>
      </w:r>
    </w:p>
    <w:p w:rsidR="000D4899" w:rsidRPr="00FF1044" w:rsidRDefault="000D4899"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 xml:space="preserve">    一是因为个别学生体质问题（如心脏病）等</w:t>
      </w:r>
      <w:r w:rsidR="00A13E62" w:rsidRPr="00FF1044">
        <w:rPr>
          <w:rFonts w:asciiTheme="majorEastAsia" w:eastAsiaTheme="majorEastAsia" w:hAnsiTheme="majorEastAsia" w:hint="eastAsia"/>
          <w:sz w:val="24"/>
          <w:szCs w:val="24"/>
        </w:rPr>
        <w:t>不可控的</w:t>
      </w:r>
      <w:r w:rsidRPr="00FF1044">
        <w:rPr>
          <w:rFonts w:asciiTheme="majorEastAsia" w:eastAsiaTheme="majorEastAsia" w:hAnsiTheme="majorEastAsia" w:hint="eastAsia"/>
          <w:sz w:val="24"/>
          <w:szCs w:val="24"/>
        </w:rPr>
        <w:t>客观原因导致教学效果、目标达成率受到</w:t>
      </w:r>
      <w:r w:rsidR="00682956" w:rsidRPr="00FF1044">
        <w:rPr>
          <w:rFonts w:asciiTheme="majorEastAsia" w:eastAsiaTheme="majorEastAsia" w:hAnsiTheme="majorEastAsia" w:hint="eastAsia"/>
          <w:sz w:val="24"/>
          <w:szCs w:val="24"/>
        </w:rPr>
        <w:t>一定</w:t>
      </w:r>
      <w:r w:rsidRPr="00FF1044">
        <w:rPr>
          <w:rFonts w:asciiTheme="majorEastAsia" w:eastAsiaTheme="majorEastAsia" w:hAnsiTheme="majorEastAsia" w:hint="eastAsia"/>
          <w:sz w:val="24"/>
          <w:szCs w:val="24"/>
        </w:rPr>
        <w:t>影响。</w:t>
      </w:r>
    </w:p>
    <w:p w:rsidR="005902B1" w:rsidRPr="00FF1044" w:rsidRDefault="00E355D6" w:rsidP="00FF1044">
      <w:pPr>
        <w:spacing w:line="360" w:lineRule="auto"/>
        <w:ind w:firstLineChars="200" w:firstLine="480"/>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二</w:t>
      </w:r>
      <w:r w:rsidR="005902B1" w:rsidRPr="00FF1044">
        <w:rPr>
          <w:rFonts w:asciiTheme="majorEastAsia" w:eastAsiaTheme="majorEastAsia" w:hAnsiTheme="majorEastAsia" w:hint="eastAsia"/>
          <w:sz w:val="24"/>
          <w:szCs w:val="24"/>
        </w:rPr>
        <w:t>是资金保障。按照实际所需求的资金额度，给予全额准时拨付，是确保项目执行的关键。</w:t>
      </w:r>
    </w:p>
    <w:p w:rsidR="000143FC" w:rsidRPr="00FF1044" w:rsidRDefault="009F2D5F" w:rsidP="00FF1044">
      <w:pPr>
        <w:spacing w:line="360" w:lineRule="auto"/>
        <w:rPr>
          <w:rFonts w:asciiTheme="majorEastAsia" w:eastAsiaTheme="majorEastAsia" w:hAnsiTheme="majorEastAsia"/>
          <w:b/>
          <w:sz w:val="24"/>
          <w:szCs w:val="24"/>
        </w:rPr>
      </w:pPr>
      <w:r w:rsidRPr="00FF1044">
        <w:rPr>
          <w:rFonts w:asciiTheme="majorEastAsia" w:eastAsiaTheme="majorEastAsia" w:hAnsiTheme="majorEastAsia" w:hint="eastAsia"/>
          <w:b/>
          <w:sz w:val="24"/>
          <w:szCs w:val="24"/>
        </w:rPr>
        <w:t>五</w:t>
      </w:r>
      <w:r w:rsidR="000143FC" w:rsidRPr="00FF1044">
        <w:rPr>
          <w:rFonts w:asciiTheme="majorEastAsia" w:eastAsiaTheme="majorEastAsia" w:hAnsiTheme="majorEastAsia" w:hint="eastAsia"/>
          <w:b/>
          <w:sz w:val="24"/>
          <w:szCs w:val="24"/>
        </w:rPr>
        <w:t>、附件</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1、</w:t>
      </w:r>
      <w:r w:rsidR="0042797B" w:rsidRPr="00FF1044">
        <w:rPr>
          <w:rFonts w:asciiTheme="majorEastAsia" w:eastAsiaTheme="majorEastAsia" w:hAnsiTheme="majorEastAsia" w:hint="eastAsia"/>
          <w:sz w:val="24"/>
          <w:szCs w:val="24"/>
        </w:rPr>
        <w:t>教育部关于学习贯彻《中共中央国务院关于加强青少年体育增强青少年体质的意见》的通知</w:t>
      </w:r>
      <w:r w:rsidR="00B12E71" w:rsidRPr="00FF1044">
        <w:rPr>
          <w:rFonts w:asciiTheme="majorEastAsia" w:eastAsiaTheme="majorEastAsia" w:hAnsiTheme="majorEastAsia" w:hint="eastAsia"/>
          <w:sz w:val="24"/>
          <w:szCs w:val="24"/>
        </w:rPr>
        <w:t>；</w:t>
      </w:r>
    </w:p>
    <w:p w:rsidR="000143FC" w:rsidRPr="00FF1044"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2、</w:t>
      </w:r>
      <w:r w:rsidR="0042797B" w:rsidRPr="00FF1044">
        <w:rPr>
          <w:rFonts w:asciiTheme="majorEastAsia" w:eastAsiaTheme="majorEastAsia" w:hAnsiTheme="majorEastAsia" w:hint="eastAsia"/>
          <w:sz w:val="24"/>
          <w:szCs w:val="24"/>
        </w:rPr>
        <w:t>《上海市中长期教育改革和发展规划纲要(2010—2020年)》(沪委发[2010]5号)文件</w:t>
      </w:r>
      <w:r w:rsidR="00B12E71" w:rsidRPr="00FF1044">
        <w:rPr>
          <w:rFonts w:asciiTheme="majorEastAsia" w:eastAsiaTheme="majorEastAsia" w:hAnsiTheme="majorEastAsia" w:hint="eastAsia"/>
          <w:sz w:val="24"/>
          <w:szCs w:val="24"/>
        </w:rPr>
        <w:t>；</w:t>
      </w:r>
    </w:p>
    <w:p w:rsidR="000143FC" w:rsidRDefault="000143FC" w:rsidP="00FF1044">
      <w:pPr>
        <w:spacing w:line="360" w:lineRule="auto"/>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t>3、</w:t>
      </w:r>
      <w:r w:rsidR="0042797B" w:rsidRPr="00FF1044">
        <w:rPr>
          <w:rFonts w:asciiTheme="majorEastAsia" w:eastAsiaTheme="majorEastAsia" w:hAnsiTheme="majorEastAsia" w:hint="eastAsia"/>
          <w:sz w:val="24"/>
          <w:szCs w:val="24"/>
        </w:rPr>
        <w:t>《教育部办公厅关于在义务教育阶段中小学实施“体育、艺术2+1项目”的通知》（教体艺厅[2011]4号）</w:t>
      </w:r>
      <w:r w:rsidR="00B12E71" w:rsidRPr="00FF1044">
        <w:rPr>
          <w:rFonts w:asciiTheme="majorEastAsia" w:eastAsiaTheme="majorEastAsia" w:hAnsiTheme="majorEastAsia" w:hint="eastAsia"/>
          <w:sz w:val="24"/>
          <w:szCs w:val="24"/>
        </w:rPr>
        <w:t>；</w:t>
      </w:r>
    </w:p>
    <w:p w:rsidR="009E220E" w:rsidRPr="00FF1044" w:rsidRDefault="009E220E" w:rsidP="00FF1044">
      <w:pPr>
        <w:spacing w:line="360" w:lineRule="auto"/>
        <w:rPr>
          <w:rFonts w:asciiTheme="majorEastAsia" w:eastAsiaTheme="majorEastAsia" w:hAnsiTheme="majorEastAsia"/>
          <w:sz w:val="24"/>
          <w:szCs w:val="24"/>
        </w:rPr>
      </w:pPr>
      <w:r w:rsidRPr="009E220E">
        <w:rPr>
          <w:rFonts w:asciiTheme="majorEastAsia" w:eastAsiaTheme="majorEastAsia" w:hAnsiTheme="majorEastAsia" w:hint="eastAsia"/>
          <w:sz w:val="24"/>
          <w:szCs w:val="24"/>
        </w:rPr>
        <w:t>4</w:t>
      </w:r>
      <w:r>
        <w:rPr>
          <w:rFonts w:hint="eastAsia"/>
          <w:sz w:val="24"/>
          <w:szCs w:val="24"/>
        </w:rPr>
        <w:t>、</w:t>
      </w:r>
      <w:r w:rsidRPr="009E220E">
        <w:rPr>
          <w:sz w:val="24"/>
          <w:szCs w:val="24"/>
        </w:rPr>
        <w:t>《中共上海市委、上海市人民政府关于切实</w:t>
      </w:r>
      <w:r>
        <w:rPr>
          <w:sz w:val="24"/>
          <w:szCs w:val="24"/>
        </w:rPr>
        <w:t>提高青少年学生身心健康水平实施学生健康促进工程的通知》（沪委发</w:t>
      </w:r>
      <w:r>
        <w:rPr>
          <w:rFonts w:hint="eastAsia"/>
          <w:sz w:val="24"/>
          <w:szCs w:val="24"/>
        </w:rPr>
        <w:t>【</w:t>
      </w:r>
      <w:r w:rsidRPr="009E220E">
        <w:rPr>
          <w:sz w:val="24"/>
          <w:szCs w:val="24"/>
        </w:rPr>
        <w:t>2011</w:t>
      </w:r>
      <w:r w:rsidRPr="009E220E">
        <w:rPr>
          <w:sz w:val="24"/>
          <w:szCs w:val="24"/>
        </w:rPr>
        <w:t>】</w:t>
      </w:r>
      <w:r w:rsidRPr="009E220E">
        <w:rPr>
          <w:sz w:val="24"/>
          <w:szCs w:val="24"/>
        </w:rPr>
        <w:t>15</w:t>
      </w:r>
      <w:r w:rsidRPr="009E220E">
        <w:rPr>
          <w:sz w:val="24"/>
          <w:szCs w:val="24"/>
        </w:rPr>
        <w:t>号</w:t>
      </w:r>
    </w:p>
    <w:p w:rsidR="000143FC"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5</w:t>
      </w:r>
      <w:r w:rsidR="000143FC" w:rsidRPr="00FF1044">
        <w:rPr>
          <w:rFonts w:asciiTheme="majorEastAsia" w:eastAsiaTheme="majorEastAsia" w:hAnsiTheme="majorEastAsia" w:hint="eastAsia"/>
          <w:sz w:val="24"/>
          <w:szCs w:val="24"/>
        </w:rPr>
        <w:t>、《闵行区全民健身实施计划（2011—2015年）》</w:t>
      </w:r>
      <w:r w:rsidR="00A8674C" w:rsidRPr="00FF1044">
        <w:rPr>
          <w:rFonts w:asciiTheme="majorEastAsia" w:eastAsiaTheme="majorEastAsia" w:hAnsiTheme="majorEastAsia" w:hint="eastAsia"/>
          <w:sz w:val="24"/>
          <w:szCs w:val="24"/>
        </w:rPr>
        <w:t>；</w:t>
      </w:r>
    </w:p>
    <w:p w:rsidR="00A8674C"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6</w:t>
      </w:r>
      <w:r w:rsidR="00A8674C" w:rsidRPr="00FF1044">
        <w:rPr>
          <w:rFonts w:asciiTheme="majorEastAsia" w:eastAsiaTheme="majorEastAsia" w:hAnsiTheme="majorEastAsia" w:hint="eastAsia"/>
          <w:sz w:val="24"/>
          <w:szCs w:val="24"/>
        </w:rPr>
        <w:t>、各子项目预算明细</w:t>
      </w:r>
      <w:r w:rsidR="00122FB4" w:rsidRPr="00FF1044">
        <w:rPr>
          <w:rFonts w:asciiTheme="majorEastAsia" w:eastAsiaTheme="majorEastAsia" w:hAnsiTheme="majorEastAsia" w:hint="eastAsia"/>
          <w:sz w:val="24"/>
          <w:szCs w:val="24"/>
        </w:rPr>
        <w:t>汇总</w:t>
      </w:r>
      <w:r w:rsidR="00A8674C" w:rsidRPr="00FF1044">
        <w:rPr>
          <w:rFonts w:asciiTheme="majorEastAsia" w:eastAsiaTheme="majorEastAsia" w:hAnsiTheme="majorEastAsia" w:hint="eastAsia"/>
          <w:sz w:val="24"/>
          <w:szCs w:val="24"/>
        </w:rPr>
        <w:t>；</w:t>
      </w:r>
    </w:p>
    <w:p w:rsidR="000143FC"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7</w:t>
      </w:r>
      <w:r w:rsidR="000143FC" w:rsidRPr="00FF1044">
        <w:rPr>
          <w:rFonts w:asciiTheme="majorEastAsia" w:eastAsiaTheme="majorEastAsia" w:hAnsiTheme="majorEastAsia" w:hint="eastAsia"/>
          <w:sz w:val="24"/>
          <w:szCs w:val="24"/>
        </w:rPr>
        <w:t>、《</w:t>
      </w:r>
      <w:r w:rsidR="00D8784A" w:rsidRPr="00FF1044">
        <w:rPr>
          <w:rFonts w:asciiTheme="majorEastAsia" w:eastAsiaTheme="majorEastAsia" w:hAnsiTheme="majorEastAsia" w:hint="eastAsia"/>
          <w:sz w:val="24"/>
          <w:szCs w:val="24"/>
        </w:rPr>
        <w:t>闵行区校园足球教学工作联席会议制度</w:t>
      </w:r>
      <w:r w:rsidR="000143FC" w:rsidRPr="00FF1044">
        <w:rPr>
          <w:rFonts w:asciiTheme="majorEastAsia" w:eastAsiaTheme="majorEastAsia" w:hAnsiTheme="majorEastAsia" w:hint="eastAsia"/>
          <w:sz w:val="24"/>
          <w:szCs w:val="24"/>
        </w:rPr>
        <w:t>》</w:t>
      </w:r>
      <w:r w:rsidR="00D8784A" w:rsidRPr="00FF1044">
        <w:rPr>
          <w:rFonts w:asciiTheme="majorEastAsia" w:eastAsiaTheme="majorEastAsia" w:hAnsiTheme="majorEastAsia" w:hint="eastAsia"/>
          <w:sz w:val="24"/>
          <w:szCs w:val="24"/>
        </w:rPr>
        <w:t>；</w:t>
      </w:r>
    </w:p>
    <w:p w:rsidR="00D8784A"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8</w:t>
      </w:r>
      <w:r w:rsidR="00D8784A" w:rsidRPr="00FF1044">
        <w:rPr>
          <w:rFonts w:asciiTheme="majorEastAsia" w:eastAsiaTheme="majorEastAsia" w:hAnsiTheme="majorEastAsia" w:hint="eastAsia"/>
          <w:sz w:val="24"/>
          <w:szCs w:val="24"/>
        </w:rPr>
        <w:t>、《专项资金管理暂行办法》；</w:t>
      </w:r>
    </w:p>
    <w:p w:rsidR="00D8784A"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9</w:t>
      </w:r>
      <w:r w:rsidR="00D8784A" w:rsidRPr="00FF1044">
        <w:rPr>
          <w:rFonts w:asciiTheme="majorEastAsia" w:eastAsiaTheme="majorEastAsia" w:hAnsiTheme="majorEastAsia" w:hint="eastAsia"/>
          <w:sz w:val="24"/>
          <w:szCs w:val="24"/>
        </w:rPr>
        <w:t>、《闵行区教育系统财务管理若干规定(财务管理30条)》；</w:t>
      </w:r>
    </w:p>
    <w:p w:rsidR="00D8784A"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10</w:t>
      </w:r>
      <w:r w:rsidR="00D8784A" w:rsidRPr="00FF1044">
        <w:rPr>
          <w:rFonts w:asciiTheme="majorEastAsia" w:eastAsiaTheme="majorEastAsia" w:hAnsiTheme="majorEastAsia" w:hint="eastAsia"/>
          <w:sz w:val="24"/>
          <w:szCs w:val="24"/>
        </w:rPr>
        <w:t>、《</w:t>
      </w:r>
      <w:r w:rsidR="00AC3EA0" w:rsidRPr="00FF1044">
        <w:rPr>
          <w:rFonts w:asciiTheme="majorEastAsia" w:eastAsiaTheme="majorEastAsia" w:hAnsiTheme="majorEastAsia" w:hint="eastAsia"/>
          <w:sz w:val="24"/>
          <w:szCs w:val="24"/>
        </w:rPr>
        <w:t>财务科工作制度</w:t>
      </w:r>
      <w:r w:rsidR="00D8784A" w:rsidRPr="00FF1044">
        <w:rPr>
          <w:rFonts w:asciiTheme="majorEastAsia" w:eastAsiaTheme="majorEastAsia" w:hAnsiTheme="majorEastAsia" w:hint="eastAsia"/>
          <w:sz w:val="24"/>
          <w:szCs w:val="24"/>
        </w:rPr>
        <w:t>》</w:t>
      </w:r>
      <w:r w:rsidR="00186965" w:rsidRPr="00FF1044">
        <w:rPr>
          <w:rFonts w:asciiTheme="majorEastAsia" w:eastAsiaTheme="majorEastAsia" w:hAnsiTheme="majorEastAsia" w:hint="eastAsia"/>
          <w:sz w:val="24"/>
          <w:szCs w:val="24"/>
        </w:rPr>
        <w:t>。</w:t>
      </w:r>
    </w:p>
    <w:p w:rsidR="00C35903" w:rsidRPr="00FF1044" w:rsidRDefault="009E220E" w:rsidP="00FF1044">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11</w:t>
      </w:r>
      <w:r w:rsidR="00C35903" w:rsidRPr="00FF1044">
        <w:rPr>
          <w:rFonts w:asciiTheme="majorEastAsia" w:eastAsiaTheme="majorEastAsia" w:hAnsiTheme="majorEastAsia" w:hint="eastAsia"/>
          <w:sz w:val="24"/>
          <w:szCs w:val="24"/>
        </w:rPr>
        <w:t>、具备相关条件的学校明细汇总</w:t>
      </w:r>
    </w:p>
    <w:p w:rsidR="00030BDE" w:rsidRPr="009E220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30BDE" w:rsidRDefault="00030BDE" w:rsidP="00FF1044">
      <w:pPr>
        <w:spacing w:line="360" w:lineRule="auto"/>
        <w:jc w:val="right"/>
        <w:rPr>
          <w:rFonts w:asciiTheme="majorEastAsia" w:eastAsiaTheme="majorEastAsia" w:hAnsiTheme="majorEastAsia"/>
          <w:sz w:val="24"/>
          <w:szCs w:val="24"/>
        </w:rPr>
      </w:pPr>
    </w:p>
    <w:p w:rsidR="000143FC" w:rsidRPr="00FF1044" w:rsidRDefault="000143FC" w:rsidP="00FF1044">
      <w:pPr>
        <w:spacing w:line="360" w:lineRule="auto"/>
        <w:jc w:val="right"/>
        <w:rPr>
          <w:rFonts w:asciiTheme="majorEastAsia" w:eastAsiaTheme="majorEastAsia" w:hAnsiTheme="majorEastAsia"/>
          <w:sz w:val="24"/>
          <w:szCs w:val="24"/>
        </w:rPr>
      </w:pPr>
      <w:r w:rsidRPr="00FF1044">
        <w:rPr>
          <w:rFonts w:asciiTheme="majorEastAsia" w:eastAsiaTheme="majorEastAsia" w:hAnsiTheme="majorEastAsia" w:hint="eastAsia"/>
          <w:sz w:val="24"/>
          <w:szCs w:val="24"/>
        </w:rPr>
        <w:lastRenderedPageBreak/>
        <w:t>填报单位：闵行区教育局</w:t>
      </w:r>
    </w:p>
    <w:p w:rsidR="006B6933" w:rsidRPr="000143FC" w:rsidRDefault="000143FC" w:rsidP="00FF1044">
      <w:pPr>
        <w:spacing w:line="360" w:lineRule="auto"/>
        <w:jc w:val="right"/>
        <w:rPr>
          <w:rFonts w:asciiTheme="majorEastAsia" w:eastAsiaTheme="majorEastAsia" w:hAnsiTheme="majorEastAsia"/>
          <w:sz w:val="28"/>
          <w:szCs w:val="28"/>
        </w:rPr>
      </w:pPr>
      <w:r w:rsidRPr="00FF1044">
        <w:rPr>
          <w:rFonts w:asciiTheme="majorEastAsia" w:eastAsiaTheme="majorEastAsia" w:hAnsiTheme="majorEastAsia" w:hint="eastAsia"/>
          <w:sz w:val="24"/>
          <w:szCs w:val="24"/>
        </w:rPr>
        <w:t>日期：2014年12</w:t>
      </w:r>
      <w:r w:rsidRPr="000143FC">
        <w:rPr>
          <w:rFonts w:asciiTheme="majorEastAsia" w:eastAsiaTheme="majorEastAsia" w:hAnsiTheme="majorEastAsia" w:hint="eastAsia"/>
          <w:sz w:val="28"/>
          <w:szCs w:val="28"/>
        </w:rPr>
        <w:t>月</w:t>
      </w:r>
      <w:r w:rsidR="00AA0F4B">
        <w:rPr>
          <w:rFonts w:asciiTheme="majorEastAsia" w:eastAsiaTheme="majorEastAsia" w:hAnsiTheme="majorEastAsia"/>
          <w:sz w:val="28"/>
          <w:szCs w:val="28"/>
        </w:rPr>
        <w:t>11</w:t>
      </w:r>
      <w:r w:rsidRPr="000143FC">
        <w:rPr>
          <w:rFonts w:asciiTheme="majorEastAsia" w:eastAsiaTheme="majorEastAsia" w:hAnsiTheme="majorEastAsia" w:hint="eastAsia"/>
          <w:sz w:val="28"/>
          <w:szCs w:val="28"/>
        </w:rPr>
        <w:t>日</w:t>
      </w:r>
    </w:p>
    <w:sectPr w:rsidR="006B6933" w:rsidRPr="000143FC" w:rsidSect="001978F7">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8D259E" w15:done="0"/>
  <w15:commentEx w15:paraId="37E6E76F" w15:done="0"/>
  <w15:commentEx w15:paraId="7CBC012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356" w:rsidRDefault="00E04356" w:rsidP="00767D51">
      <w:r>
        <w:separator/>
      </w:r>
    </w:p>
  </w:endnote>
  <w:endnote w:type="continuationSeparator" w:id="0">
    <w:p w:rsidR="00E04356" w:rsidRDefault="00E04356" w:rsidP="0076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356" w:rsidRDefault="00E04356" w:rsidP="00767D51">
      <w:r>
        <w:separator/>
      </w:r>
    </w:p>
  </w:footnote>
  <w:footnote w:type="continuationSeparator" w:id="0">
    <w:p w:rsidR="00E04356" w:rsidRDefault="00E04356" w:rsidP="00767D5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ot">
    <w15:presenceInfo w15:providerId="None" w15:userId="Root"/>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43FC"/>
    <w:rsid w:val="0001399A"/>
    <w:rsid w:val="000143FC"/>
    <w:rsid w:val="00030BDE"/>
    <w:rsid w:val="0003488F"/>
    <w:rsid w:val="00034F8C"/>
    <w:rsid w:val="0005368D"/>
    <w:rsid w:val="000746BC"/>
    <w:rsid w:val="000D4899"/>
    <w:rsid w:val="000F391C"/>
    <w:rsid w:val="000F6526"/>
    <w:rsid w:val="00105807"/>
    <w:rsid w:val="00116643"/>
    <w:rsid w:val="00117B2B"/>
    <w:rsid w:val="00120641"/>
    <w:rsid w:val="00122FB4"/>
    <w:rsid w:val="001242AC"/>
    <w:rsid w:val="001366D2"/>
    <w:rsid w:val="00164410"/>
    <w:rsid w:val="0018685B"/>
    <w:rsid w:val="00186965"/>
    <w:rsid w:val="00194D75"/>
    <w:rsid w:val="001978F7"/>
    <w:rsid w:val="001A1553"/>
    <w:rsid w:val="001B6E31"/>
    <w:rsid w:val="001C64AD"/>
    <w:rsid w:val="00204EE9"/>
    <w:rsid w:val="00245D77"/>
    <w:rsid w:val="002929B6"/>
    <w:rsid w:val="002F166F"/>
    <w:rsid w:val="002F318C"/>
    <w:rsid w:val="00320447"/>
    <w:rsid w:val="0032376F"/>
    <w:rsid w:val="00356901"/>
    <w:rsid w:val="00397A25"/>
    <w:rsid w:val="003A10C3"/>
    <w:rsid w:val="003A3D55"/>
    <w:rsid w:val="003D49F1"/>
    <w:rsid w:val="003E33AC"/>
    <w:rsid w:val="0042797B"/>
    <w:rsid w:val="00440365"/>
    <w:rsid w:val="00470192"/>
    <w:rsid w:val="00473823"/>
    <w:rsid w:val="004927A3"/>
    <w:rsid w:val="004A041B"/>
    <w:rsid w:val="004A7C20"/>
    <w:rsid w:val="004B6F7C"/>
    <w:rsid w:val="004D0594"/>
    <w:rsid w:val="004D127C"/>
    <w:rsid w:val="004F3077"/>
    <w:rsid w:val="00503DEE"/>
    <w:rsid w:val="0053630E"/>
    <w:rsid w:val="0053645D"/>
    <w:rsid w:val="00541713"/>
    <w:rsid w:val="00571985"/>
    <w:rsid w:val="0058772F"/>
    <w:rsid w:val="005902B1"/>
    <w:rsid w:val="005A0B8D"/>
    <w:rsid w:val="005D7809"/>
    <w:rsid w:val="005E7939"/>
    <w:rsid w:val="00606925"/>
    <w:rsid w:val="00625D31"/>
    <w:rsid w:val="00637ABF"/>
    <w:rsid w:val="0068283F"/>
    <w:rsid w:val="00682956"/>
    <w:rsid w:val="006B5E26"/>
    <w:rsid w:val="006B6933"/>
    <w:rsid w:val="006F26A7"/>
    <w:rsid w:val="00741EF7"/>
    <w:rsid w:val="00742E65"/>
    <w:rsid w:val="00763F9D"/>
    <w:rsid w:val="00767D51"/>
    <w:rsid w:val="007865E7"/>
    <w:rsid w:val="007A06A9"/>
    <w:rsid w:val="007A32B6"/>
    <w:rsid w:val="007B5CB2"/>
    <w:rsid w:val="007C2A6D"/>
    <w:rsid w:val="007E1761"/>
    <w:rsid w:val="00815A8B"/>
    <w:rsid w:val="00846495"/>
    <w:rsid w:val="00851D57"/>
    <w:rsid w:val="00883880"/>
    <w:rsid w:val="008B478C"/>
    <w:rsid w:val="008C7F5A"/>
    <w:rsid w:val="008D378F"/>
    <w:rsid w:val="008E7565"/>
    <w:rsid w:val="00903824"/>
    <w:rsid w:val="0092238B"/>
    <w:rsid w:val="009545AC"/>
    <w:rsid w:val="00975F3C"/>
    <w:rsid w:val="00981CA4"/>
    <w:rsid w:val="009B1DCD"/>
    <w:rsid w:val="009D1332"/>
    <w:rsid w:val="009E220E"/>
    <w:rsid w:val="009E2895"/>
    <w:rsid w:val="009F2D5F"/>
    <w:rsid w:val="009F5900"/>
    <w:rsid w:val="00A05DCE"/>
    <w:rsid w:val="00A06368"/>
    <w:rsid w:val="00A13E62"/>
    <w:rsid w:val="00A228F1"/>
    <w:rsid w:val="00A41F8D"/>
    <w:rsid w:val="00A8674C"/>
    <w:rsid w:val="00AA0F4B"/>
    <w:rsid w:val="00AC3680"/>
    <w:rsid w:val="00AC3EA0"/>
    <w:rsid w:val="00AC45BC"/>
    <w:rsid w:val="00AE164C"/>
    <w:rsid w:val="00B12E71"/>
    <w:rsid w:val="00B26AF4"/>
    <w:rsid w:val="00B840E3"/>
    <w:rsid w:val="00BB625E"/>
    <w:rsid w:val="00C03543"/>
    <w:rsid w:val="00C35903"/>
    <w:rsid w:val="00C639AB"/>
    <w:rsid w:val="00C71E7B"/>
    <w:rsid w:val="00C840B8"/>
    <w:rsid w:val="00CA6B92"/>
    <w:rsid w:val="00CB0ED1"/>
    <w:rsid w:val="00CB49AC"/>
    <w:rsid w:val="00CC188C"/>
    <w:rsid w:val="00D05DC5"/>
    <w:rsid w:val="00D31478"/>
    <w:rsid w:val="00D502C6"/>
    <w:rsid w:val="00D76D7B"/>
    <w:rsid w:val="00D8784A"/>
    <w:rsid w:val="00DA005A"/>
    <w:rsid w:val="00DB18E1"/>
    <w:rsid w:val="00DE21EA"/>
    <w:rsid w:val="00E02B1E"/>
    <w:rsid w:val="00E04356"/>
    <w:rsid w:val="00E355D6"/>
    <w:rsid w:val="00E71B88"/>
    <w:rsid w:val="00E76D09"/>
    <w:rsid w:val="00E80443"/>
    <w:rsid w:val="00ED5298"/>
    <w:rsid w:val="00EE0D7C"/>
    <w:rsid w:val="00F1442E"/>
    <w:rsid w:val="00F36334"/>
    <w:rsid w:val="00F479C7"/>
    <w:rsid w:val="00F50CEA"/>
    <w:rsid w:val="00F60829"/>
    <w:rsid w:val="00F74D60"/>
    <w:rsid w:val="00F80910"/>
    <w:rsid w:val="00F91A17"/>
    <w:rsid w:val="00FB10E5"/>
    <w:rsid w:val="00FB273F"/>
    <w:rsid w:val="00FF10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9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7D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7D51"/>
    <w:rPr>
      <w:sz w:val="18"/>
      <w:szCs w:val="18"/>
    </w:rPr>
  </w:style>
  <w:style w:type="paragraph" w:styleId="a4">
    <w:name w:val="footer"/>
    <w:basedOn w:val="a"/>
    <w:link w:val="Char0"/>
    <w:uiPriority w:val="99"/>
    <w:unhideWhenUsed/>
    <w:rsid w:val="00767D51"/>
    <w:pPr>
      <w:tabs>
        <w:tab w:val="center" w:pos="4153"/>
        <w:tab w:val="right" w:pos="8306"/>
      </w:tabs>
      <w:snapToGrid w:val="0"/>
      <w:jc w:val="left"/>
    </w:pPr>
    <w:rPr>
      <w:sz w:val="18"/>
      <w:szCs w:val="18"/>
    </w:rPr>
  </w:style>
  <w:style w:type="character" w:customStyle="1" w:styleId="Char0">
    <w:name w:val="页脚 Char"/>
    <w:basedOn w:val="a0"/>
    <w:link w:val="a4"/>
    <w:uiPriority w:val="99"/>
    <w:rsid w:val="00767D51"/>
    <w:rPr>
      <w:sz w:val="18"/>
      <w:szCs w:val="18"/>
    </w:rPr>
  </w:style>
  <w:style w:type="character" w:styleId="a5">
    <w:name w:val="annotation reference"/>
    <w:basedOn w:val="a0"/>
    <w:uiPriority w:val="99"/>
    <w:semiHidden/>
    <w:unhideWhenUsed/>
    <w:rsid w:val="00FB273F"/>
    <w:rPr>
      <w:sz w:val="21"/>
      <w:szCs w:val="21"/>
    </w:rPr>
  </w:style>
  <w:style w:type="paragraph" w:styleId="a6">
    <w:name w:val="annotation text"/>
    <w:basedOn w:val="a"/>
    <w:link w:val="Char1"/>
    <w:uiPriority w:val="99"/>
    <w:semiHidden/>
    <w:unhideWhenUsed/>
    <w:rsid w:val="00FB273F"/>
    <w:pPr>
      <w:jc w:val="left"/>
    </w:pPr>
  </w:style>
  <w:style w:type="character" w:customStyle="1" w:styleId="Char1">
    <w:name w:val="批注文字 Char"/>
    <w:basedOn w:val="a0"/>
    <w:link w:val="a6"/>
    <w:uiPriority w:val="99"/>
    <w:semiHidden/>
    <w:rsid w:val="00FB273F"/>
  </w:style>
  <w:style w:type="paragraph" w:styleId="a7">
    <w:name w:val="annotation subject"/>
    <w:basedOn w:val="a6"/>
    <w:next w:val="a6"/>
    <w:link w:val="Char2"/>
    <w:uiPriority w:val="99"/>
    <w:semiHidden/>
    <w:unhideWhenUsed/>
    <w:rsid w:val="00FB273F"/>
    <w:rPr>
      <w:b/>
      <w:bCs/>
    </w:rPr>
  </w:style>
  <w:style w:type="character" w:customStyle="1" w:styleId="Char2">
    <w:name w:val="批注主题 Char"/>
    <w:basedOn w:val="Char1"/>
    <w:link w:val="a7"/>
    <w:uiPriority w:val="99"/>
    <w:semiHidden/>
    <w:rsid w:val="00FB273F"/>
    <w:rPr>
      <w:b/>
      <w:bCs/>
    </w:rPr>
  </w:style>
  <w:style w:type="paragraph" w:styleId="a8">
    <w:name w:val="Balloon Text"/>
    <w:basedOn w:val="a"/>
    <w:link w:val="Char3"/>
    <w:uiPriority w:val="99"/>
    <w:semiHidden/>
    <w:unhideWhenUsed/>
    <w:rsid w:val="00FB273F"/>
    <w:rPr>
      <w:sz w:val="18"/>
      <w:szCs w:val="18"/>
    </w:rPr>
  </w:style>
  <w:style w:type="character" w:customStyle="1" w:styleId="Char3">
    <w:name w:val="批注框文本 Char"/>
    <w:basedOn w:val="a0"/>
    <w:link w:val="a8"/>
    <w:uiPriority w:val="99"/>
    <w:semiHidden/>
    <w:rsid w:val="00FB273F"/>
    <w:rPr>
      <w:sz w:val="18"/>
      <w:szCs w:val="18"/>
    </w:rPr>
  </w:style>
  <w:style w:type="paragraph" w:customStyle="1" w:styleId="1">
    <w:name w:val="列出段落1"/>
    <w:basedOn w:val="a"/>
    <w:qFormat/>
    <w:rsid w:val="00637ABF"/>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35401048">
      <w:bodyDiv w:val="1"/>
      <w:marLeft w:val="0"/>
      <w:marRight w:val="0"/>
      <w:marTop w:val="0"/>
      <w:marBottom w:val="0"/>
      <w:divBdr>
        <w:top w:val="none" w:sz="0" w:space="0" w:color="auto"/>
        <w:left w:val="none" w:sz="0" w:space="0" w:color="auto"/>
        <w:bottom w:val="none" w:sz="0" w:space="0" w:color="auto"/>
        <w:right w:val="none" w:sz="0" w:space="0" w:color="auto"/>
      </w:divBdr>
    </w:div>
    <w:div w:id="273708645">
      <w:bodyDiv w:val="1"/>
      <w:marLeft w:val="0"/>
      <w:marRight w:val="0"/>
      <w:marTop w:val="0"/>
      <w:marBottom w:val="0"/>
      <w:divBdr>
        <w:top w:val="none" w:sz="0" w:space="0" w:color="auto"/>
        <w:left w:val="none" w:sz="0" w:space="0" w:color="auto"/>
        <w:bottom w:val="none" w:sz="0" w:space="0" w:color="auto"/>
        <w:right w:val="none" w:sz="0" w:space="0" w:color="auto"/>
      </w:divBdr>
    </w:div>
    <w:div w:id="1226837651">
      <w:bodyDiv w:val="1"/>
      <w:marLeft w:val="0"/>
      <w:marRight w:val="0"/>
      <w:marTop w:val="0"/>
      <w:marBottom w:val="0"/>
      <w:divBdr>
        <w:top w:val="none" w:sz="0" w:space="0" w:color="auto"/>
        <w:left w:val="none" w:sz="0" w:space="0" w:color="auto"/>
        <w:bottom w:val="none" w:sz="0" w:space="0" w:color="auto"/>
        <w:right w:val="none" w:sz="0" w:space="0" w:color="auto"/>
      </w:divBdr>
    </w:div>
    <w:div w:id="1238788066">
      <w:bodyDiv w:val="1"/>
      <w:marLeft w:val="0"/>
      <w:marRight w:val="0"/>
      <w:marTop w:val="0"/>
      <w:marBottom w:val="0"/>
      <w:divBdr>
        <w:top w:val="none" w:sz="0" w:space="0" w:color="auto"/>
        <w:left w:val="none" w:sz="0" w:space="0" w:color="auto"/>
        <w:bottom w:val="none" w:sz="0" w:space="0" w:color="auto"/>
        <w:right w:val="none" w:sz="0" w:space="0" w:color="auto"/>
      </w:divBdr>
    </w:div>
    <w:div w:id="1483691936">
      <w:bodyDiv w:val="1"/>
      <w:marLeft w:val="0"/>
      <w:marRight w:val="0"/>
      <w:marTop w:val="0"/>
      <w:marBottom w:val="0"/>
      <w:divBdr>
        <w:top w:val="none" w:sz="0" w:space="0" w:color="auto"/>
        <w:left w:val="none" w:sz="0" w:space="0" w:color="auto"/>
        <w:bottom w:val="none" w:sz="0" w:space="0" w:color="auto"/>
        <w:right w:val="none" w:sz="0" w:space="0" w:color="auto"/>
      </w:divBdr>
    </w:div>
    <w:div w:id="202940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CF4A1-25F3-45B6-B03A-DF400B011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8</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115</cp:revision>
  <dcterms:created xsi:type="dcterms:W3CDTF">2014-12-09T09:30:00Z</dcterms:created>
  <dcterms:modified xsi:type="dcterms:W3CDTF">2014-12-11T07:52:00Z</dcterms:modified>
</cp:coreProperties>
</file>