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4C8" w:rsidRPr="00057607" w:rsidRDefault="001B44C8" w:rsidP="001B44C8">
      <w:pPr>
        <w:jc w:val="center"/>
        <w:rPr>
          <w:rFonts w:ascii="宋体" w:hAnsi="宋体" w:hint="eastAsia"/>
          <w:b/>
          <w:color w:val="000000"/>
          <w:sz w:val="44"/>
          <w:szCs w:val="44"/>
        </w:rPr>
      </w:pPr>
      <w:proofErr w:type="gramStart"/>
      <w:r w:rsidRPr="0051199E">
        <w:rPr>
          <w:rFonts w:ascii="宋体" w:hAnsi="宋体" w:hint="eastAsia"/>
          <w:b/>
          <w:color w:val="000000"/>
          <w:sz w:val="44"/>
          <w:szCs w:val="44"/>
        </w:rPr>
        <w:t>颛</w:t>
      </w:r>
      <w:proofErr w:type="gramEnd"/>
      <w:r w:rsidRPr="0051199E">
        <w:rPr>
          <w:rFonts w:ascii="宋体" w:hAnsi="宋体" w:hint="eastAsia"/>
          <w:b/>
          <w:color w:val="000000"/>
          <w:sz w:val="44"/>
          <w:szCs w:val="44"/>
        </w:rPr>
        <w:t>桥镇人民政府重大事项决策程序规定</w:t>
      </w:r>
    </w:p>
    <w:p w:rsidR="001B44C8" w:rsidRPr="0051199E" w:rsidRDefault="001B44C8" w:rsidP="001B44C8">
      <w:pPr>
        <w:spacing w:line="560" w:lineRule="exact"/>
        <w:jc w:val="center"/>
        <w:rPr>
          <w:rFonts w:ascii="仿宋_GB2312" w:eastAsia="仿宋_GB2312" w:hAnsi="Calibri" w:cs="宋体"/>
          <w:color w:val="000000"/>
          <w:kern w:val="0"/>
          <w:sz w:val="32"/>
          <w:szCs w:val="32"/>
        </w:rPr>
      </w:pPr>
      <w:r w:rsidRPr="0051199E">
        <w:rPr>
          <w:rFonts w:ascii="仿宋_GB2312" w:eastAsia="仿宋_GB2312" w:hAnsi="Calibri" w:cs="宋体" w:hint="eastAsia"/>
          <w:color w:val="000000"/>
          <w:kern w:val="0"/>
          <w:sz w:val="32"/>
          <w:szCs w:val="32"/>
        </w:rPr>
        <w:t>（试行）</w:t>
      </w:r>
    </w:p>
    <w:p w:rsidR="001B44C8" w:rsidRPr="0051199E" w:rsidRDefault="001B44C8" w:rsidP="001B44C8">
      <w:pPr>
        <w:pStyle w:val="p0"/>
        <w:widowControl w:val="0"/>
        <w:adjustRightInd w:val="0"/>
        <w:snapToGrid w:val="0"/>
        <w:spacing w:beforeLines="50" w:line="560" w:lineRule="exact"/>
        <w:jc w:val="center"/>
        <w:rPr>
          <w:rFonts w:ascii="黑体" w:eastAsia="黑体"/>
          <w:color w:val="000000"/>
          <w:sz w:val="32"/>
          <w:szCs w:val="32"/>
        </w:rPr>
      </w:pPr>
      <w:r w:rsidRPr="0051199E">
        <w:rPr>
          <w:rFonts w:ascii="黑体" w:eastAsia="黑体" w:hint="eastAsia"/>
          <w:color w:val="000000"/>
          <w:sz w:val="32"/>
          <w:szCs w:val="32"/>
        </w:rPr>
        <w:t>第一章  总则</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color w:val="000000"/>
          <w:sz w:val="32"/>
          <w:szCs w:val="32"/>
        </w:rPr>
      </w:pPr>
      <w:r w:rsidRPr="0051199E">
        <w:rPr>
          <w:rFonts w:ascii="楷体_GB2312" w:eastAsia="楷体_GB2312" w:hint="eastAsia"/>
          <w:bCs/>
          <w:color w:val="000000"/>
          <w:sz w:val="32"/>
          <w:szCs w:val="32"/>
        </w:rPr>
        <w:t>第一条</w:t>
      </w:r>
      <w:r w:rsidRPr="0051199E">
        <w:rPr>
          <w:rFonts w:ascii="仿宋_GB2312" w:eastAsia="仿宋_GB2312" w:hint="eastAsia"/>
          <w:bCs/>
          <w:color w:val="000000"/>
          <w:sz w:val="32"/>
          <w:szCs w:val="32"/>
        </w:rPr>
        <w:t xml:space="preserve"> </w:t>
      </w:r>
      <w:r w:rsidRPr="0051199E">
        <w:rPr>
          <w:rFonts w:ascii="仿宋_GB2312" w:eastAsia="仿宋_GB2312" w:hint="eastAsia"/>
          <w:color w:val="000000"/>
          <w:sz w:val="32"/>
          <w:szCs w:val="32"/>
        </w:rPr>
        <w:t>为了规范镇政府重大事项决策行为，保障重大事项决策的科学、民主、合法，提高决策质量，根据《中华人民共和国地方各级人民代表大会和地方各级人民政府组织法》以及相关规定，以及《颛桥镇人民政府工作规则（暂行）》，结合本镇实际，制定本规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第二条</w:t>
      </w:r>
      <w:r w:rsidRPr="0051199E">
        <w:rPr>
          <w:rFonts w:ascii="仿宋_GB2312" w:eastAsia="仿宋_GB2312" w:hint="eastAsia"/>
          <w:bCs/>
          <w:color w:val="000000"/>
          <w:sz w:val="32"/>
          <w:szCs w:val="32"/>
        </w:rPr>
        <w:t xml:space="preserve"> 本规定所称的重大事项决策，是指镇政府在依法履行职责过程中，对关系本行政区域内经济社会发展全局、社会涉及面广、与人民群众利益密切相关的重大事项所</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的决定。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本规定适用于本镇政府的重大事项决策的制定、执行、评估、监督等行为。</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第三条</w:t>
      </w:r>
      <w:r w:rsidRPr="0051199E">
        <w:rPr>
          <w:rFonts w:ascii="仿宋_GB2312" w:eastAsia="仿宋_GB2312" w:hint="eastAsia"/>
          <w:bCs/>
          <w:color w:val="000000"/>
          <w:sz w:val="32"/>
          <w:szCs w:val="32"/>
        </w:rPr>
        <w:t xml:space="preserve"> 重大事项决策应当遵循科学、民主、合法的原则，坚持公众参与、专家论证、风险评估、合法性审查与集体讨论决定相结合。</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除依法应当保密的内容外，重大事项决策结果应当向社会公开。</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pacing w:val="-4"/>
          <w:sz w:val="32"/>
          <w:szCs w:val="32"/>
        </w:rPr>
      </w:pPr>
      <w:r w:rsidRPr="0051199E">
        <w:rPr>
          <w:rFonts w:ascii="楷体_GB2312" w:eastAsia="楷体_GB2312" w:hint="eastAsia"/>
          <w:bCs/>
          <w:color w:val="000000"/>
          <w:sz w:val="32"/>
          <w:szCs w:val="32"/>
        </w:rPr>
        <w:t>第四条</w:t>
      </w:r>
      <w:r w:rsidRPr="0051199E">
        <w:rPr>
          <w:rFonts w:ascii="仿宋_GB2312" w:eastAsia="仿宋_GB2312" w:hint="eastAsia"/>
          <w:bCs/>
          <w:color w:val="000000"/>
          <w:spacing w:val="-4"/>
          <w:sz w:val="32"/>
          <w:szCs w:val="32"/>
        </w:rPr>
        <w:t xml:space="preserve"> 镇政府办公室负责牵头组织实施本规定，落实重大决策事项的组织安排、审查上报、依法公开等工作。</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镇监察室负责实施对重大事项决策的行政监察。镇经发办、镇财政所、镇司法所等相关工作部门按照各自职责开展重大事项决策的审查工作。</w:t>
      </w:r>
      <w:r w:rsidRPr="0051199E">
        <w:rPr>
          <w:rFonts w:ascii="仿宋_GB2312" w:eastAsia="仿宋_GB2312" w:hint="eastAsia"/>
          <w:bCs/>
          <w:color w:val="000000"/>
          <w:spacing w:val="-4"/>
          <w:sz w:val="32"/>
          <w:szCs w:val="32"/>
        </w:rPr>
        <w:t>镇督查室负责对重大事项决策的督察落实，开展重大事项决策后评估等工作。</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lastRenderedPageBreak/>
        <w:t>镇政府各部门按照各自职责做好重大事项决策的相关工作。</w:t>
      </w:r>
    </w:p>
    <w:p w:rsidR="001B44C8" w:rsidRPr="0051199E" w:rsidRDefault="001B44C8" w:rsidP="001B44C8">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第二章  决策范围</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第五条</w:t>
      </w:r>
      <w:r w:rsidRPr="0051199E">
        <w:rPr>
          <w:rFonts w:ascii="仿宋_GB2312" w:eastAsia="仿宋_GB2312" w:hint="eastAsia"/>
          <w:bCs/>
          <w:color w:val="000000"/>
          <w:sz w:val="32"/>
          <w:szCs w:val="32"/>
        </w:rPr>
        <w:t xml:space="preserve"> 本规定所称的重大事项决策范围，包括下列事项：</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（一）编制国民经济和社会发展规划以及经济和社会发展战略，城市总体规划、重点区域规划以及重大专项规划；</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（二）编制政府财政预算，重大镇级集体经济资金的使用及安排；</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（三）确定重大政府投资项目、配置重要公共资源以及重大镇级国有资产（30万元以上）和集体资产（10万元以上）处置；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（四）制定政府职能转变、经济转型发展、社会建设和城市管理等方面的重大改革创新政策、措施；</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（五）制定劳动就业、社会保障以及医疗卫生、教育、公共交通、住房、旧城区改造等涉及社会分配调节、保障和改善民生的重大政策和措施；</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（六）以镇政府名义签订的重大行政、民事合同；</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（七）其他具有全局性、长远性影响，或者与公民、法人、其他组织利益密切相关涉及面较广的重大事项。</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第六条</w:t>
      </w:r>
      <w:r w:rsidRPr="0051199E">
        <w:rPr>
          <w:rFonts w:ascii="仿宋_GB2312" w:eastAsia="仿宋_GB2312" w:hint="eastAsia"/>
          <w:bCs/>
          <w:color w:val="000000"/>
          <w:sz w:val="32"/>
          <w:szCs w:val="32"/>
        </w:rPr>
        <w:t xml:space="preserve"> 镇政府人事任免及内部事务管理措施的制定，不适用本规定。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规范性文件的制定以及突发事件应对的决策程序，按照有关法律、法规、规章的规定执行。</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法律、法规和规章已对决策程序</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规定的，不属于决策范围。</w:t>
      </w:r>
    </w:p>
    <w:p w:rsidR="001B44C8" w:rsidRPr="0051199E" w:rsidRDefault="001B44C8" w:rsidP="001B44C8">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lastRenderedPageBreak/>
        <w:t>第三章  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第七条</w:t>
      </w:r>
      <w:r w:rsidRPr="0051199E">
        <w:rPr>
          <w:rFonts w:ascii="仿宋_GB2312" w:eastAsia="仿宋_GB2312" w:hint="eastAsia"/>
          <w:bCs/>
          <w:color w:val="000000"/>
          <w:sz w:val="32"/>
          <w:szCs w:val="32"/>
        </w:rPr>
        <w:t xml:space="preserve"> 镇长可以直接决定启动重大事项决策程序。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副镇长提出的决策建议，报请镇长同意后启动决策程序。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sz w:val="32"/>
          <w:szCs w:val="32"/>
        </w:rPr>
        <w:t>镇政府各部门、各村（居）委、各镇属事业单位和镇属公司</w:t>
      </w:r>
      <w:r w:rsidRPr="0051199E">
        <w:rPr>
          <w:rFonts w:ascii="仿宋_GB2312" w:eastAsia="仿宋_GB2312" w:hint="eastAsia"/>
          <w:bCs/>
          <w:color w:val="000000"/>
          <w:sz w:val="32"/>
          <w:szCs w:val="32"/>
        </w:rPr>
        <w:t>的决策建议，经分管副镇长审核并报请镇长同意后启动决策程序。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区人大代表、区政协委员、镇人大代表通过议案、代表书面意见以及提案等方式提出的决策建议，由镇政府相关工作部门进行研究，认为需要进行重大事项决策的，经分管副镇长审核并报请镇长同意后启动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镇政府办公室在对请示件的审核过程中发现，认为需要进行重大事项决策的，经分管副镇长审核并报请镇长同意后启动决策程序。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第八条</w:t>
      </w:r>
      <w:r w:rsidRPr="0051199E">
        <w:rPr>
          <w:rFonts w:ascii="仿宋_GB2312" w:eastAsia="仿宋_GB2312" w:hint="eastAsia"/>
          <w:bCs/>
          <w:color w:val="000000"/>
          <w:sz w:val="32"/>
          <w:szCs w:val="32"/>
        </w:rPr>
        <w:t xml:space="preserve"> 决定启动重大事项决策程序的，镇长或者分管副镇长应当确定具体工作部门（以下简称承办部门）承担重大事项决策草案的调研、起草工作。</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承办部门应当开展决策调研工作，全面、准确了解决策涉及事项的实际情况，形成决策草案。</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第九条</w:t>
      </w:r>
      <w:r w:rsidRPr="0051199E">
        <w:rPr>
          <w:rFonts w:ascii="仿宋_GB2312" w:eastAsia="仿宋_GB2312" w:hint="eastAsia"/>
          <w:bCs/>
          <w:color w:val="000000"/>
          <w:sz w:val="32"/>
          <w:szCs w:val="32"/>
        </w:rPr>
        <w:t xml:space="preserve"> 承办部门在起草重大事项决策草案过程中，应当听取有关行政机关、企事业单位、社会团体以及行业协会等社会组织的意见，并广泛征求人大代表、政协委员、专家学者以及社会公众的意见。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征求意见可以采取书面征求意见、座谈会、协商会、听证会、民意调查、公开征求社会公众意见等多种方式。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lastRenderedPageBreak/>
        <w:t>承办部门应当制作征求意见的采纳情况报告，以适当形式反馈或者公布。</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第十条</w:t>
      </w:r>
      <w:r w:rsidRPr="0051199E">
        <w:rPr>
          <w:rFonts w:ascii="仿宋_GB2312" w:eastAsia="仿宋_GB2312" w:hint="eastAsia"/>
          <w:bCs/>
          <w:color w:val="000000"/>
          <w:sz w:val="32"/>
          <w:szCs w:val="32"/>
        </w:rPr>
        <w:t xml:space="preserve"> 重大事项决策事项涉及下列情形之一的，承办部门应当举行听证会：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（一）涉及镇域内重大公共利益，或者公民、法人或者其他组织切身利益，各方对决策草案存在重大意见分歧的；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（二）镇政府认为需要召开听证会的。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听证会结束后，承办部门应当制作听证报告。</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第十一条</w:t>
      </w:r>
      <w:r w:rsidRPr="0051199E">
        <w:rPr>
          <w:rFonts w:ascii="仿宋_GB2312" w:eastAsia="仿宋_GB2312" w:hint="eastAsia"/>
          <w:bCs/>
          <w:color w:val="000000"/>
          <w:sz w:val="32"/>
          <w:szCs w:val="32"/>
        </w:rPr>
        <w:t xml:space="preserve"> 重大事项决策草案涉及重大公共利益，或者直接涉及本行政区域广大公民、法人、其他组织切身利益的，承办部门应当征求社会公众意见。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承办部门应当通过政府官方网站以及新闻媒体，或者其他有利于公众知晓的方式公布征求意见的公告和决策草案。征求意见的期限自公告之日起一般不少于15日；特殊情况的，不少于7日。</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重大事项决策需要考虑社会认同</w:t>
      </w:r>
      <w:proofErr w:type="gramStart"/>
      <w:r w:rsidRPr="0051199E">
        <w:rPr>
          <w:rFonts w:ascii="仿宋_GB2312" w:eastAsia="仿宋_GB2312" w:hint="eastAsia"/>
          <w:bCs/>
          <w:color w:val="000000"/>
          <w:sz w:val="32"/>
          <w:szCs w:val="32"/>
        </w:rPr>
        <w:t>度或者</w:t>
      </w:r>
      <w:proofErr w:type="gramEnd"/>
      <w:r w:rsidRPr="0051199E">
        <w:rPr>
          <w:rFonts w:ascii="仿宋_GB2312" w:eastAsia="仿宋_GB2312" w:hint="eastAsia"/>
          <w:bCs/>
          <w:color w:val="000000"/>
          <w:sz w:val="32"/>
          <w:szCs w:val="32"/>
        </w:rPr>
        <w:t>承受度的，承办部门可以委托专门调查机构进行民意调查。专门调查机构应当出具书面调查报告。</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第十二条</w:t>
      </w:r>
      <w:r w:rsidRPr="0051199E">
        <w:rPr>
          <w:rFonts w:ascii="仿宋_GB2312" w:eastAsia="仿宋_GB2312" w:hint="eastAsia"/>
          <w:bCs/>
          <w:color w:val="000000"/>
          <w:sz w:val="32"/>
          <w:szCs w:val="32"/>
        </w:rPr>
        <w:t xml:space="preserve"> 重大事项决策专业性、技术性较强，需要对科学性、可行性作进一步论证的，承办部门应当组织专家或者委托第三方机构进行论证。专家应当在决策事项涉及领域具有权威性及代表性；所委托的第三方机构应当具备社会公信力。</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组织专家论证的，可以采用书面论证或专家论证会等形式。专家应当提交书面意见，陈述主要观点及理由，并签字确认。</w:t>
      </w:r>
      <w:r w:rsidRPr="0051199E">
        <w:rPr>
          <w:rFonts w:ascii="仿宋_GB2312" w:eastAsia="仿宋_GB2312" w:hint="eastAsia"/>
          <w:bCs/>
          <w:color w:val="000000"/>
          <w:sz w:val="32"/>
          <w:szCs w:val="32"/>
        </w:rPr>
        <w:lastRenderedPageBreak/>
        <w:t>专家论证结束后，承办单位应当综合专家意见形成论证报告。委托第三方机构进行科学论证的，第三方机构应当出具论证报告。</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第十三条</w:t>
      </w:r>
      <w:r w:rsidRPr="0051199E">
        <w:rPr>
          <w:rFonts w:ascii="仿宋_GB2312" w:eastAsia="仿宋_GB2312" w:hint="eastAsia"/>
          <w:bCs/>
          <w:color w:val="000000"/>
          <w:sz w:val="32"/>
          <w:szCs w:val="32"/>
        </w:rPr>
        <w:t xml:space="preserve"> 重大事项决策可能对社会稳定、生态环境造成重大影响，或者存在公共财政风险的，镇政府应当建立部门论证、专家咨询、公众参与、专业机构测评相结合的风险评估机制。承办部门应当开展或者建议镇政府指定其他部门开展社会稳定风险、环境风险以及财政风险评估，并形成书面评估报告。</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社会稳定风险评估应当对重大事项决策可能引发的社会矛盾纠纷、群体性事件或者其他不稳定因素和指标予以评估，判定风险等级，并提出相关意见和建议。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环境风险评估应当对重大事项决策可能造成的环境影响进行分析、预测和评估，提出预防或者减轻不良环境影响的对策和措施。</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财政风险评估应当对财政资金的投入额度、承受能力、成本效益等情况进行分析和评估，提出相关意见和建议。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第十四条</w:t>
      </w:r>
      <w:r w:rsidRPr="0051199E">
        <w:rPr>
          <w:rFonts w:ascii="仿宋_GB2312" w:eastAsia="仿宋_GB2312" w:hint="eastAsia"/>
          <w:bCs/>
          <w:color w:val="000000"/>
          <w:sz w:val="32"/>
          <w:szCs w:val="32"/>
        </w:rPr>
        <w:t xml:space="preserve"> 承办部门应当根据征求意见、专家论证、风险评估的结果起草、修改、完善重大事项决策草案，并将下列材料报送镇政府：</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（一）提请审议的请示；</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（二）决策送审稿及其起草说明；</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（三）决策草案的法律依据和政策依据；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（四）决策草案征求意见的采纳情况报告，以及听证报告、专家论证报告、风险评估报告等；</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lastRenderedPageBreak/>
        <w:t>（五）其他需要提交的材料。</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决策草案含有两个以上备选方案的，承办部门应当在起草说明中分析利弊，提出倾向性的意见。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第十五条</w:t>
      </w:r>
      <w:r w:rsidRPr="0051199E">
        <w:rPr>
          <w:rFonts w:ascii="仿宋_GB2312" w:eastAsia="仿宋_GB2312" w:hint="eastAsia"/>
          <w:bCs/>
          <w:color w:val="000000"/>
          <w:sz w:val="32"/>
          <w:szCs w:val="32"/>
        </w:rPr>
        <w:t xml:space="preserve"> 有下列情形之一的，承办部门应当在报送材料中</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特别说明，并提出相应的对策建议：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（一）征求意见过程中各方对重大事项决策存在较大意见分歧，经承办部门组织协商仍无法解决的；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（二）经专家论证认为重大事项决策在专业上、技术上不可行的；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（三）经风险评估认为重大事项决策存在重大风险且不可控的。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第十六条</w:t>
      </w:r>
      <w:r w:rsidRPr="0051199E">
        <w:rPr>
          <w:rFonts w:ascii="仿宋_GB2312" w:eastAsia="仿宋_GB2312" w:hint="eastAsia"/>
          <w:bCs/>
          <w:color w:val="000000"/>
          <w:sz w:val="32"/>
          <w:szCs w:val="32"/>
        </w:rPr>
        <w:t xml:space="preserve"> 镇政府办公室接到承办部门递交的材料后，应当对材料是否完备进行审核，对材料不完备的，退回承办部门补充；材料完备的，由镇政府办公室组织进行合法性审查。必要时，由镇政府办公室召集相关职能部门进行会审。</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合法性审查过程中，可征求镇政府法律顾问意见。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第十七条</w:t>
      </w:r>
      <w:r w:rsidRPr="0051199E">
        <w:rPr>
          <w:rFonts w:ascii="仿宋_GB2312" w:eastAsia="仿宋_GB2312" w:hint="eastAsia"/>
          <w:bCs/>
          <w:color w:val="000000"/>
          <w:sz w:val="32"/>
          <w:szCs w:val="32"/>
        </w:rPr>
        <w:t xml:space="preserve"> 合法性审查主要审查下列内容：</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（一）决策事项是否符合法定权限；</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（二）决策方案的内容是否合法；</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（三）决策方案制定过程是否符合法定程序；</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（四）其他需要审查的内容。</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合法性审查应当出具书面审查意见。未经合法性审查或经合法性审查不合法的，不得提交镇长办公会议讨论决策。</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第十八条</w:t>
      </w:r>
      <w:r w:rsidRPr="0051199E">
        <w:rPr>
          <w:rFonts w:ascii="仿宋_GB2312" w:eastAsia="仿宋_GB2312" w:hint="eastAsia"/>
          <w:bCs/>
          <w:color w:val="000000"/>
          <w:sz w:val="32"/>
          <w:szCs w:val="32"/>
        </w:rPr>
        <w:t xml:space="preserve"> 会审可以由各相关职能部门根据各自职责分工，</w:t>
      </w:r>
      <w:r w:rsidRPr="0051199E">
        <w:rPr>
          <w:rFonts w:ascii="仿宋_GB2312" w:eastAsia="仿宋_GB2312" w:hint="eastAsia"/>
          <w:bCs/>
          <w:color w:val="000000"/>
          <w:sz w:val="32"/>
          <w:szCs w:val="32"/>
        </w:rPr>
        <w:lastRenderedPageBreak/>
        <w:t>分别对重大事项决策草案提出会审意见，也可以进行集中会审论证并形成会审意见。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第十九条</w:t>
      </w:r>
      <w:r w:rsidRPr="0051199E">
        <w:rPr>
          <w:rFonts w:ascii="仿宋_GB2312" w:eastAsia="仿宋_GB2312" w:hint="eastAsia"/>
          <w:bCs/>
          <w:color w:val="000000"/>
          <w:sz w:val="32"/>
          <w:szCs w:val="32"/>
        </w:rPr>
        <w:t xml:space="preserve"> 会审意见或者合法性审查意见认为重大事项决策草案需要作进一步调研论证的，镇政府办公室可以经分管副镇长同意后，退回承办部门补充论证。</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第二十条</w:t>
      </w:r>
      <w:r w:rsidRPr="0051199E">
        <w:rPr>
          <w:rFonts w:ascii="仿宋_GB2312" w:eastAsia="仿宋_GB2312" w:hint="eastAsia"/>
          <w:bCs/>
          <w:color w:val="000000"/>
          <w:sz w:val="32"/>
          <w:szCs w:val="32"/>
        </w:rPr>
        <w:t xml:space="preserve"> 重大事项决策应当由镇长办公会议讨论决定。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第二十一条</w:t>
      </w:r>
      <w:r w:rsidRPr="0051199E">
        <w:rPr>
          <w:rFonts w:ascii="仿宋_GB2312" w:eastAsia="仿宋_GB2312" w:hint="eastAsia"/>
          <w:bCs/>
          <w:color w:val="000000"/>
          <w:sz w:val="32"/>
          <w:szCs w:val="32"/>
        </w:rPr>
        <w:t xml:space="preserve"> 重大事项决策有下列情形之一的，经镇长或者分管副镇长批准，可以不经过本规定第十条至第十四条的程序，直接提交集体讨论决定：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（一）为保障国家安全、公共安全、经济安全和社会稳定，需要立即</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决策的；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（二）执行上级机关的紧急命令和决定，需要立即</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决策的；</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（三）其他需要立即</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决策的情形。</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第二十二条</w:t>
      </w:r>
      <w:r w:rsidRPr="0051199E">
        <w:rPr>
          <w:rFonts w:ascii="仿宋_GB2312" w:eastAsia="仿宋_GB2312" w:hint="eastAsia"/>
          <w:bCs/>
          <w:color w:val="000000"/>
          <w:sz w:val="32"/>
          <w:szCs w:val="32"/>
        </w:rPr>
        <w:t xml:space="preserve"> 镇政府应当对决策事项</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通过、原则通过、开展试行试点、修改后再次讨论或者不予通过的决定。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开展试行试点的，应当明确试行时间或者试点范围。</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第二十三条</w:t>
      </w:r>
      <w:r w:rsidRPr="0051199E">
        <w:rPr>
          <w:rFonts w:ascii="仿宋_GB2312" w:eastAsia="仿宋_GB2312" w:hint="eastAsia"/>
          <w:bCs/>
          <w:color w:val="000000"/>
          <w:sz w:val="32"/>
          <w:szCs w:val="32"/>
        </w:rPr>
        <w:t xml:space="preserve"> 决策事项需要报请区政府批准的，经镇政府集体讨论通过后，报请区政府批准。</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决策事项需要报请镇党委批准，或者提请镇人民代表大会审议决定的，镇政府集体讨论通过后，应当按照规定报请镇党委批准，或者提请镇人民代表大会审议决定。</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第二十四条</w:t>
      </w:r>
      <w:r w:rsidRPr="0051199E">
        <w:rPr>
          <w:rFonts w:ascii="仿宋_GB2312" w:eastAsia="仿宋_GB2312" w:hint="eastAsia"/>
          <w:bCs/>
          <w:color w:val="000000"/>
          <w:sz w:val="32"/>
          <w:szCs w:val="32"/>
        </w:rPr>
        <w:t xml:space="preserve"> 重大事项决策</w:t>
      </w:r>
      <w:proofErr w:type="gramStart"/>
      <w:r w:rsidRPr="0051199E">
        <w:rPr>
          <w:rFonts w:ascii="仿宋_GB2312" w:eastAsia="仿宋_GB2312" w:hint="eastAsia"/>
          <w:bCs/>
          <w:color w:val="000000"/>
          <w:sz w:val="32"/>
          <w:szCs w:val="32"/>
        </w:rPr>
        <w:t>作出</w:t>
      </w:r>
      <w:proofErr w:type="gramEnd"/>
      <w:r w:rsidRPr="0051199E">
        <w:rPr>
          <w:rFonts w:ascii="仿宋_GB2312" w:eastAsia="仿宋_GB2312" w:hint="eastAsia"/>
          <w:bCs/>
          <w:color w:val="000000"/>
          <w:sz w:val="32"/>
          <w:szCs w:val="32"/>
        </w:rPr>
        <w:t>后，除依法应当保密外，镇政府办公室应当依法及时向社会公布重大事项决策结果。</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lastRenderedPageBreak/>
        <w:t>第二十五条</w:t>
      </w:r>
      <w:r w:rsidRPr="0051199E">
        <w:rPr>
          <w:rFonts w:ascii="仿宋_GB2312" w:eastAsia="仿宋_GB2312" w:hint="eastAsia"/>
          <w:bCs/>
          <w:color w:val="000000"/>
          <w:sz w:val="32"/>
          <w:szCs w:val="32"/>
        </w:rPr>
        <w:t xml:space="preserve"> 重大事项决策需要制定配套实施性政策的，应当于重大事项决策生效实施之前制定出台，同步施行。</w:t>
      </w:r>
    </w:p>
    <w:p w:rsidR="001B44C8" w:rsidRPr="0051199E" w:rsidRDefault="001B44C8" w:rsidP="001B44C8">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第四章  决策后评估与监督</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第二十六条</w:t>
      </w:r>
      <w:r w:rsidRPr="0051199E">
        <w:rPr>
          <w:rFonts w:ascii="仿宋_GB2312" w:eastAsia="仿宋_GB2312" w:hint="eastAsia"/>
          <w:bCs/>
          <w:color w:val="000000"/>
          <w:sz w:val="32"/>
          <w:szCs w:val="32"/>
        </w:rPr>
        <w:t xml:space="preserve"> 镇政府应当建立重大事项决策后评估制度。重大事项决策试行试点的，在试行期限届满前或者试点实施一定时间后，应当组织开展后评估。</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后评估一般由镇督查室牵头组织相关职能部门开展，也可以直接指定相关职能部门开展决策后评估。</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后评估实施部门应当形成书面评估报告。后评估报告应当作为镇政府继续实施、修改调整或者停止执行重大事项决策的重要依据。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第二十七条</w:t>
      </w:r>
      <w:r w:rsidRPr="0051199E">
        <w:rPr>
          <w:rFonts w:ascii="仿宋_GB2312" w:eastAsia="仿宋_GB2312" w:hint="eastAsia"/>
          <w:bCs/>
          <w:color w:val="000000"/>
          <w:sz w:val="32"/>
          <w:szCs w:val="32"/>
        </w:rPr>
        <w:t>镇督查室负责开展对重大事项决策工作的日常跟踪监督，并向镇政府报告决策执行情况。</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区人大代表、区政协委员、镇人大代表依法对决策制定和执行工作进行监督。</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仿宋_GB2312" w:eastAsia="仿宋_GB2312" w:hint="eastAsia"/>
          <w:bCs/>
          <w:color w:val="000000"/>
          <w:sz w:val="32"/>
          <w:szCs w:val="32"/>
        </w:rPr>
        <w:t>公民、法人或者其他组织有权监督决策制定和执行工作，可以向镇政府、决策起草部门、决策执行主办部门和配合部门提出意见或者建议。</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t xml:space="preserve">第二十八条 </w:t>
      </w:r>
      <w:r w:rsidRPr="0051199E">
        <w:rPr>
          <w:rFonts w:ascii="仿宋_GB2312" w:eastAsia="仿宋_GB2312" w:hint="eastAsia"/>
          <w:bCs/>
          <w:color w:val="000000"/>
          <w:sz w:val="32"/>
          <w:szCs w:val="32"/>
        </w:rPr>
        <w:t>镇监察室负责重大事项决策执行纪律监督。相关部门和工作人员违反重大事项决策程序等规定，或者在决策起草、执行和监督过程中有玩忽职守、徇私舞弊、贪污受贿等违法、违纪行为的，按照《行政机关公务员处分条例》等有关规定</w:t>
      </w:r>
      <w:proofErr w:type="gramStart"/>
      <w:r w:rsidRPr="0051199E">
        <w:rPr>
          <w:rFonts w:ascii="仿宋_GB2312" w:eastAsia="仿宋_GB2312" w:hint="eastAsia"/>
          <w:bCs/>
          <w:color w:val="000000"/>
          <w:sz w:val="32"/>
          <w:szCs w:val="32"/>
        </w:rPr>
        <w:t>依法问</w:t>
      </w:r>
      <w:proofErr w:type="gramEnd"/>
      <w:r w:rsidRPr="0051199E">
        <w:rPr>
          <w:rFonts w:ascii="仿宋_GB2312" w:eastAsia="仿宋_GB2312" w:hint="eastAsia"/>
          <w:bCs/>
          <w:color w:val="000000"/>
          <w:sz w:val="32"/>
          <w:szCs w:val="32"/>
        </w:rPr>
        <w:t>责；构成犯罪的，移送司法机关追究刑事责任。</w:t>
      </w:r>
    </w:p>
    <w:p w:rsidR="001B44C8" w:rsidRPr="0051199E" w:rsidRDefault="001B44C8" w:rsidP="001B44C8">
      <w:pPr>
        <w:pStyle w:val="p0"/>
        <w:widowControl w:val="0"/>
        <w:adjustRightInd w:val="0"/>
        <w:snapToGrid w:val="0"/>
        <w:spacing w:line="560" w:lineRule="exact"/>
        <w:jc w:val="center"/>
        <w:rPr>
          <w:rFonts w:ascii="黑体" w:eastAsia="黑体"/>
          <w:color w:val="000000"/>
          <w:sz w:val="32"/>
          <w:szCs w:val="32"/>
        </w:rPr>
      </w:pPr>
      <w:r w:rsidRPr="0051199E">
        <w:rPr>
          <w:rFonts w:ascii="黑体" w:eastAsia="黑体" w:hint="eastAsia"/>
          <w:color w:val="000000"/>
          <w:sz w:val="32"/>
          <w:szCs w:val="32"/>
        </w:rPr>
        <w:t>第五章  附则</w:t>
      </w:r>
    </w:p>
    <w:p w:rsidR="001B44C8" w:rsidRPr="0051199E" w:rsidRDefault="001B44C8" w:rsidP="001B44C8">
      <w:pPr>
        <w:pStyle w:val="p0"/>
        <w:widowControl w:val="0"/>
        <w:adjustRightInd w:val="0"/>
        <w:snapToGrid w:val="0"/>
        <w:spacing w:line="560" w:lineRule="exact"/>
        <w:ind w:firstLineChars="200" w:firstLine="640"/>
        <w:rPr>
          <w:rFonts w:ascii="仿宋_GB2312" w:eastAsia="仿宋_GB2312"/>
          <w:bCs/>
          <w:color w:val="000000"/>
          <w:sz w:val="32"/>
          <w:szCs w:val="32"/>
        </w:rPr>
      </w:pPr>
      <w:r w:rsidRPr="0051199E">
        <w:rPr>
          <w:rFonts w:ascii="楷体_GB2312" w:eastAsia="楷体_GB2312" w:hint="eastAsia"/>
          <w:bCs/>
          <w:color w:val="000000"/>
          <w:sz w:val="32"/>
          <w:szCs w:val="32"/>
        </w:rPr>
        <w:lastRenderedPageBreak/>
        <w:t>第二十九条</w:t>
      </w:r>
      <w:r w:rsidRPr="0051199E">
        <w:rPr>
          <w:rFonts w:ascii="仿宋_GB2312" w:eastAsia="仿宋_GB2312" w:hint="eastAsia"/>
          <w:bCs/>
          <w:color w:val="000000"/>
          <w:sz w:val="32"/>
          <w:szCs w:val="32"/>
        </w:rPr>
        <w:t xml:space="preserve"> 镇政府各工作部门、村（居）委以及法律法规授权组织制定重大事项决策的单位，应参照本规定制定相关程序规定。</w:t>
      </w:r>
    </w:p>
    <w:p w:rsidR="001B44C8" w:rsidRPr="0051199E" w:rsidRDefault="001B44C8" w:rsidP="001B44C8">
      <w:pPr>
        <w:spacing w:line="560" w:lineRule="exact"/>
        <w:ind w:firstLineChars="200" w:firstLine="640"/>
        <w:rPr>
          <w:rFonts w:ascii="仿宋" w:eastAsia="仿宋" w:hAnsi="仿宋" w:hint="eastAsia"/>
          <w:color w:val="000000"/>
          <w:sz w:val="32"/>
          <w:szCs w:val="32"/>
        </w:rPr>
      </w:pPr>
      <w:r w:rsidRPr="0051199E">
        <w:rPr>
          <w:rFonts w:ascii="楷体_GB2312" w:eastAsia="楷体_GB2312" w:hint="eastAsia"/>
          <w:bCs/>
          <w:color w:val="000000"/>
          <w:sz w:val="32"/>
          <w:szCs w:val="32"/>
        </w:rPr>
        <w:t>第三十条</w:t>
      </w:r>
      <w:r w:rsidRPr="0051199E">
        <w:rPr>
          <w:rFonts w:ascii="仿宋_GB2312" w:eastAsia="仿宋_GB2312" w:hint="eastAsia"/>
          <w:bCs/>
          <w:color w:val="000000"/>
          <w:sz w:val="32"/>
          <w:szCs w:val="32"/>
        </w:rPr>
        <w:t xml:space="preserve"> 本规定自</w:t>
      </w:r>
      <w:r>
        <w:rPr>
          <w:rFonts w:ascii="仿宋_GB2312" w:eastAsia="仿宋_GB2312" w:hint="eastAsia"/>
          <w:bCs/>
          <w:color w:val="000000"/>
          <w:sz w:val="32"/>
          <w:szCs w:val="32"/>
        </w:rPr>
        <w:t>印发之</w:t>
      </w:r>
      <w:r w:rsidRPr="0051199E">
        <w:rPr>
          <w:rFonts w:ascii="仿宋_GB2312" w:eastAsia="仿宋_GB2312" w:hint="eastAsia"/>
          <w:bCs/>
          <w:color w:val="000000"/>
          <w:sz w:val="32"/>
          <w:szCs w:val="32"/>
        </w:rPr>
        <w:t>日起试行，试行期为两年。</w:t>
      </w:r>
      <w:r w:rsidRPr="0051199E">
        <w:rPr>
          <w:rFonts w:ascii="仿宋_GB2312" w:eastAsia="仿宋_GB2312"/>
          <w:bCs/>
          <w:color w:val="000000"/>
          <w:sz w:val="32"/>
          <w:szCs w:val="32"/>
        </w:rPr>
        <w:t>同时废止</w:t>
      </w:r>
      <w:proofErr w:type="gramStart"/>
      <w:r w:rsidRPr="0051199E">
        <w:rPr>
          <w:rFonts w:ascii="仿宋_GB2312" w:eastAsia="仿宋_GB2312" w:hint="eastAsia"/>
          <w:bCs/>
          <w:color w:val="000000"/>
          <w:sz w:val="32"/>
          <w:szCs w:val="32"/>
        </w:rPr>
        <w:t>闵颛</w:t>
      </w:r>
      <w:proofErr w:type="gramEnd"/>
      <w:r w:rsidRPr="0051199E">
        <w:rPr>
          <w:rFonts w:ascii="仿宋_GB2312" w:eastAsia="仿宋_GB2312" w:hint="eastAsia"/>
          <w:bCs/>
          <w:color w:val="000000"/>
          <w:sz w:val="32"/>
          <w:szCs w:val="32"/>
        </w:rPr>
        <w:t>府[2007]24号</w:t>
      </w:r>
      <w:r>
        <w:rPr>
          <w:rFonts w:ascii="仿宋_GB2312" w:eastAsia="仿宋_GB2312" w:hint="eastAsia"/>
          <w:bCs/>
          <w:color w:val="000000"/>
          <w:sz w:val="32"/>
          <w:szCs w:val="32"/>
        </w:rPr>
        <w:t>文</w:t>
      </w:r>
      <w:r w:rsidRPr="0051199E">
        <w:rPr>
          <w:rFonts w:ascii="仿宋_GB2312" w:eastAsia="仿宋_GB2312"/>
          <w:bCs/>
          <w:color w:val="000000"/>
          <w:sz w:val="32"/>
          <w:szCs w:val="32"/>
        </w:rPr>
        <w:t>《</w:t>
      </w:r>
      <w:r w:rsidRPr="0051199E">
        <w:rPr>
          <w:rFonts w:ascii="仿宋_GB2312" w:eastAsia="仿宋_GB2312" w:hint="eastAsia"/>
          <w:bCs/>
          <w:color w:val="000000"/>
          <w:sz w:val="32"/>
          <w:szCs w:val="32"/>
        </w:rPr>
        <w:t>颛桥镇人民政府关于完善重大事项集体决策制度的暂行规定</w:t>
      </w:r>
      <w:r>
        <w:rPr>
          <w:rFonts w:ascii="仿宋_GB2312" w:eastAsia="仿宋_GB2312"/>
          <w:bCs/>
          <w:color w:val="000000"/>
          <w:sz w:val="32"/>
          <w:szCs w:val="32"/>
        </w:rPr>
        <w:t>》</w:t>
      </w:r>
      <w:r w:rsidRPr="0051199E">
        <w:rPr>
          <w:rFonts w:ascii="仿宋_GB2312" w:eastAsia="仿宋_GB2312" w:hint="eastAsia"/>
          <w:bCs/>
          <w:color w:val="000000"/>
          <w:sz w:val="32"/>
          <w:szCs w:val="32"/>
        </w:rPr>
        <w:t>。</w:t>
      </w:r>
    </w:p>
    <w:p w:rsidR="001B44C8" w:rsidRPr="006C49B6" w:rsidRDefault="001B44C8" w:rsidP="001B44C8">
      <w:pPr>
        <w:rPr>
          <w:vanish/>
        </w:rPr>
      </w:pPr>
    </w:p>
    <w:tbl>
      <w:tblPr>
        <w:tblpPr w:leftFromText="180" w:rightFromText="180" w:vertAnchor="text" w:horzAnchor="margin" w:tblpY="7992"/>
        <w:tblOverlap w:val="neve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1E0"/>
      </w:tblPr>
      <w:tblGrid>
        <w:gridCol w:w="8730"/>
      </w:tblGrid>
      <w:tr w:rsidR="001B44C8" w:rsidRPr="00015A2B" w:rsidTr="00F03B10">
        <w:tc>
          <w:tcPr>
            <w:tcW w:w="8730" w:type="dxa"/>
            <w:shd w:val="clear" w:color="auto" w:fill="auto"/>
            <w:vAlign w:val="center"/>
          </w:tcPr>
          <w:p w:rsidR="001B44C8" w:rsidRPr="00015A2B" w:rsidRDefault="001B44C8" w:rsidP="00F03B10">
            <w:pPr>
              <w:spacing w:line="560" w:lineRule="exact"/>
              <w:ind w:firstLineChars="100" w:firstLine="280"/>
              <w:rPr>
                <w:rFonts w:ascii="仿宋_GB2312" w:eastAsia="仿宋_GB2312" w:hAnsi="宋体" w:hint="eastAsia"/>
                <w:sz w:val="28"/>
                <w:szCs w:val="28"/>
              </w:rPr>
            </w:pPr>
            <w:r w:rsidRPr="00015A2B">
              <w:rPr>
                <w:rFonts w:ascii="仿宋_GB2312" w:eastAsia="仿宋_GB2312" w:hAnsi="宋体" w:hint="eastAsia"/>
                <w:sz w:val="28"/>
                <w:szCs w:val="28"/>
              </w:rPr>
              <w:t>公开属性：主动公开</w:t>
            </w:r>
          </w:p>
        </w:tc>
      </w:tr>
      <w:tr w:rsidR="001B44C8" w:rsidRPr="00015A2B" w:rsidTr="00F03B10">
        <w:tc>
          <w:tcPr>
            <w:tcW w:w="8730" w:type="dxa"/>
            <w:shd w:val="clear" w:color="auto" w:fill="auto"/>
            <w:vAlign w:val="center"/>
          </w:tcPr>
          <w:p w:rsidR="001B44C8" w:rsidRPr="00015A2B" w:rsidRDefault="001B44C8" w:rsidP="00F03B10">
            <w:pPr>
              <w:spacing w:line="560" w:lineRule="exact"/>
              <w:ind w:firstLineChars="100" w:firstLine="280"/>
              <w:rPr>
                <w:rFonts w:ascii="仿宋_GB2312" w:eastAsia="仿宋_GB2312" w:hAnsi="宋体" w:hint="eastAsia"/>
                <w:sz w:val="28"/>
                <w:szCs w:val="28"/>
              </w:rPr>
            </w:pPr>
            <w:r>
              <w:rPr>
                <w:rFonts w:ascii="仿宋_GB2312" w:eastAsia="仿宋_GB2312" w:hAnsi="宋体" w:hint="eastAsia"/>
                <w:sz w:val="28"/>
                <w:szCs w:val="28"/>
              </w:rPr>
              <w:t>抄送：镇党群办，镇人大办。</w:t>
            </w:r>
          </w:p>
        </w:tc>
      </w:tr>
      <w:tr w:rsidR="001B44C8" w:rsidRPr="00015A2B" w:rsidTr="00F03B10">
        <w:tc>
          <w:tcPr>
            <w:tcW w:w="8730" w:type="dxa"/>
            <w:shd w:val="clear" w:color="auto" w:fill="auto"/>
            <w:vAlign w:val="center"/>
          </w:tcPr>
          <w:p w:rsidR="001B44C8" w:rsidRPr="00015A2B" w:rsidRDefault="001B44C8" w:rsidP="00F03B10">
            <w:pPr>
              <w:spacing w:line="560" w:lineRule="exact"/>
              <w:ind w:firstLineChars="100" w:firstLine="280"/>
              <w:rPr>
                <w:rFonts w:ascii="仿宋_GB2312" w:eastAsia="仿宋_GB2312" w:hint="eastAsia"/>
                <w:color w:val="000000"/>
                <w:sz w:val="32"/>
                <w:szCs w:val="32"/>
              </w:rPr>
            </w:pPr>
            <w:proofErr w:type="gramStart"/>
            <w:r w:rsidRPr="00015A2B">
              <w:rPr>
                <w:rFonts w:ascii="仿宋_GB2312" w:eastAsia="仿宋_GB2312" w:hAnsi="宋体" w:hint="eastAsia"/>
                <w:sz w:val="28"/>
                <w:szCs w:val="28"/>
              </w:rPr>
              <w:t>颛</w:t>
            </w:r>
            <w:proofErr w:type="gramEnd"/>
            <w:r w:rsidRPr="00015A2B">
              <w:rPr>
                <w:rFonts w:ascii="仿宋_GB2312" w:eastAsia="仿宋_GB2312" w:hAnsi="宋体" w:hint="eastAsia"/>
                <w:sz w:val="28"/>
                <w:szCs w:val="28"/>
              </w:rPr>
              <w:t xml:space="preserve">桥镇人民政府办公室                 </w:t>
            </w:r>
            <w:r>
              <w:rPr>
                <w:rFonts w:ascii="仿宋_GB2312" w:eastAsia="仿宋_GB2312" w:hAnsi="宋体" w:hint="eastAsia"/>
                <w:sz w:val="28"/>
                <w:szCs w:val="28"/>
              </w:rPr>
              <w:t xml:space="preserve"> </w:t>
            </w:r>
            <w:r w:rsidRPr="00015A2B">
              <w:rPr>
                <w:rFonts w:ascii="仿宋_GB2312" w:eastAsia="仿宋_GB2312" w:hAnsi="宋体" w:hint="eastAsia"/>
                <w:sz w:val="28"/>
                <w:szCs w:val="28"/>
              </w:rPr>
              <w:t xml:space="preserve"> 201</w:t>
            </w:r>
            <w:r>
              <w:rPr>
                <w:rFonts w:ascii="仿宋_GB2312" w:eastAsia="仿宋_GB2312" w:hAnsi="宋体" w:hint="eastAsia"/>
                <w:sz w:val="28"/>
                <w:szCs w:val="28"/>
              </w:rPr>
              <w:t>5</w:t>
            </w:r>
            <w:r w:rsidRPr="00015A2B">
              <w:rPr>
                <w:rFonts w:ascii="仿宋_GB2312" w:eastAsia="仿宋_GB2312" w:hAnsi="宋体" w:hint="eastAsia"/>
                <w:sz w:val="28"/>
                <w:szCs w:val="28"/>
              </w:rPr>
              <w:t>年</w:t>
            </w:r>
            <w:r>
              <w:rPr>
                <w:rFonts w:ascii="仿宋_GB2312" w:eastAsia="仿宋_GB2312" w:hAnsi="宋体" w:hint="eastAsia"/>
                <w:sz w:val="28"/>
                <w:szCs w:val="28"/>
              </w:rPr>
              <w:t>7</w:t>
            </w:r>
            <w:r w:rsidRPr="00015A2B">
              <w:rPr>
                <w:rFonts w:ascii="仿宋_GB2312" w:eastAsia="仿宋_GB2312" w:hAnsi="宋体" w:hint="eastAsia"/>
                <w:sz w:val="28"/>
                <w:szCs w:val="28"/>
              </w:rPr>
              <w:t>月</w:t>
            </w:r>
            <w:r>
              <w:rPr>
                <w:rFonts w:ascii="仿宋_GB2312" w:eastAsia="仿宋_GB2312" w:hAnsi="宋体" w:hint="eastAsia"/>
                <w:sz w:val="28"/>
                <w:szCs w:val="28"/>
              </w:rPr>
              <w:t>2</w:t>
            </w:r>
            <w:r w:rsidRPr="00015A2B">
              <w:rPr>
                <w:rFonts w:ascii="仿宋_GB2312" w:eastAsia="仿宋_GB2312" w:hAnsi="宋体" w:hint="eastAsia"/>
                <w:sz w:val="28"/>
                <w:szCs w:val="28"/>
              </w:rPr>
              <w:t>日印发</w:t>
            </w:r>
          </w:p>
        </w:tc>
      </w:tr>
    </w:tbl>
    <w:p w:rsidR="001B44C8" w:rsidRPr="00057607" w:rsidRDefault="001B44C8" w:rsidP="001B44C8">
      <w:pPr>
        <w:spacing w:line="560" w:lineRule="exact"/>
        <w:ind w:right="1280"/>
        <w:jc w:val="left"/>
        <w:rPr>
          <w:rFonts w:hint="eastAsia"/>
        </w:rPr>
      </w:pPr>
    </w:p>
    <w:p w:rsidR="00A67CA6" w:rsidRPr="001B44C8" w:rsidRDefault="00A67CA6"/>
    <w:sectPr w:rsidR="00A67CA6" w:rsidRPr="001B44C8" w:rsidSect="00F22557">
      <w:footerReference w:type="even" r:id="rId4"/>
      <w:footerReference w:type="default" r:id="rId5"/>
      <w:pgSz w:w="11906" w:h="16838"/>
      <w:pgMar w:top="1588" w:right="1588" w:bottom="1588" w:left="1588" w:header="851" w:footer="992" w:gutter="0"/>
      <w:pgNumType w:start="1" w:chapSep="emDash"/>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26" w:rsidRDefault="001B44C8" w:rsidP="00F22557">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3F3726" w:rsidRDefault="001B44C8" w:rsidP="003B395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42" w:rsidRPr="005956DC" w:rsidRDefault="001B44C8" w:rsidP="00E44142">
    <w:pPr>
      <w:pStyle w:val="a3"/>
      <w:framePr w:wrap="around" w:vAnchor="text" w:hAnchor="margin" w:xAlign="outside" w:y="1"/>
      <w:rPr>
        <w:rStyle w:val="a4"/>
        <w:rFonts w:eastAsia="仿宋_GB2312" w:hint="eastAsia"/>
        <w:sz w:val="28"/>
        <w:szCs w:val="28"/>
      </w:rPr>
    </w:pPr>
    <w:r>
      <w:rPr>
        <w:rStyle w:val="a4"/>
        <w:rFonts w:eastAsia="仿宋_GB2312" w:hint="eastAsia"/>
        <w:sz w:val="28"/>
        <w:szCs w:val="28"/>
      </w:rPr>
      <w:t>—</w:t>
    </w:r>
    <w:r>
      <w:rPr>
        <w:rStyle w:val="a4"/>
        <w:rFonts w:eastAsia="仿宋_GB2312" w:hint="eastAsia"/>
        <w:sz w:val="28"/>
        <w:szCs w:val="28"/>
      </w:rPr>
      <w:t xml:space="preserve"> </w:t>
    </w:r>
    <w:r w:rsidRPr="00651B16">
      <w:rPr>
        <w:rStyle w:val="a4"/>
        <w:rFonts w:ascii="宋体" w:hAnsi="宋体"/>
        <w:sz w:val="28"/>
        <w:szCs w:val="28"/>
      </w:rPr>
      <w:fldChar w:fldCharType="begin"/>
    </w:r>
    <w:r w:rsidRPr="00651B16">
      <w:rPr>
        <w:rStyle w:val="a4"/>
        <w:rFonts w:ascii="宋体" w:hAnsi="宋体"/>
        <w:sz w:val="28"/>
        <w:szCs w:val="28"/>
      </w:rPr>
      <w:instrText xml:space="preserve">PAGE  </w:instrText>
    </w:r>
    <w:r w:rsidRPr="00651B16">
      <w:rPr>
        <w:rStyle w:val="a4"/>
        <w:rFonts w:ascii="宋体" w:hAnsi="宋体"/>
        <w:sz w:val="28"/>
        <w:szCs w:val="28"/>
      </w:rPr>
      <w:fldChar w:fldCharType="separate"/>
    </w:r>
    <w:r>
      <w:rPr>
        <w:rStyle w:val="a4"/>
        <w:rFonts w:ascii="宋体" w:hAnsi="宋体"/>
        <w:noProof/>
        <w:sz w:val="28"/>
        <w:szCs w:val="28"/>
      </w:rPr>
      <w:t>1</w:t>
    </w:r>
    <w:r w:rsidRPr="00651B16">
      <w:rPr>
        <w:rStyle w:val="a4"/>
        <w:rFonts w:ascii="宋体" w:hAnsi="宋体"/>
        <w:sz w:val="28"/>
        <w:szCs w:val="28"/>
      </w:rPr>
      <w:fldChar w:fldCharType="end"/>
    </w:r>
    <w:r>
      <w:rPr>
        <w:rStyle w:val="a4"/>
        <w:rFonts w:eastAsia="仿宋_GB2312" w:hint="eastAsia"/>
        <w:sz w:val="28"/>
        <w:szCs w:val="28"/>
      </w:rPr>
      <w:t xml:space="preserve"> </w:t>
    </w:r>
    <w:r>
      <w:rPr>
        <w:rStyle w:val="a4"/>
        <w:rFonts w:eastAsia="仿宋_GB2312" w:hint="eastAsia"/>
        <w:sz w:val="28"/>
        <w:szCs w:val="28"/>
      </w:rPr>
      <w:t>—</w:t>
    </w:r>
  </w:p>
  <w:p w:rsidR="003F3726" w:rsidRDefault="001B44C8" w:rsidP="003B3952">
    <w:pPr>
      <w:pStyle w:val="a3"/>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B44C8"/>
    <w:rsid w:val="001B44C8"/>
    <w:rsid w:val="00832984"/>
    <w:rsid w:val="00A67C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4C8"/>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B44C8"/>
    <w:pPr>
      <w:tabs>
        <w:tab w:val="center" w:pos="4153"/>
        <w:tab w:val="right" w:pos="8306"/>
      </w:tabs>
      <w:snapToGrid w:val="0"/>
      <w:jc w:val="left"/>
    </w:pPr>
    <w:rPr>
      <w:sz w:val="18"/>
      <w:szCs w:val="18"/>
    </w:rPr>
  </w:style>
  <w:style w:type="character" w:customStyle="1" w:styleId="Char">
    <w:name w:val="页脚 Char"/>
    <w:basedOn w:val="a0"/>
    <w:link w:val="a3"/>
    <w:uiPriority w:val="99"/>
    <w:rsid w:val="001B44C8"/>
    <w:rPr>
      <w:rFonts w:ascii="Times New Roman" w:eastAsia="宋体" w:hAnsi="Times New Roman" w:cs="Times New Roman"/>
      <w:sz w:val="18"/>
      <w:szCs w:val="18"/>
    </w:rPr>
  </w:style>
  <w:style w:type="character" w:styleId="a4">
    <w:name w:val="page number"/>
    <w:basedOn w:val="a0"/>
    <w:rsid w:val="001B44C8"/>
  </w:style>
  <w:style w:type="paragraph" w:customStyle="1" w:styleId="CharCharCharChar1CharCharCharCharCharCharCharCharChar1CharCharChar">
    <w:name w:val=" Char Char Char Char1 Char Char Char Char Char Char Char Char Char1 Char Char Char"/>
    <w:basedOn w:val="a"/>
    <w:rsid w:val="001B44C8"/>
    <w:pPr>
      <w:widowControl/>
      <w:spacing w:after="160" w:line="240" w:lineRule="exact"/>
      <w:jc w:val="left"/>
    </w:pPr>
    <w:rPr>
      <w:noProof/>
      <w:kern w:val="0"/>
      <w:sz w:val="20"/>
      <w:szCs w:val="20"/>
      <w:lang w:eastAsia="zh-CN"/>
    </w:rPr>
  </w:style>
  <w:style w:type="paragraph" w:customStyle="1" w:styleId="p0">
    <w:name w:val="p0"/>
    <w:basedOn w:val="a"/>
    <w:rsid w:val="001B44C8"/>
    <w:pPr>
      <w:widowControl/>
    </w:pPr>
    <w:rPr>
      <w:rFonts w:ascii="Calibri" w:hAnsi="Calibri" w:cs="宋体"/>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640</Words>
  <Characters>3654</Characters>
  <Application>Microsoft Office Word</Application>
  <DocSecurity>0</DocSecurity>
  <Lines>30</Lines>
  <Paragraphs>8</Paragraphs>
  <ScaleCrop>false</ScaleCrop>
  <Company>Sky123.Org</Company>
  <LinksUpToDate>false</LinksUpToDate>
  <CharactersWithSpaces>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2015-07-06T01:14:00Z</dcterms:created>
  <dcterms:modified xsi:type="dcterms:W3CDTF">2015-07-06T01:14:00Z</dcterms:modified>
</cp:coreProperties>
</file>