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新宋体" w:hAnsi="新宋体" w:eastAsia="新宋体" w:cs="新宋体"/>
          <w:sz w:val="56"/>
          <w:szCs w:val="56"/>
          <w:shd w:val="clear" w:color="auto" w:fill="FFFFFF"/>
        </w:rPr>
      </w:pPr>
    </w:p>
    <w:p>
      <w:pPr>
        <w:rPr>
          <w:rFonts w:ascii="新宋体" w:hAnsi="新宋体" w:eastAsia="新宋体" w:cs="新宋体"/>
          <w:sz w:val="56"/>
          <w:szCs w:val="56"/>
          <w:shd w:val="clear" w:color="auto" w:fill="FFFFFF"/>
        </w:rPr>
      </w:pPr>
    </w:p>
    <w:p>
      <w:pPr>
        <w:widowControl w:val="0"/>
        <w:spacing w:line="240" w:lineRule="atLeast"/>
        <w:jc w:val="center"/>
        <w:outlineLvl w:val="0"/>
        <w:rPr>
          <w:rFonts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/>
        </w:rPr>
      </w:pPr>
      <w:r>
        <w:rPr>
          <w:rFonts w:hint="eastAsia"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 w:eastAsia="zh-TW"/>
        </w:rPr>
        <w:t>闵行区城镇雨水排水规划（</w:t>
      </w:r>
      <w:r>
        <w:rPr>
          <w:rFonts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/>
        </w:rPr>
        <w:t>20</w:t>
      </w:r>
      <w:r>
        <w:rPr>
          <w:rFonts w:ascii="方正小标宋简体" w:hAnsi="华文中宋" w:eastAsia="PMingLiU" w:cs="华文中宋"/>
          <w:bCs/>
          <w:kern w:val="2"/>
          <w:sz w:val="44"/>
          <w:szCs w:val="44"/>
          <w:shd w:val="clear" w:color="auto" w:fill="FFFFFF"/>
          <w:lang w:val="zh-TW" w:eastAsia="zh-TW"/>
        </w:rPr>
        <w:t>21</w:t>
      </w:r>
      <w:r>
        <w:rPr>
          <w:rFonts w:hint="eastAsia"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/>
        </w:rPr>
        <w:t>-</w:t>
      </w:r>
      <w:r>
        <w:rPr>
          <w:rFonts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/>
        </w:rPr>
        <w:t>2035</w:t>
      </w:r>
      <w:r>
        <w:rPr>
          <w:rFonts w:hint="eastAsia"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/>
        </w:rPr>
        <w:t>年</w:t>
      </w:r>
      <w:r>
        <w:rPr>
          <w:rFonts w:hint="eastAsia"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 w:eastAsia="zh-TW"/>
        </w:rPr>
        <w:t>）</w:t>
      </w:r>
    </w:p>
    <w:p>
      <w:pPr>
        <w:widowControl w:val="0"/>
        <w:spacing w:line="240" w:lineRule="atLeast"/>
        <w:jc w:val="center"/>
        <w:outlineLvl w:val="0"/>
        <w:rPr>
          <w:rFonts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</w:rPr>
      </w:pPr>
      <w:r>
        <w:rPr>
          <w:rFonts w:hint="eastAsia" w:ascii="方正小标宋简体" w:hAnsi="华文中宋" w:eastAsia="方正小标宋简体" w:cs="华文中宋"/>
          <w:bCs/>
          <w:kern w:val="2"/>
          <w:sz w:val="44"/>
          <w:szCs w:val="44"/>
          <w:shd w:val="clear" w:color="auto" w:fill="FFFFFF"/>
          <w:lang w:val="zh-TW"/>
        </w:rPr>
        <w:t>（发布稿）</w:t>
      </w:r>
    </w:p>
    <w:p>
      <w:pPr>
        <w:pStyle w:val="24"/>
        <w:rPr>
          <w:rFonts w:ascii="仿宋_GB2312" w:hAnsi="新宋体" w:eastAsia="仿宋_GB2312" w:cs="新宋体"/>
          <w:b w:val="0"/>
          <w:bCs w:val="0"/>
          <w:color w:val="auto"/>
          <w:sz w:val="32"/>
          <w:szCs w:val="32"/>
          <w:shd w:val="clear" w:color="auto" w:fill="FFFFFF"/>
        </w:rPr>
      </w:pPr>
    </w:p>
    <w:p>
      <w:pPr>
        <w:pStyle w:val="24"/>
        <w:rPr>
          <w:rFonts w:ascii="仿宋_GB2312" w:hAnsi="新宋体" w:eastAsia="仿宋_GB2312" w:cs="新宋体"/>
          <w:b w:val="0"/>
          <w:bCs w:val="0"/>
          <w:color w:val="auto"/>
          <w:sz w:val="32"/>
          <w:szCs w:val="32"/>
          <w:shd w:val="clear" w:color="auto" w:fill="FFFFFF"/>
        </w:rPr>
      </w:pPr>
    </w:p>
    <w:p>
      <w:pPr>
        <w:pStyle w:val="24"/>
        <w:rPr>
          <w:rFonts w:ascii="仿宋_GB2312" w:hAnsi="新宋体" w:eastAsia="仿宋_GB2312" w:cs="新宋体"/>
          <w:b w:val="0"/>
          <w:bCs w:val="0"/>
          <w:color w:val="auto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rPr>
          <w:rFonts w:ascii="仿宋_GB2312" w:hAnsi="华文中宋" w:eastAsia="仿宋_GB2312" w:cs="华文中宋"/>
          <w:b/>
          <w:bCs/>
          <w:color w:val="auto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pStyle w:val="25"/>
        <w:ind w:firstLine="0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pStyle w:val="25"/>
        <w:ind w:firstLine="0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pStyle w:val="25"/>
        <w:ind w:firstLine="0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pStyle w:val="25"/>
        <w:ind w:firstLine="0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pStyle w:val="25"/>
        <w:ind w:firstLine="0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pStyle w:val="25"/>
        <w:ind w:firstLine="0"/>
        <w:jc w:val="center"/>
        <w:rPr>
          <w:rFonts w:ascii="仿宋_GB2312" w:hAnsi="新宋体" w:eastAsia="仿宋_GB2312" w:cs="新宋体"/>
          <w:color w:val="auto"/>
          <w:sz w:val="32"/>
          <w:szCs w:val="32"/>
          <w:shd w:val="clear" w:color="auto" w:fill="FFFFFF"/>
        </w:rPr>
      </w:pPr>
    </w:p>
    <w:p>
      <w:pPr>
        <w:spacing w:line="276" w:lineRule="auto"/>
        <w:jc w:val="center"/>
        <w:outlineLvl w:val="0"/>
        <w:rPr>
          <w:rFonts w:ascii="楷体_GB2312" w:hAnsi="华文中宋" w:eastAsia="楷体_GB2312" w:cs="华文中宋"/>
          <w:bCs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  <w:lang w:val="zh-TW"/>
        </w:rPr>
        <w:t>闵行区</w:t>
      </w:r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  <w:lang w:val="zh-TW" w:eastAsia="zh-TW"/>
        </w:rPr>
        <w:t>水务局</w:t>
      </w:r>
    </w:p>
    <w:p>
      <w:pPr>
        <w:spacing w:line="276" w:lineRule="auto"/>
        <w:jc w:val="center"/>
        <w:rPr>
          <w:rFonts w:ascii="楷体_GB2312" w:hAnsi="华文中宋" w:eastAsia="楷体_GB2312" w:cs="华文中宋"/>
          <w:bCs/>
          <w:sz w:val="32"/>
          <w:szCs w:val="32"/>
          <w:shd w:val="clear" w:color="auto" w:fill="FFFFFF"/>
          <w:lang w:val="zh-TW" w:eastAsia="zh-TW"/>
        </w:rPr>
        <w:sectPr>
          <w:footerReference r:id="rId4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</w:rPr>
        <w:t>20</w:t>
      </w:r>
      <w:r>
        <w:rPr>
          <w:rFonts w:ascii="楷体_GB2312" w:hAnsi="华文中宋" w:eastAsia="楷体_GB2312" w:cs="华文中宋"/>
          <w:bCs/>
          <w:sz w:val="32"/>
          <w:szCs w:val="32"/>
          <w:shd w:val="clear" w:color="auto" w:fill="FFFFFF"/>
        </w:rPr>
        <w:t>2</w:t>
      </w:r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  <w:lang w:val="zh-TW" w:eastAsia="zh-TW"/>
        </w:rPr>
        <w:t>年</w:t>
      </w:r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  <w:lang w:val="en-US" w:eastAsia="zh-CN"/>
        </w:rPr>
        <w:t>3</w:t>
      </w:r>
      <w:bookmarkStart w:id="12" w:name="_GoBack"/>
      <w:bookmarkEnd w:id="12"/>
      <w:r>
        <w:rPr>
          <w:rFonts w:hint="eastAsia" w:ascii="楷体_GB2312" w:hAnsi="华文中宋" w:eastAsia="楷体_GB2312" w:cs="华文中宋"/>
          <w:bCs/>
          <w:sz w:val="32"/>
          <w:szCs w:val="32"/>
          <w:shd w:val="clear" w:color="auto" w:fill="FFFFFF"/>
          <w:lang w:val="zh-TW" w:eastAsia="zh-TW"/>
        </w:rPr>
        <w:t>月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城镇雨水排水设施作为上海防汛保安体系的</w:t>
      </w:r>
      <w:r>
        <w:rPr>
          <w:rFonts w:hint="eastAsia" w:ascii="仿宋_GB2312" w:hAnsi="新宋体" w:eastAsia="仿宋_GB2312" w:cs="新宋体"/>
          <w:color w:val="auto"/>
          <w:sz w:val="32"/>
          <w:szCs w:val="32"/>
          <w:shd w:val="clear" w:color="auto" w:fill="FFFFFF"/>
        </w:rPr>
        <w:t>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四道防线</w:t>
      </w:r>
      <w:r>
        <w:rPr>
          <w:rFonts w:hint="eastAsia" w:ascii="仿宋_GB2312" w:hAnsi="新宋体" w:eastAsia="仿宋_GB2312" w:cs="新宋体"/>
          <w:color w:val="auto"/>
          <w:sz w:val="32"/>
          <w:szCs w:val="32"/>
          <w:shd w:val="clear" w:color="auto" w:fill="FFFFFF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之一，是保障区域安全的重要基础设施。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根据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《国务院办公厅关于做好城市排水防涝设施建设工作的通知》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和《上海市城镇雨水排水规划（2020-2035年）》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，为加快构建与闵行区重要战略支撑区、现代化新城区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定位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相适应的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城镇雨水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排水体系，保障城镇防汛安全、提升区域水环境质量，闵行区水务局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组织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编制了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《闵行区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城镇雨水排水规划（2021-2035年）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》。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黑体" w:hAnsi="黑体" w:eastAsia="黑体" w:cs="Times New Roman"/>
          <w:color w:val="auto"/>
          <w:sz w:val="32"/>
          <w:szCs w:val="32"/>
        </w:rPr>
      </w:pPr>
      <w:r>
        <w:rPr>
          <w:rFonts w:hint="eastAsia" w:ascii="黑体" w:hAnsi="黑体" w:eastAsia="黑体" w:cs="Times New Roman"/>
          <w:color w:val="auto"/>
          <w:sz w:val="32"/>
          <w:szCs w:val="32"/>
        </w:rPr>
        <w:t>一、规划总则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仿宋_GB2312"/>
          <w:color w:val="auto"/>
          <w:sz w:val="32"/>
          <w:szCs w:val="32"/>
          <w:lang w:val="zh-TW" w:eastAsia="zh-TW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（一）</w:t>
      </w:r>
      <w:r>
        <w:rPr>
          <w:rFonts w:hint="eastAsia" w:ascii="楷体" w:hAnsi="楷体" w:eastAsia="楷体" w:cs="仿宋_GB2312"/>
          <w:color w:val="auto"/>
          <w:sz w:val="32"/>
          <w:szCs w:val="32"/>
          <w:shd w:val="clear" w:color="auto" w:fill="FFFFFF"/>
          <w:lang w:val="zh-TW" w:eastAsia="zh-TW"/>
        </w:rPr>
        <w:t>指导思想</w:t>
      </w:r>
    </w:p>
    <w:p>
      <w:pPr>
        <w:spacing w:line="360" w:lineRule="auto"/>
        <w:ind w:firstLine="56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以《上海市城镇雨水排水规划（2020-2035年）》和《上海市闵行区总体规划暨土地利用总体规划（2017-2035）》为指导，坚持科学发展观，准确把握区域城市发展需求和发展环境，客观分析当前排水防涝建设和管理中存在的突出问题和瓶颈制约，以保障安全、提高标准、明确布局为重点，采取“源头径流控制、过程蓄排结合、末端两网统筹、风险科学管控”等手段，完善综合排水防涝体系，提高区域排水防涝能力，为闵行区经济社会可持续发展提供有力的支撑和保障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（二）规划期限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本次规划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期限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为2021</w:t>
      </w:r>
      <w:r>
        <w:rPr>
          <w:rFonts w:ascii="仿宋_GB2312" w:hAnsi="仿宋_GB2312" w:eastAsia="PMingLiU" w:cs="仿宋_GB2312"/>
          <w:color w:val="auto"/>
          <w:sz w:val="32"/>
          <w:szCs w:val="32"/>
          <w:shd w:val="clear" w:color="auto" w:fill="FFFFFF"/>
          <w:lang w:val="zh-TW" w:eastAsia="zh-TW"/>
        </w:rPr>
        <w:t>-2035</w:t>
      </w:r>
      <w:r>
        <w:rPr>
          <w:rFonts w:hint="eastAsia" w:ascii="仿宋_GB2312" w:hAnsi="仿宋_GB2312" w:cs="仿宋_GB2312" w:eastAsiaTheme="minorEastAsia"/>
          <w:color w:val="auto"/>
          <w:sz w:val="32"/>
          <w:szCs w:val="32"/>
          <w:shd w:val="clear" w:color="auto" w:fill="FFFFFF"/>
          <w:lang w:val="zh-TW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，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近期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至2025年。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（三）规划范围</w:t>
      </w:r>
    </w:p>
    <w:p>
      <w:pPr>
        <w:spacing w:line="360" w:lineRule="auto"/>
        <w:ind w:firstLine="608" w:firstLineChars="200"/>
        <w:jc w:val="both"/>
        <w:rPr>
          <w:rStyle w:val="33"/>
          <w:rFonts w:ascii="仿宋_GB2312" w:hAnsi="仿宋_GB2312" w:eastAsia="PMingLiU" w:cs="仿宋_GB2312"/>
          <w:color w:val="auto"/>
          <w:spacing w:val="-8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pacing w:val="-8"/>
          <w:sz w:val="32"/>
          <w:szCs w:val="32"/>
          <w:shd w:val="clear" w:color="auto" w:fill="FFFFFF"/>
          <w:lang w:val="zh-TW" w:eastAsia="zh-TW"/>
        </w:rPr>
        <w:t>规划范围为闵行区行政范围内的城镇建设区，面积约为276.9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 xml:space="preserve"> km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vertAlign w:val="superscript"/>
          <w:lang w:eastAsia="zh-TW"/>
        </w:rPr>
        <w:t>2</w:t>
      </w:r>
      <w:r>
        <w:rPr>
          <w:rFonts w:hint="eastAsia" w:ascii="仿宋_GB2312" w:hAnsi="仿宋_GB2312" w:eastAsia="仿宋_GB2312" w:cs="仿宋_GB2312"/>
          <w:color w:val="auto"/>
          <w:spacing w:val="-8"/>
          <w:sz w:val="32"/>
          <w:szCs w:val="32"/>
          <w:shd w:val="clear" w:color="auto" w:fill="FFFFFF"/>
          <w:lang w:val="zh-TW"/>
        </w:rPr>
        <w:t>；研究范围覆盖</w:t>
      </w:r>
      <w:r>
        <w:rPr>
          <w:rFonts w:ascii="仿宋_GB2312" w:hAnsi="仿宋_GB2312" w:eastAsia="仿宋_GB2312" w:cs="仿宋_GB2312"/>
          <w:color w:val="auto"/>
          <w:spacing w:val="-8"/>
          <w:sz w:val="32"/>
          <w:szCs w:val="32"/>
          <w:shd w:val="clear" w:color="auto" w:fill="FFFFFF"/>
          <w:lang w:val="zh-TW"/>
        </w:rPr>
        <w:t>闵行区</w:t>
      </w:r>
      <w:r>
        <w:rPr>
          <w:rFonts w:hint="eastAsia" w:ascii="仿宋_GB2312" w:hAnsi="仿宋_GB2312" w:eastAsia="仿宋_GB2312" w:cs="仿宋_GB2312"/>
          <w:color w:val="auto"/>
          <w:spacing w:val="-8"/>
          <w:sz w:val="32"/>
          <w:szCs w:val="32"/>
          <w:shd w:val="clear" w:color="auto" w:fill="FFFFFF"/>
          <w:lang w:val="zh-TW"/>
        </w:rPr>
        <w:t>行政范围约373.3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 xml:space="preserve"> km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vertAlign w:val="superscript"/>
          <w:lang w:eastAsia="zh-TW"/>
        </w:rPr>
        <w:t>2</w:t>
      </w:r>
      <w:r>
        <w:rPr>
          <w:rFonts w:ascii="仿宋_GB2312" w:hAnsi="仿宋_GB2312" w:eastAsia="PMingLiU" w:cs="仿宋_GB2312"/>
          <w:color w:val="auto"/>
          <w:spacing w:val="-8"/>
          <w:sz w:val="32"/>
          <w:szCs w:val="32"/>
          <w:shd w:val="clear" w:color="auto" w:fill="FFFFFF"/>
          <w:lang w:val="zh-TW" w:eastAsia="zh-TW"/>
        </w:rPr>
        <w:t>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黑体" w:hAnsi="黑体" w:eastAsia="黑体" w:cs="Times New Roman"/>
          <w:color w:val="auto"/>
          <w:sz w:val="32"/>
          <w:szCs w:val="32"/>
        </w:rPr>
      </w:pPr>
      <w:r>
        <w:rPr>
          <w:rFonts w:hint="eastAsia" w:ascii="黑体" w:hAnsi="黑体" w:eastAsia="黑体" w:cs="Times New Roman"/>
          <w:color w:val="auto"/>
          <w:sz w:val="32"/>
          <w:szCs w:val="32"/>
        </w:rPr>
        <w:t>二、规划目标和标准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（一）规划目标</w:t>
      </w:r>
    </w:p>
    <w:p>
      <w:pPr>
        <w:widowControl w:val="0"/>
        <w:spacing w:line="360" w:lineRule="auto"/>
        <w:ind w:firstLine="600" w:firstLineChars="200"/>
        <w:jc w:val="both"/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</w:pP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至2025年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全区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实现“初期雨水治理能力显著提升”，全区城镇25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%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左右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面积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、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中心城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35%左右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面积达到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3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-5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年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一遇排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水</w:t>
      </w:r>
      <w:r>
        <w:rPr>
          <w:rFonts w:ascii="仿宋_GB2312" w:hAnsi="Times New Roman" w:eastAsia="仿宋_GB2312" w:cs="Times New Roman"/>
          <w:color w:val="auto"/>
          <w:kern w:val="2"/>
          <w:sz w:val="30"/>
          <w:szCs w:val="30"/>
        </w:rPr>
        <w:t>能力</w:t>
      </w:r>
      <w:r>
        <w:rPr>
          <w:rFonts w:hint="eastAsia" w:ascii="仿宋_GB2312" w:hAnsi="Times New Roman" w:eastAsia="仿宋_GB2312" w:cs="Times New Roman"/>
          <w:color w:val="auto"/>
          <w:kern w:val="2"/>
          <w:sz w:val="30"/>
          <w:szCs w:val="30"/>
        </w:rPr>
        <w:t>。</w:t>
      </w:r>
    </w:p>
    <w:p>
      <w:pPr>
        <w:spacing w:line="360" w:lineRule="auto"/>
        <w:ind w:firstLine="56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至2035年，基本形成标准适宜、布局合理、安全可靠、环境良好、管理有效的现代化城镇雨水排水格局。排水系统基本达到3-5年一遇能力，50-100年一遇内涝可控，溢流污染负荷控制率达到80%（以SS计）。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（二）规划标准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sectPr>
          <w:headerReference r:id="rId5" w:type="default"/>
          <w:footerReference r:id="rId6" w:type="default"/>
          <w:pgSz w:w="11900" w:h="16840"/>
          <w:pgMar w:top="1440" w:right="1797" w:bottom="1440" w:left="1797" w:header="851" w:footer="992" w:gutter="0"/>
          <w:pgNumType w:start="1"/>
          <w:cols w:space="720" w:num="1"/>
        </w:sect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根据《上海市城镇雨水排水规划（2020-2035年）》、闵行区规划城乡体系划分，明确规划雨水排水标准。具体见表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1。</w:t>
      </w:r>
    </w:p>
    <w:p>
      <w:pPr>
        <w:spacing w:line="360" w:lineRule="auto"/>
        <w:jc w:val="center"/>
        <w:rPr>
          <w:rFonts w:ascii="仿宋_GB2312" w:hAnsi="仿宋" w:eastAsia="仿宋_GB2312" w:cs="Times New Roman"/>
          <w:b/>
          <w:color w:val="auto"/>
          <w:kern w:val="2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color w:val="auto"/>
          <w:kern w:val="2"/>
          <w:sz w:val="32"/>
          <w:szCs w:val="32"/>
        </w:rPr>
        <w:t>表1  闵行区规划雨水排水标准</w:t>
      </w:r>
    </w:p>
    <w:tbl>
      <w:tblPr>
        <w:tblStyle w:val="34"/>
        <w:tblW w:w="83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70"/>
        <w:gridCol w:w="32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5070" w:type="dxa"/>
            <w:vAlign w:val="center"/>
          </w:tcPr>
          <w:p>
            <w:pPr>
              <w:pStyle w:val="26"/>
              <w:ind w:firstLine="0"/>
              <w:jc w:val="center"/>
              <w:rPr>
                <w:rFonts w:cs="仿宋_GB2312" w:asciiTheme="majorEastAsia" w:hAnsiTheme="majorEastAsia" w:eastAsiaTheme="majorEastAsia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cs="Times New Roman" w:asciiTheme="majorEastAsia" w:hAnsiTheme="majorEastAsia" w:eastAsiaTheme="majorEastAsia"/>
                <w:color w:val="auto"/>
                <w:kern w:val="2"/>
                <w:sz w:val="28"/>
                <w:szCs w:val="28"/>
              </w:rPr>
              <w:t>标准名称</w:t>
            </w:r>
          </w:p>
        </w:tc>
        <w:tc>
          <w:tcPr>
            <w:tcW w:w="3232" w:type="dxa"/>
            <w:vAlign w:val="center"/>
          </w:tcPr>
          <w:p>
            <w:pPr>
              <w:pStyle w:val="35"/>
              <w:ind w:firstLine="0" w:firstLineChars="0"/>
              <w:jc w:val="center"/>
              <w:rPr>
                <w:rFonts w:cs="仿宋_GB2312" w:asciiTheme="majorEastAsia" w:hAnsiTheme="majorEastAsia" w:eastAsiaTheme="majorEastAsia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cs="Times New Roman" w:asciiTheme="majorEastAsia" w:hAnsiTheme="majorEastAsia" w:eastAsiaTheme="majorEastAsia"/>
                <w:kern w:val="2"/>
                <w:sz w:val="28"/>
                <w:szCs w:val="28"/>
              </w:rPr>
              <w:t>标准值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5070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排水系统设计重现期</w:t>
            </w:r>
          </w:p>
        </w:tc>
        <w:tc>
          <w:tcPr>
            <w:tcW w:w="3232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eastAsia="zh-TW"/>
              </w:rPr>
              <w:t>中心城及主城区（即闵行浦西地区）5年一遇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eastAsia="zh-TW"/>
              </w:rPr>
              <w:t>浦江镇不低于3年一遇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5070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地下通道和下沉式广场设计重现期</w:t>
            </w:r>
          </w:p>
        </w:tc>
        <w:tc>
          <w:tcPr>
            <w:tcW w:w="3232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≥30年一遇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5070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内涝防治设计重现期</w:t>
            </w:r>
          </w:p>
        </w:tc>
        <w:tc>
          <w:tcPr>
            <w:tcW w:w="3232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50-100年一遇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5070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强排系统初期雨水截流标准</w:t>
            </w:r>
          </w:p>
        </w:tc>
        <w:tc>
          <w:tcPr>
            <w:tcW w:w="3232" w:type="dxa"/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分流制≥5毫米</w:t>
            </w:r>
          </w:p>
        </w:tc>
      </w:tr>
    </w:tbl>
    <w:p>
      <w:pPr>
        <w:spacing w:before="120" w:beforeLines="50" w:after="120" w:afterLines="50"/>
        <w:ind w:firstLine="480" w:firstLineChars="200"/>
        <w:jc w:val="both"/>
        <w:rPr>
          <w:rFonts w:ascii="仿宋_GB2312" w:hAnsi="仿宋_GB2312" w:eastAsia="仿宋_GB2312" w:cs="仿宋_GB2312"/>
          <w:color w:val="auto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hd w:val="clear" w:color="auto" w:fill="FFFFFF"/>
          <w:lang w:val="zh-TW" w:eastAsia="zh-TW"/>
        </w:rPr>
        <w:t>注：内涝防治重现期的地面积水设计标准为：居民住宅和工商业建筑物底层不进水，道路中一条车道积水深度不超过</w:t>
      </w:r>
      <w:r>
        <w:rPr>
          <w:rFonts w:hint="eastAsia" w:ascii="仿宋_GB2312" w:hAnsi="仿宋_GB2312" w:eastAsia="仿宋_GB2312" w:cs="仿宋_GB2312"/>
          <w:color w:val="auto"/>
          <w:shd w:val="clear" w:color="auto" w:fill="FFFFFF"/>
        </w:rPr>
        <w:t>15厘米</w:t>
      </w:r>
      <w:r>
        <w:rPr>
          <w:rFonts w:hint="eastAsia" w:ascii="仿宋_GB2312" w:hAnsi="仿宋_GB2312" w:eastAsia="仿宋_GB2312" w:cs="仿宋_GB2312"/>
          <w:color w:val="auto"/>
          <w:shd w:val="clear" w:color="auto" w:fill="FFFFFF"/>
          <w:lang w:val="zh-TW" w:eastAsia="zh-TW"/>
        </w:rPr>
        <w:t>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（三）规划指标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践行海绵城市建设要求，明确相关规划指标。具体见下表2。</w:t>
      </w:r>
    </w:p>
    <w:p>
      <w:pPr>
        <w:spacing w:line="360" w:lineRule="auto"/>
        <w:jc w:val="center"/>
        <w:rPr>
          <w:rFonts w:ascii="仿宋_GB2312" w:hAnsi="仿宋" w:eastAsia="仿宋_GB2312" w:cs="Times New Roman"/>
          <w:b/>
          <w:color w:val="auto"/>
          <w:kern w:val="2"/>
          <w:sz w:val="32"/>
          <w:szCs w:val="32"/>
        </w:rPr>
      </w:pPr>
      <w:r>
        <w:rPr>
          <w:rFonts w:hint="eastAsia" w:ascii="仿宋_GB2312" w:hAnsi="仿宋" w:eastAsia="仿宋_GB2312" w:cs="Times New Roman"/>
          <w:b/>
          <w:color w:val="auto"/>
          <w:kern w:val="2"/>
          <w:sz w:val="32"/>
          <w:szCs w:val="32"/>
        </w:rPr>
        <w:t>表2  规划指标</w:t>
      </w:r>
    </w:p>
    <w:tbl>
      <w:tblPr>
        <w:tblStyle w:val="21"/>
        <w:tblW w:w="8523" w:type="dxa"/>
        <w:jc w:val="center"/>
        <w:tblBorders>
          <w:top w:val="single" w:color="FFFFFF" w:sz="8" w:space="0"/>
          <w:left w:val="single" w:color="FFFFFF" w:sz="8" w:space="0"/>
          <w:bottom w:val="single" w:color="FFFFFF" w:sz="8" w:space="0"/>
          <w:right w:val="single" w:color="FFFFFF" w:sz="8" w:space="0"/>
          <w:insideH w:val="single" w:color="FFFFFF" w:sz="8" w:space="0"/>
          <w:insideV w:val="single" w:color="FFFFFF" w:sz="8" w:space="0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08"/>
        <w:gridCol w:w="5915"/>
      </w:tblGrid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shd w:val="clear" w:color="auto" w:fill="CED7E7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  <w:jc w:val="center"/>
        </w:trPr>
        <w:tc>
          <w:tcPr>
            <w:tcW w:w="260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26"/>
              <w:ind w:firstLine="0"/>
              <w:jc w:val="center"/>
              <w:rPr>
                <w:rFonts w:cs="Times New Roman" w:asciiTheme="majorEastAsia" w:hAnsiTheme="majorEastAsia" w:eastAsiaTheme="majorEastAsia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cs="Times New Roman" w:asciiTheme="majorEastAsia" w:hAnsiTheme="majorEastAsia" w:eastAsiaTheme="majorEastAsia"/>
                <w:color w:val="auto"/>
                <w:kern w:val="2"/>
                <w:sz w:val="28"/>
                <w:szCs w:val="28"/>
              </w:rPr>
              <w:t>指标</w:t>
            </w:r>
          </w:p>
        </w:tc>
        <w:tc>
          <w:tcPr>
            <w:tcW w:w="5915" w:type="dxa"/>
            <w:tcBorders>
              <w:top w:val="single" w:color="000000" w:sz="4" w:space="0"/>
              <w:left w:val="single" w:color="auto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26"/>
              <w:widowControl w:val="0"/>
              <w:ind w:firstLine="0"/>
              <w:jc w:val="center"/>
              <w:rPr>
                <w:rFonts w:cs="Times New Roman" w:asciiTheme="majorEastAsia" w:hAnsiTheme="majorEastAsia" w:eastAsiaTheme="majorEastAsia"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cs="Times New Roman" w:asciiTheme="majorEastAsia" w:hAnsiTheme="majorEastAsia" w:eastAsiaTheme="majorEastAsia"/>
                <w:color w:val="auto"/>
                <w:kern w:val="2"/>
                <w:sz w:val="28"/>
                <w:szCs w:val="28"/>
              </w:rPr>
              <w:t>指标值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0" w:hRule="atLeast"/>
          <w:jc w:val="center"/>
        </w:trPr>
        <w:tc>
          <w:tcPr>
            <w:tcW w:w="260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雨水径流量控制</w:t>
            </w:r>
          </w:p>
        </w:tc>
        <w:tc>
          <w:tcPr>
            <w:tcW w:w="5915" w:type="dxa"/>
            <w:tcBorders>
              <w:top w:val="single" w:color="000000" w:sz="4" w:space="0"/>
              <w:left w:val="single" w:color="auto" w:sz="2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26"/>
              <w:widowControl w:val="0"/>
              <w:ind w:firstLine="0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按照海绵城市建设要求，控制年径流总量；对各类建设用地调蓄设施，按1.2万立方米/平方公里雨水调蓄能力配置（从1年一遇提高到5年一遇的强排系统），具体根据已建设施标准与规划标准的实际差距，按需确定绿色设施调蓄容积。</w:t>
            </w:r>
          </w:p>
        </w:tc>
      </w:tr>
      <w:tr>
        <w:tblPrEx>
          <w:tblBorders>
            <w:top w:val="single" w:color="FFFFFF" w:sz="8" w:space="0"/>
            <w:left w:val="single" w:color="FFFFFF" w:sz="8" w:space="0"/>
            <w:bottom w:val="single" w:color="FFFFFF" w:sz="8" w:space="0"/>
            <w:right w:val="single" w:color="FFFFFF" w:sz="8" w:space="0"/>
            <w:insideH w:val="single" w:color="FFFFFF" w:sz="8" w:space="0"/>
            <w:insideV w:val="single" w:color="FFFFFF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  <w:jc w:val="center"/>
        </w:trPr>
        <w:tc>
          <w:tcPr>
            <w:tcW w:w="2608" w:type="dxa"/>
            <w:tcBorders>
              <w:top w:val="single" w:color="auto" w:sz="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雨水资源利用率</w:t>
            </w:r>
          </w:p>
        </w:tc>
        <w:tc>
          <w:tcPr>
            <w:tcW w:w="5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>
            <w:pPr>
              <w:pStyle w:val="26"/>
              <w:widowControl w:val="0"/>
              <w:ind w:firstLine="0"/>
              <w:jc w:val="center"/>
              <w:rPr>
                <w:rFonts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shd w:val="clear" w:color="auto" w:fill="FFFFFF"/>
                <w:lang w:val="zh-TW" w:eastAsia="zh-TW"/>
              </w:rPr>
              <w:t>集中新、改建区域不宜低于2%</w:t>
            </w:r>
          </w:p>
        </w:tc>
      </w:tr>
    </w:tbl>
    <w:p>
      <w:pPr>
        <w:pStyle w:val="26"/>
        <w:widowControl w:val="0"/>
        <w:ind w:firstLine="0"/>
        <w:jc w:val="center"/>
        <w:rPr>
          <w:rFonts w:ascii="仿宋_GB2312" w:hAnsi="仿宋_GB2312" w:eastAsia="仿宋_GB2312" w:cs="仿宋_GB2312"/>
          <w:b/>
          <w:bCs/>
          <w:color w:val="auto"/>
          <w:sz w:val="32"/>
          <w:szCs w:val="32"/>
          <w:shd w:val="clear" w:color="auto" w:fill="FFFFFF"/>
        </w:rPr>
      </w:pP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黑体" w:hAnsi="黑体" w:eastAsia="黑体" w:cs="Times New Roman"/>
          <w:color w:val="auto"/>
          <w:sz w:val="32"/>
          <w:szCs w:val="32"/>
        </w:rPr>
      </w:pPr>
      <w:r>
        <w:rPr>
          <w:rFonts w:hint="eastAsia" w:ascii="黑体" w:hAnsi="黑体" w:eastAsia="黑体" w:cs="Times New Roman"/>
          <w:color w:val="auto"/>
          <w:sz w:val="32"/>
          <w:szCs w:val="32"/>
        </w:rPr>
        <w:t>三、规划方案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（一）排水体制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PMingLiU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闵行区全部采用雨、污水分流制。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（二）排水分区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PMingLiU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按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规划水利分片分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界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闵行区城镇雨水排水分成淀北片、淀南片和浦东片3个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排水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片区。</w:t>
      </w:r>
    </w:p>
    <w:p>
      <w:pPr>
        <w:pStyle w:val="25"/>
        <w:spacing w:line="360" w:lineRule="auto"/>
        <w:ind w:firstLine="640" w:firstLineChars="200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（三）排水模式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闵行区排水模式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基本维持现状，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其中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淀北片排水模式以强排为主、自排为辅；淀南片强排模式和自排模式并重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，沿淀浦河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和黄浦江一线以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强排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模式为主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；浦东片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自排模式为主。</w:t>
      </w:r>
    </w:p>
    <w:p>
      <w:pPr>
        <w:pStyle w:val="25"/>
        <w:spacing w:line="360" w:lineRule="auto"/>
        <w:ind w:firstLine="640" w:firstLineChars="200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（四）规划策略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根据《上海市城镇雨水排水规划（2020-2035年）》，结合本市平原感潮河网和高度城市化的特点，积极践行海绵城市理念，根据城市发展和排水设施建设情况，因地制宜，推进“绿色源头削峰、灰色过程蓄排、蓝色末端消纳、管理提质增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。其中：“绿”是海绵设施的运用和深化，指在源头建设的雨水蓄滞消峰设施，如设置在绿地、广场、小区的中小型调蓄设施和雨水花园、植草沟、生物滞留设施等，具有生态、低碳等特征；“灰”指市政排水设施，包括管网、泵站以及大型调蓄设施等；“蓝”指增加河湖面积、打通断头河、底泥疏浚、控制河道水位、提高排涝泵站能力等；“管”指管网检测、修复、完善、长效养护等精细化、智慧化管理措施。</w:t>
      </w:r>
    </w:p>
    <w:p>
      <w:pPr>
        <w:pStyle w:val="25"/>
        <w:spacing w:line="360" w:lineRule="auto"/>
        <w:ind w:firstLine="640" w:firstLineChars="200"/>
        <w:outlineLvl w:val="0"/>
        <w:rPr>
          <w:rFonts w:ascii="楷体" w:hAnsi="楷体" w:eastAsia="楷体" w:cs="Times New Roman"/>
          <w:color w:val="auto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sz w:val="32"/>
          <w:szCs w:val="32"/>
        </w:rPr>
        <w:t>（五）规划布局</w:t>
      </w:r>
    </w:p>
    <w:p>
      <w:pPr>
        <w:spacing w:line="360" w:lineRule="auto"/>
        <w:ind w:firstLine="640" w:firstLineChars="200"/>
        <w:rPr>
          <w:rStyle w:val="33"/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1、</w:t>
      </w:r>
      <w:r>
        <w:rPr>
          <w:rStyle w:val="33"/>
          <w:rFonts w:hint="eastAsia" w:ascii="仿宋_GB2312" w:eastAsia="仿宋_GB2312"/>
          <w:sz w:val="32"/>
          <w:szCs w:val="32"/>
        </w:rPr>
        <w:t>绿灰设施方案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（1）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市政强排系统</w:t>
      </w:r>
    </w:p>
    <w:p>
      <w:pPr>
        <w:spacing w:line="360" w:lineRule="auto"/>
        <w:ind w:firstLine="640" w:firstLineChars="200"/>
        <w:jc w:val="both"/>
        <w:rPr>
          <w:rFonts w:ascii="仿宋_GB2312" w:hAnsi="华文仿宋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规划范围内49个市政强排系统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仿宋_GB2312" w:hAnsi="华文仿宋" w:eastAsia="仿宋_GB2312"/>
          <w:sz w:val="32"/>
          <w:szCs w:val="32"/>
        </w:rPr>
        <w:t>规划新增泵排流量355 m</w:t>
      </w:r>
      <w:r>
        <w:rPr>
          <w:rFonts w:hint="eastAsia" w:ascii="仿宋_GB2312" w:hAnsi="华文仿宋" w:eastAsia="仿宋_GB2312"/>
          <w:sz w:val="32"/>
          <w:szCs w:val="32"/>
          <w:vertAlign w:val="superscript"/>
        </w:rPr>
        <w:t>3</w:t>
      </w:r>
      <w:r>
        <w:rPr>
          <w:rFonts w:hint="eastAsia" w:ascii="仿宋_GB2312" w:hAnsi="华文仿宋" w:eastAsia="仿宋_GB2312"/>
          <w:sz w:val="32"/>
          <w:szCs w:val="32"/>
        </w:rPr>
        <w:t>/s，总泵排流量</w:t>
      </w:r>
      <w:r>
        <w:rPr>
          <w:rFonts w:ascii="仿宋_GB2312" w:hAnsi="华文仿宋" w:eastAsia="仿宋_GB2312"/>
          <w:sz w:val="32"/>
          <w:szCs w:val="32"/>
        </w:rPr>
        <w:t>规划远期达到890</w:t>
      </w:r>
      <w:r>
        <w:rPr>
          <w:rFonts w:hint="eastAsia" w:ascii="仿宋_GB2312" w:hAnsi="华文仿宋" w:eastAsia="仿宋_GB2312"/>
          <w:sz w:val="32"/>
          <w:szCs w:val="32"/>
        </w:rPr>
        <w:t>m</w:t>
      </w:r>
      <w:r>
        <w:rPr>
          <w:rFonts w:hint="eastAsia" w:ascii="仿宋_GB2312" w:hAnsi="华文仿宋" w:eastAsia="仿宋_GB2312"/>
          <w:sz w:val="32"/>
          <w:szCs w:val="32"/>
          <w:vertAlign w:val="superscript"/>
        </w:rPr>
        <w:t>3</w:t>
      </w:r>
      <w:r>
        <w:rPr>
          <w:rFonts w:hint="eastAsia" w:ascii="仿宋_GB2312" w:hAnsi="华文仿宋" w:eastAsia="仿宋_GB2312"/>
          <w:sz w:val="32"/>
          <w:szCs w:val="32"/>
        </w:rPr>
        <w:t>/s</w:t>
      </w:r>
      <w:r>
        <w:rPr>
          <w:rStyle w:val="20"/>
          <w:rFonts w:ascii="仿宋_GB2312" w:hAnsi="华文仿宋" w:eastAsia="仿宋_GB2312"/>
          <w:sz w:val="32"/>
          <w:szCs w:val="32"/>
        </w:rPr>
        <w:footnoteReference w:id="0"/>
      </w:r>
      <w:r>
        <w:rPr>
          <w:rFonts w:hint="eastAsia" w:ascii="仿宋_GB2312" w:hAnsi="华文仿宋" w:eastAsia="仿宋_GB2312"/>
          <w:sz w:val="32"/>
          <w:szCs w:val="32"/>
        </w:rPr>
        <w:t>。规划</w:t>
      </w:r>
      <w:r>
        <w:rPr>
          <w:rFonts w:ascii="仿宋_GB2312" w:hAnsi="华文仿宋" w:eastAsia="仿宋_GB2312"/>
          <w:sz w:val="32"/>
          <w:szCs w:val="32"/>
          <w:lang w:val="zh-TW"/>
        </w:rPr>
        <w:t>新建初期雨水调蓄设施</w:t>
      </w:r>
      <w:r>
        <w:rPr>
          <w:rFonts w:hint="eastAsia" w:ascii="仿宋_GB2312" w:hAnsi="华文仿宋" w:eastAsia="仿宋_GB2312"/>
          <w:sz w:val="32"/>
          <w:szCs w:val="32"/>
          <w:lang w:val="zh-TW"/>
        </w:rPr>
        <w:t>（灰色设施）规模约</w:t>
      </w:r>
      <w:r>
        <w:rPr>
          <w:rFonts w:ascii="仿宋_GB2312" w:hAnsi="华文仿宋" w:eastAsia="PMingLiU"/>
          <w:sz w:val="32"/>
          <w:szCs w:val="32"/>
          <w:lang w:val="zh-TW" w:eastAsia="zh-TW"/>
        </w:rPr>
        <w:t>32.6</w:t>
      </w:r>
      <w:r>
        <w:rPr>
          <w:rFonts w:ascii="仿宋_GB2312" w:hAnsi="华文仿宋" w:eastAsia="仿宋_GB2312"/>
          <w:sz w:val="32"/>
          <w:szCs w:val="32"/>
          <w:lang w:val="zh-TW"/>
        </w:rPr>
        <w:t>万</w:t>
      </w:r>
      <w:r>
        <w:rPr>
          <w:rFonts w:hint="eastAsia" w:ascii="仿宋_GB2312" w:hAnsi="华文仿宋" w:eastAsia="仿宋_GB2312"/>
          <w:sz w:val="32"/>
          <w:szCs w:val="32"/>
        </w:rPr>
        <w:t>m</w:t>
      </w:r>
      <w:r>
        <w:rPr>
          <w:rFonts w:hint="eastAsia" w:ascii="仿宋_GB2312" w:hAnsi="华文仿宋" w:eastAsia="仿宋_GB2312"/>
          <w:sz w:val="32"/>
          <w:szCs w:val="32"/>
          <w:vertAlign w:val="superscript"/>
        </w:rPr>
        <w:t>3</w:t>
      </w:r>
      <w:r>
        <w:rPr>
          <w:rFonts w:hint="eastAsia" w:ascii="仿宋_GB2312" w:hAnsi="华文仿宋" w:eastAsia="仿宋_GB2312"/>
          <w:sz w:val="32"/>
          <w:szCs w:val="32"/>
          <w:lang w:val="zh-TW"/>
        </w:rPr>
        <w:t>。</w:t>
      </w:r>
      <w:r>
        <w:rPr>
          <w:rFonts w:ascii="仿宋_GB2312" w:hAnsi="华文仿宋" w:eastAsia="仿宋_GB2312"/>
          <w:sz w:val="32"/>
          <w:szCs w:val="32"/>
        </w:rPr>
        <w:t>新增绿色调蓄</w:t>
      </w:r>
      <w:r>
        <w:rPr>
          <w:rFonts w:hint="eastAsia" w:ascii="仿宋_GB2312" w:hAnsi="华文仿宋" w:eastAsia="仿宋_GB2312"/>
          <w:sz w:val="32"/>
          <w:szCs w:val="32"/>
        </w:rPr>
        <w:t>设施规模</w:t>
      </w:r>
      <w:r>
        <w:rPr>
          <w:rFonts w:ascii="仿宋_GB2312" w:hAnsi="华文仿宋" w:eastAsia="仿宋_GB2312"/>
          <w:sz w:val="32"/>
          <w:szCs w:val="32"/>
        </w:rPr>
        <w:t>30.5</w:t>
      </w:r>
      <w:r>
        <w:rPr>
          <w:rFonts w:hint="eastAsia" w:ascii="仿宋_GB2312" w:hAnsi="华文仿宋" w:eastAsia="仿宋_GB2312"/>
          <w:sz w:val="32"/>
          <w:szCs w:val="32"/>
        </w:rPr>
        <w:t xml:space="preserve"> 万m</w:t>
      </w:r>
      <w:r>
        <w:rPr>
          <w:rFonts w:hint="eastAsia" w:ascii="仿宋_GB2312" w:hAnsi="华文仿宋" w:eastAsia="仿宋_GB2312"/>
          <w:sz w:val="32"/>
          <w:szCs w:val="32"/>
          <w:vertAlign w:val="superscript"/>
        </w:rPr>
        <w:t>3</w:t>
      </w:r>
      <w:r>
        <w:rPr>
          <w:rFonts w:hint="eastAsia" w:ascii="仿宋_GB2312" w:hAnsi="华文仿宋" w:eastAsia="仿宋_GB2312"/>
          <w:sz w:val="32"/>
          <w:szCs w:val="32"/>
        </w:rPr>
        <w:t>。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（2）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企业自建系统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规划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自建强排系统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10个。已建系统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须通过内部改造达到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5年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一遇排水能力，规划新增绿色调蓄设施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规模11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.3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万</w:t>
      </w:r>
      <w:r>
        <w:rPr>
          <w:rFonts w:hint="eastAsia" w:ascii="仿宋_GB2312" w:hAnsi="华文仿宋" w:eastAsia="仿宋_GB2312"/>
          <w:sz w:val="32"/>
          <w:szCs w:val="32"/>
        </w:rPr>
        <w:t>m</w:t>
      </w:r>
      <w:r>
        <w:rPr>
          <w:rFonts w:hint="eastAsia" w:ascii="仿宋_GB2312" w:hAnsi="华文仿宋" w:eastAsia="仿宋_GB2312"/>
          <w:sz w:val="32"/>
          <w:szCs w:val="32"/>
          <w:vertAlign w:val="superscript"/>
        </w:rPr>
        <w:t>3</w:t>
      </w:r>
      <w:r>
        <w:rPr>
          <w:rFonts w:hint="eastAsia" w:ascii="仿宋_GB2312" w:hAnsi="华文仿宋" w:eastAsia="仿宋_GB2312"/>
          <w:sz w:val="32"/>
          <w:szCs w:val="32"/>
        </w:rPr>
        <w:t>，</w:t>
      </w:r>
      <w:r>
        <w:rPr>
          <w:rFonts w:ascii="仿宋_GB2312" w:hAnsi="华文仿宋" w:eastAsia="仿宋_GB2312"/>
          <w:sz w:val="32"/>
          <w:szCs w:val="32"/>
          <w:lang w:val="zh-TW"/>
        </w:rPr>
        <w:t>新建初期雨水调蓄设施</w:t>
      </w:r>
      <w:r>
        <w:rPr>
          <w:rFonts w:hint="eastAsia" w:ascii="仿宋_GB2312" w:hAnsi="华文仿宋" w:eastAsia="仿宋_GB2312"/>
          <w:sz w:val="32"/>
          <w:szCs w:val="32"/>
          <w:lang w:val="zh-TW"/>
        </w:rPr>
        <w:t>（灰色设施）规模约</w:t>
      </w:r>
      <w:r>
        <w:rPr>
          <w:rFonts w:ascii="仿宋_GB2312" w:hAnsi="华文仿宋" w:eastAsia="PMingLiU"/>
          <w:sz w:val="32"/>
          <w:szCs w:val="32"/>
          <w:lang w:val="zh-TW" w:eastAsia="zh-TW"/>
        </w:rPr>
        <w:t>3.6</w:t>
      </w:r>
      <w:r>
        <w:rPr>
          <w:rFonts w:ascii="仿宋_GB2312" w:hAnsi="华文仿宋" w:eastAsia="仿宋_GB2312"/>
          <w:sz w:val="32"/>
          <w:szCs w:val="32"/>
          <w:lang w:val="zh-TW"/>
        </w:rPr>
        <w:t>万</w:t>
      </w:r>
      <w:r>
        <w:rPr>
          <w:rFonts w:hint="eastAsia" w:ascii="仿宋_GB2312" w:hAnsi="华文仿宋" w:eastAsia="仿宋_GB2312"/>
          <w:sz w:val="32"/>
          <w:szCs w:val="32"/>
        </w:rPr>
        <w:t>m</w:t>
      </w:r>
      <w:r>
        <w:rPr>
          <w:rFonts w:hint="eastAsia" w:ascii="仿宋_GB2312" w:hAnsi="华文仿宋" w:eastAsia="仿宋_GB2312"/>
          <w:sz w:val="32"/>
          <w:szCs w:val="32"/>
          <w:vertAlign w:val="superscript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；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新建系统按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5年一遇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标准达标建设。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（3）自排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地区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规划加强海绵城市建设，在源头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配建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绿色设施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削减和滞纳峰值雨水，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控制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面源污染；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待建地区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合理控制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地面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竖向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标高，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按照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3～5年一遇标准建设雨水排水设施；已建地区优先强化管理措施，合理改造现状已建小口径管道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同步配套完善蓝色设施提升雨水受纳能力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；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规划新增绿色调蓄设施规模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21.6万m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vertAlign w:val="superscript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eastAsia="zh-TW"/>
        </w:rPr>
        <w:t>。</w:t>
      </w:r>
    </w:p>
    <w:p>
      <w:pPr>
        <w:spacing w:line="360" w:lineRule="auto"/>
        <w:ind w:firstLine="640" w:firstLineChars="200"/>
        <w:rPr>
          <w:rStyle w:val="36"/>
          <w:rFonts w:ascii="仿宋_GB2312" w:eastAsia="仿宋_GB2312"/>
          <w:sz w:val="32"/>
          <w:szCs w:val="32"/>
        </w:rPr>
      </w:pPr>
      <w:bookmarkStart w:id="0" w:name="_Hlk39005190"/>
      <w:r>
        <w:rPr>
          <w:rStyle w:val="36"/>
          <w:rFonts w:hint="eastAsia" w:ascii="仿宋_GB2312" w:eastAsia="仿宋_GB2312"/>
          <w:sz w:val="32"/>
          <w:szCs w:val="32"/>
        </w:rPr>
        <w:t>2、蓝色设施方案</w:t>
      </w:r>
    </w:p>
    <w:p>
      <w:pPr>
        <w:spacing w:line="360" w:lineRule="auto"/>
        <w:ind w:firstLine="640" w:firstLineChars="200"/>
        <w:rPr>
          <w:rStyle w:val="33"/>
          <w:rFonts w:ascii="仿宋_GB2312" w:eastAsia="仿宋_GB2312"/>
          <w:sz w:val="32"/>
          <w:szCs w:val="32"/>
        </w:rPr>
      </w:pPr>
      <w:r>
        <w:rPr>
          <w:rStyle w:val="33"/>
          <w:rFonts w:hint="eastAsia" w:ascii="仿宋_GB2312" w:eastAsia="仿宋_GB2312"/>
          <w:sz w:val="32"/>
          <w:szCs w:val="32"/>
        </w:rPr>
        <w:t>依托区域“</w:t>
      </w:r>
      <w:r>
        <w:rPr>
          <w:rStyle w:val="36"/>
          <w:rFonts w:hint="eastAsia" w:ascii="仿宋_GB2312" w:eastAsia="仿宋_GB2312"/>
          <w:sz w:val="32"/>
          <w:szCs w:val="32"/>
        </w:rPr>
        <w:t>3个水利综合治理大片、6纵12横主干河网、4</w:t>
      </w:r>
      <w:r>
        <w:rPr>
          <w:rStyle w:val="36"/>
          <w:rFonts w:ascii="仿宋_GB2312" w:eastAsia="仿宋_GB2312"/>
          <w:sz w:val="32"/>
          <w:szCs w:val="32"/>
        </w:rPr>
        <w:t>3</w:t>
      </w:r>
      <w:r>
        <w:rPr>
          <w:rStyle w:val="36"/>
          <w:rFonts w:hint="eastAsia" w:ascii="仿宋_GB2312" w:eastAsia="仿宋_GB2312"/>
          <w:sz w:val="32"/>
          <w:szCs w:val="32"/>
        </w:rPr>
        <w:t>座外围泵闸</w:t>
      </w:r>
      <w:r>
        <w:rPr>
          <w:rStyle w:val="33"/>
          <w:rFonts w:hint="eastAsia" w:ascii="仿宋_GB2312" w:eastAsia="仿宋_GB2312"/>
          <w:sz w:val="32"/>
          <w:szCs w:val="32"/>
        </w:rPr>
        <w:t>”防洪除涝体系，</w:t>
      </w:r>
      <w:bookmarkEnd w:id="0"/>
      <w:r>
        <w:rPr>
          <w:rStyle w:val="36"/>
          <w:rFonts w:hint="eastAsia" w:ascii="仿宋_GB2312" w:eastAsia="仿宋_GB2312"/>
          <w:sz w:val="32"/>
          <w:szCs w:val="32"/>
        </w:rPr>
        <w:t>全区规划河湖水面率不低于10.46%，提高河网槽蓄库容，进一步畅通水系，增强雨水</w:t>
      </w:r>
      <w:r>
        <w:rPr>
          <w:rStyle w:val="36"/>
          <w:rFonts w:ascii="仿宋_GB2312" w:eastAsia="仿宋_GB2312"/>
          <w:sz w:val="32"/>
          <w:szCs w:val="32"/>
        </w:rPr>
        <w:t>消纳和</w:t>
      </w:r>
      <w:r>
        <w:rPr>
          <w:rStyle w:val="36"/>
          <w:rFonts w:hint="eastAsia" w:ascii="仿宋_GB2312" w:eastAsia="仿宋_GB2312"/>
          <w:sz w:val="32"/>
          <w:szCs w:val="32"/>
        </w:rPr>
        <w:t>涝水外排能力。</w:t>
      </w:r>
    </w:p>
    <w:p>
      <w:pPr>
        <w:spacing w:line="360" w:lineRule="auto"/>
        <w:ind w:firstLine="640" w:firstLineChars="200"/>
        <w:jc w:val="both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3、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t>智慧管理方案</w:t>
      </w:r>
    </w:p>
    <w:p>
      <w:pPr>
        <w:spacing w:line="360" w:lineRule="auto"/>
        <w:ind w:firstLine="640" w:firstLineChars="200"/>
        <w:rPr>
          <w:rStyle w:val="33"/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一是用1～2年完成管网健康普查。二是有计划、针对性地实施管道检测和修复。三是对标国际先进水平，提高养护频次</w:t>
      </w:r>
      <w:r>
        <w:rPr>
          <w:rStyle w:val="33"/>
          <w:rFonts w:hint="eastAsia" w:ascii="仿宋_GB2312" w:eastAsia="仿宋_GB2312"/>
          <w:sz w:val="32"/>
          <w:szCs w:val="32"/>
        </w:rPr>
        <w:t>；</w:t>
      </w:r>
      <w:r>
        <w:rPr>
          <w:rStyle w:val="33"/>
          <w:rFonts w:hint="eastAsia" w:ascii="仿宋_GB2312" w:eastAsia="仿宋_GB2312"/>
          <w:bCs/>
          <w:sz w:val="32"/>
          <w:szCs w:val="32"/>
        </w:rPr>
        <w:t>四是</w:t>
      </w:r>
      <w:r>
        <w:rPr>
          <w:rStyle w:val="33"/>
          <w:rFonts w:hint="eastAsia" w:ascii="仿宋_GB2312" w:eastAsia="仿宋_GB2312"/>
          <w:sz w:val="32"/>
          <w:szCs w:val="32"/>
        </w:rPr>
        <w:t>建设智能化排水运管平台，提高智慧化、精细化管理水平。</w:t>
      </w:r>
    </w:p>
    <w:p>
      <w:pPr>
        <w:spacing w:line="360" w:lineRule="auto"/>
        <w:ind w:firstLine="640" w:firstLineChars="200"/>
        <w:rPr>
          <w:rFonts w:ascii="仿宋_GB2312" w:hAnsi="Times New Roman" w:eastAsia="仿宋_GB2312" w:cs="Times New Roman"/>
          <w:kern w:val="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</w:rPr>
        <w:t>4、</w:t>
      </w:r>
      <w:bookmarkStart w:id="1" w:name="_Toc512579641"/>
      <w:bookmarkStart w:id="2" w:name="_Toc39599634"/>
      <w:bookmarkStart w:id="3" w:name="_Toc39610557"/>
      <w:bookmarkStart w:id="4" w:name="_Toc39609452"/>
      <w:r>
        <w:rPr>
          <w:rFonts w:ascii="仿宋_GB2312" w:hAnsi="Times New Roman" w:eastAsia="仿宋_GB2312" w:cs="Times New Roman"/>
          <w:kern w:val="2"/>
          <w:sz w:val="32"/>
          <w:szCs w:val="32"/>
          <w:shd w:val="clear" w:color="auto" w:fill="FFFFFF"/>
        </w:rPr>
        <w:t>内涝防治</w:t>
      </w:r>
      <w:bookmarkEnd w:id="1"/>
      <w:r>
        <w:rPr>
          <w:rFonts w:ascii="仿宋_GB2312" w:hAnsi="Times New Roman" w:eastAsia="仿宋_GB2312" w:cs="Times New Roman"/>
          <w:kern w:val="2"/>
          <w:sz w:val="32"/>
          <w:szCs w:val="32"/>
          <w:shd w:val="clear" w:color="auto" w:fill="FFFFFF"/>
        </w:rPr>
        <w:t>方案</w:t>
      </w:r>
      <w:bookmarkEnd w:id="2"/>
      <w:bookmarkEnd w:id="3"/>
      <w:bookmarkEnd w:id="4"/>
    </w:p>
    <w:p>
      <w:pPr>
        <w:spacing w:line="360" w:lineRule="auto"/>
        <w:ind w:firstLine="640" w:firstLineChars="200"/>
        <w:jc w:val="both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对超过雨水排水设施消纳能力的强降雨和连续降雨，结合本地区的自然条件，根据排水除涝系统能力和内涝风险评估情况，在充分发挥排水设施作用的基础上，科学规划竖向高程，合理利用各类调蓄设施和行泄通道，达到内涝防治规划目标。规划提出在满足海绵城市建设技术标准的同时，进一步落实如下控制要求。</w:t>
      </w:r>
    </w:p>
    <w:p>
      <w:pPr>
        <w:spacing w:line="360" w:lineRule="auto"/>
        <w:ind w:firstLine="640" w:firstLineChars="200"/>
        <w:jc w:val="both"/>
        <w:rPr>
          <w:rFonts w:ascii="仿宋_GB2312" w:hAnsi="Times New Roman" w:eastAsia="仿宋_GB2312" w:cs="Times New Roman"/>
          <w:sz w:val="32"/>
          <w:szCs w:val="32"/>
        </w:rPr>
      </w:pPr>
      <w:bookmarkStart w:id="5" w:name="_Hlk39607563"/>
      <w:bookmarkStart w:id="6" w:name="_Hlk39607436"/>
      <w:r>
        <w:rPr>
          <w:rFonts w:hint="eastAsia" w:ascii="仿宋_GB2312" w:hAnsi="Times New Roman" w:eastAsia="仿宋_GB2312" w:cs="Times New Roman"/>
          <w:sz w:val="32"/>
          <w:szCs w:val="32"/>
        </w:rPr>
        <w:t>平面控制：</w:t>
      </w:r>
      <w:bookmarkStart w:id="7" w:name="_Hlk39607672"/>
      <w:r>
        <w:rPr>
          <w:rFonts w:hint="eastAsia" w:ascii="仿宋_GB2312" w:hAnsi="Times New Roman" w:eastAsia="仿宋_GB2312" w:cs="Times New Roman"/>
          <w:sz w:val="32"/>
          <w:szCs w:val="32"/>
        </w:rPr>
        <w:t>城乡规划和项目建设应尽量增加透水面积，合理布局调蓄空间，将公园、广场、绿地及特定地下空间等公共设施作为内涝应急调蓄空间</w:t>
      </w:r>
      <w:bookmarkEnd w:id="7"/>
      <w:r>
        <w:rPr>
          <w:rFonts w:hint="eastAsia" w:ascii="仿宋_GB2312" w:hAnsi="Times New Roman" w:eastAsia="仿宋_GB2312" w:cs="Times New Roman"/>
          <w:sz w:val="32"/>
          <w:szCs w:val="32"/>
        </w:rPr>
        <w:t>。</w:t>
      </w:r>
    </w:p>
    <w:p>
      <w:pPr>
        <w:spacing w:line="360" w:lineRule="auto"/>
        <w:ind w:firstLine="640" w:firstLineChars="200"/>
        <w:jc w:val="both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竖向控制：</w:t>
      </w:r>
      <w:bookmarkStart w:id="8" w:name="_Hlk39607684"/>
      <w:r>
        <w:rPr>
          <w:rFonts w:hint="eastAsia" w:ascii="仿宋_GB2312" w:hAnsi="Times New Roman" w:eastAsia="仿宋_GB2312" w:cs="Times New Roman"/>
          <w:sz w:val="32"/>
          <w:szCs w:val="32"/>
        </w:rPr>
        <w:t>规划要统筹建筑地坪高程、小区道路高程、市政道路高程和河道水位，优化道路与河口交接处标高，发挥道路路面排水作用，满足内涝防治要求</w:t>
      </w:r>
      <w:bookmarkEnd w:id="8"/>
      <w:r>
        <w:rPr>
          <w:rFonts w:hint="eastAsia" w:ascii="仿宋_GB2312" w:hAnsi="Times New Roman" w:eastAsia="仿宋_GB2312" w:cs="Times New Roman"/>
          <w:sz w:val="32"/>
          <w:szCs w:val="32"/>
        </w:rPr>
        <w:t>。</w:t>
      </w:r>
      <w:bookmarkEnd w:id="5"/>
      <w:bookmarkStart w:id="9" w:name="_Hlk39607724"/>
      <w:bookmarkStart w:id="10" w:name="_Hlk39607574"/>
      <w:r>
        <w:rPr>
          <w:rFonts w:hint="eastAsia" w:ascii="仿宋_GB2312" w:hAnsi="Times New Roman" w:eastAsia="仿宋_GB2312" w:cs="Times New Roman"/>
          <w:sz w:val="32"/>
          <w:szCs w:val="32"/>
        </w:rPr>
        <w:t>规划推荐</w:t>
      </w:r>
      <w:r>
        <w:rPr>
          <w:rFonts w:ascii="仿宋_GB2312" w:hAnsi="Times New Roman" w:eastAsia="仿宋_GB2312" w:cs="Times New Roman"/>
          <w:sz w:val="32"/>
          <w:szCs w:val="32"/>
        </w:rPr>
        <w:t>按照最不利点排水压差</w:t>
      </w:r>
      <w:r>
        <w:rPr>
          <w:rFonts w:hint="eastAsia" w:ascii="仿宋_GB2312" w:hAnsi="Times New Roman" w:eastAsia="仿宋_GB2312" w:cs="Times New Roman"/>
          <w:sz w:val="32"/>
          <w:szCs w:val="32"/>
        </w:rPr>
        <w:t>0.8米</w:t>
      </w:r>
      <w:r>
        <w:rPr>
          <w:rFonts w:ascii="仿宋_GB2312" w:hAnsi="Times New Roman" w:eastAsia="仿宋_GB2312" w:cs="Times New Roman"/>
          <w:sz w:val="32"/>
          <w:szCs w:val="32"/>
        </w:rPr>
        <w:t>控制自排地区</w:t>
      </w:r>
      <w:r>
        <w:rPr>
          <w:rFonts w:hint="eastAsia" w:ascii="仿宋_GB2312" w:hAnsi="Times New Roman" w:eastAsia="仿宋_GB2312" w:cs="Times New Roman"/>
          <w:sz w:val="32"/>
          <w:szCs w:val="32"/>
        </w:rPr>
        <w:t>竖向标高</w:t>
      </w:r>
      <w:r>
        <w:rPr>
          <w:rFonts w:ascii="仿宋_GB2312" w:hAnsi="Times New Roman" w:eastAsia="仿宋_GB2312" w:cs="Times New Roman"/>
          <w:sz w:val="32"/>
          <w:szCs w:val="32"/>
        </w:rPr>
        <w:t>。</w:t>
      </w:r>
    </w:p>
    <w:p>
      <w:pPr>
        <w:spacing w:line="360" w:lineRule="auto"/>
        <w:ind w:firstLine="640" w:firstLineChars="200"/>
        <w:jc w:val="both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管理调度：</w:t>
      </w:r>
      <w:bookmarkStart w:id="11" w:name="_Hlk39607746"/>
      <w:r>
        <w:rPr>
          <w:rFonts w:hint="eastAsia" w:ascii="仿宋_GB2312" w:hAnsi="Times New Roman" w:eastAsia="仿宋_GB2312" w:cs="Times New Roman"/>
          <w:sz w:val="32"/>
          <w:szCs w:val="32"/>
        </w:rPr>
        <w:t>加强预警预报、雨前预降河道水位、外围泵站排水等措施，统筹调度涝水蓄泄设施</w:t>
      </w:r>
      <w:bookmarkEnd w:id="9"/>
      <w:bookmarkEnd w:id="11"/>
      <w:r>
        <w:rPr>
          <w:rFonts w:hint="eastAsia" w:ascii="仿宋_GB2312" w:hAnsi="Times New Roman" w:eastAsia="仿宋_GB2312" w:cs="Times New Roman"/>
          <w:sz w:val="32"/>
          <w:szCs w:val="32"/>
        </w:rPr>
        <w:t>。</w:t>
      </w:r>
    </w:p>
    <w:bookmarkEnd w:id="6"/>
    <w:bookmarkEnd w:id="10"/>
    <w:p>
      <w:pPr>
        <w:spacing w:line="360" w:lineRule="auto"/>
        <w:ind w:firstLine="640" w:firstLineChars="200"/>
        <w:jc w:val="both"/>
        <w:rPr>
          <w:rFonts w:ascii="楷体" w:hAnsi="楷体" w:eastAsia="楷体" w:cs="Times New Roman"/>
          <w:color w:val="auto"/>
          <w:kern w:val="2"/>
          <w:sz w:val="32"/>
          <w:szCs w:val="32"/>
        </w:rPr>
      </w:pPr>
      <w:r>
        <w:rPr>
          <w:rFonts w:hint="eastAsia" w:ascii="楷体" w:hAnsi="楷体" w:eastAsia="楷体" w:cs="Times New Roman"/>
          <w:color w:val="auto"/>
          <w:kern w:val="2"/>
          <w:sz w:val="32"/>
          <w:szCs w:val="32"/>
          <w:lang w:eastAsia="zh-CN"/>
        </w:rPr>
        <w:t>（六）</w:t>
      </w:r>
      <w:r>
        <w:rPr>
          <w:rFonts w:ascii="楷体" w:hAnsi="楷体" w:eastAsia="楷体" w:cs="Times New Roman"/>
          <w:color w:val="auto"/>
          <w:kern w:val="2"/>
          <w:sz w:val="32"/>
          <w:szCs w:val="32"/>
        </w:rPr>
        <w:t>实施策略</w:t>
      </w:r>
    </w:p>
    <w:p>
      <w:pPr>
        <w:spacing w:line="360" w:lineRule="auto"/>
        <w:ind w:firstLine="640" w:firstLineChars="200"/>
        <w:jc w:val="both"/>
        <w:rPr>
          <w:rFonts w:ascii="仿宋_GB2312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近期规划</w:t>
      </w:r>
      <w:r>
        <w:rPr>
          <w:rFonts w:hint="eastAsia" w:ascii="仿宋_GB2312" w:hAnsi="Times New Roman" w:eastAsia="仿宋_GB2312" w:cs="Times New Roman"/>
          <w:color w:val="auto"/>
          <w:kern w:val="2"/>
          <w:sz w:val="32"/>
          <w:szCs w:val="32"/>
        </w:rPr>
        <w:t>建设九星、昆阳、华江、繁兴、景川和浦南等6座雨水泵站；开展18座老旧排水泵站大中修工程；有计划和针对性推进以10年为一周期的老龄管道结构性检测和修复工作；加强积水点改造，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建成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一批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雨水泵站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初雨调蓄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设施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和绿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色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提标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调蓄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设施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，</w:t>
      </w:r>
      <w:r>
        <w:rPr>
          <w:rFonts w:hint="eastAsia" w:ascii="仿宋_GB2312" w:hAnsi="Times New Roman" w:eastAsia="仿宋_GB2312" w:cs="Times New Roman"/>
          <w:color w:val="auto"/>
          <w:kern w:val="2"/>
          <w:sz w:val="32"/>
          <w:szCs w:val="32"/>
        </w:rPr>
        <w:t>提升区域排水能力和调度能力，逐步提高建成区排水标准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。远期</w:t>
      </w:r>
      <w:r>
        <w:rPr>
          <w:rFonts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/>
        </w:rPr>
        <w:t>在完成近期建设任务的基础上，</w:t>
      </w:r>
      <w:r>
        <w:rPr>
          <w:rFonts w:hint="eastAsia" w:ascii="仿宋_GB2312" w:hAnsi="Times New Roman" w:eastAsia="仿宋_GB2312" w:cs="Times New Roman"/>
          <w:color w:val="auto"/>
          <w:sz w:val="32"/>
          <w:szCs w:val="32"/>
        </w:rPr>
        <w:t>继续推进绿色和灰色调蓄设施建设；结合城市更新和道路建设，同步配套排水系统新建工程；按计划、针对性地实施管道修复改造和完善；进一步提升排水智慧化、精细化管理水平。</w:t>
      </w:r>
      <w:r>
        <w:rPr>
          <w:rFonts w:ascii="仿宋_GB2312" w:hAnsi="Times New Roman" w:eastAsia="仿宋_GB2312" w:cs="Times New Roman"/>
          <w:color w:val="auto"/>
          <w:kern w:val="2"/>
          <w:sz w:val="32"/>
          <w:szCs w:val="32"/>
        </w:rPr>
        <w:t xml:space="preserve"> </w:t>
      </w:r>
    </w:p>
    <w:p>
      <w:pPr>
        <w:pStyle w:val="25"/>
        <w:spacing w:line="360" w:lineRule="auto"/>
        <w:ind w:firstLine="640" w:firstLineChars="200"/>
        <w:jc w:val="left"/>
        <w:outlineLvl w:val="0"/>
        <w:rPr>
          <w:rFonts w:ascii="黑体" w:hAnsi="黑体" w:eastAsia="黑体" w:cs="Times New Roman"/>
          <w:color w:val="auto"/>
          <w:sz w:val="32"/>
          <w:szCs w:val="32"/>
        </w:rPr>
      </w:pPr>
      <w:r>
        <w:rPr>
          <w:rFonts w:hint="eastAsia" w:ascii="黑体" w:hAnsi="黑体" w:eastAsia="黑体" w:cs="Times New Roman"/>
          <w:color w:val="auto"/>
          <w:sz w:val="32"/>
          <w:szCs w:val="32"/>
        </w:rPr>
        <w:t>四、附图</w:t>
      </w:r>
    </w:p>
    <w:p>
      <w:pPr>
        <w:spacing w:line="360" w:lineRule="auto"/>
        <w:ind w:firstLine="640" w:firstLineChars="200"/>
        <w:jc w:val="both"/>
        <w:rPr>
          <w:rFonts w:ascii="仿宋_GB2312" w:hAnsi="Times New Roman" w:eastAsia="仿宋_GB2312"/>
          <w:color w:val="auto"/>
          <w:sz w:val="32"/>
          <w:szCs w:val="32"/>
          <w:shd w:val="clear" w:color="auto" w:fill="000000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zh-TW" w:eastAsia="zh-TW"/>
        </w:rPr>
        <w:t>闵行区城镇雨水排水规划排水模式图</w:t>
      </w:r>
      <w:r>
        <w:rPr>
          <w:rFonts w:hint="eastAsia" w:ascii="仿宋_GB2312" w:hAnsi="Times New Roman" w:eastAsia="仿宋_GB2312"/>
          <w:color w:val="auto"/>
          <w:sz w:val="32"/>
          <w:szCs w:val="32"/>
          <w:shd w:val="clear" w:color="auto" w:fill="000000"/>
        </w:rPr>
        <w:br w:type="page"/>
      </w:r>
    </w:p>
    <w:p>
      <w:pPr>
        <w:ind w:left="-425" w:leftChars="-177"/>
        <w:jc w:val="center"/>
        <w:rPr>
          <w:rFonts w:ascii="仿宋_GB2312" w:eastAsia="仿宋_GB2312"/>
          <w:color w:val="auto"/>
          <w:sz w:val="32"/>
          <w:szCs w:val="32"/>
        </w:rPr>
      </w:pPr>
      <w:r>
        <w:drawing>
          <wp:inline distT="0" distB="0" distL="0" distR="0">
            <wp:extent cx="5753100" cy="865441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6759" cy="866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0" w:h="16840"/>
      <w:pgMar w:top="1440" w:right="1797" w:bottom="1440" w:left="1797" w:header="851" w:footer="992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Helvetica Neue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tabs>
        <w:tab w:val="right" w:pos="8280"/>
        <w:tab w:val="clear" w:pos="8306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t>6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11"/>
      </w:pPr>
      <w:r>
        <w:rPr>
          <w:rStyle w:val="20"/>
        </w:rPr>
        <w:footnoteRef/>
      </w:r>
      <w:r>
        <w:t xml:space="preserve"> </w:t>
      </w:r>
      <w:r>
        <w:rPr>
          <w:rFonts w:hint="eastAsia"/>
        </w:rPr>
        <w:t>泵站规模未包含华泾西、华泾南、关港</w:t>
      </w:r>
      <w:r>
        <w:t>3个跨区强排系统，其泵站均位于徐汇区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3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characterSpacingControl w:val="doNotCompress"/>
  <w:footnotePr>
    <w:footnote w:id="2"/>
    <w:footnote w:id="3"/>
  </w:foot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c2YmM3YzVkMjI2NDg3MzAzMWQ2YjM1NzAzNThlZjYifQ=="/>
  </w:docVars>
  <w:rsids>
    <w:rsidRoot w:val="00AD715D"/>
    <w:rsid w:val="0000258F"/>
    <w:rsid w:val="0001675E"/>
    <w:rsid w:val="0003050F"/>
    <w:rsid w:val="00065F27"/>
    <w:rsid w:val="00075FFC"/>
    <w:rsid w:val="000A3275"/>
    <w:rsid w:val="000A3E90"/>
    <w:rsid w:val="000A719F"/>
    <w:rsid w:val="000C24D2"/>
    <w:rsid w:val="000C5865"/>
    <w:rsid w:val="000C6169"/>
    <w:rsid w:val="000D0E3B"/>
    <w:rsid w:val="000D212D"/>
    <w:rsid w:val="000E3BA4"/>
    <w:rsid w:val="00103282"/>
    <w:rsid w:val="001076ED"/>
    <w:rsid w:val="00107DB4"/>
    <w:rsid w:val="001117CA"/>
    <w:rsid w:val="00113AA9"/>
    <w:rsid w:val="00114A64"/>
    <w:rsid w:val="0014399F"/>
    <w:rsid w:val="00175363"/>
    <w:rsid w:val="001B1A1F"/>
    <w:rsid w:val="001D4BA8"/>
    <w:rsid w:val="001E515D"/>
    <w:rsid w:val="0021410D"/>
    <w:rsid w:val="0022373F"/>
    <w:rsid w:val="002355C1"/>
    <w:rsid w:val="00237E02"/>
    <w:rsid w:val="002536BF"/>
    <w:rsid w:val="00253AD0"/>
    <w:rsid w:val="00262E86"/>
    <w:rsid w:val="002909A5"/>
    <w:rsid w:val="002A33B8"/>
    <w:rsid w:val="002A5494"/>
    <w:rsid w:val="002A5C42"/>
    <w:rsid w:val="002B3F82"/>
    <w:rsid w:val="002B7E69"/>
    <w:rsid w:val="002D1404"/>
    <w:rsid w:val="002D172A"/>
    <w:rsid w:val="002D69E6"/>
    <w:rsid w:val="00310021"/>
    <w:rsid w:val="00345849"/>
    <w:rsid w:val="00346123"/>
    <w:rsid w:val="00361B09"/>
    <w:rsid w:val="00372900"/>
    <w:rsid w:val="00383EA8"/>
    <w:rsid w:val="0039028D"/>
    <w:rsid w:val="00390F8A"/>
    <w:rsid w:val="003A0395"/>
    <w:rsid w:val="003B362C"/>
    <w:rsid w:val="003C2E00"/>
    <w:rsid w:val="003D730E"/>
    <w:rsid w:val="003E42ED"/>
    <w:rsid w:val="00435DF4"/>
    <w:rsid w:val="004532ED"/>
    <w:rsid w:val="00495085"/>
    <w:rsid w:val="004B1BAF"/>
    <w:rsid w:val="004B2E35"/>
    <w:rsid w:val="004B575E"/>
    <w:rsid w:val="004B6D18"/>
    <w:rsid w:val="004F38E2"/>
    <w:rsid w:val="00503274"/>
    <w:rsid w:val="005206C8"/>
    <w:rsid w:val="00527E2A"/>
    <w:rsid w:val="00534C47"/>
    <w:rsid w:val="0054030E"/>
    <w:rsid w:val="005520AD"/>
    <w:rsid w:val="0057036E"/>
    <w:rsid w:val="005718E0"/>
    <w:rsid w:val="0057248A"/>
    <w:rsid w:val="0059275E"/>
    <w:rsid w:val="005B324A"/>
    <w:rsid w:val="005B5261"/>
    <w:rsid w:val="005C3381"/>
    <w:rsid w:val="005F746C"/>
    <w:rsid w:val="006103C2"/>
    <w:rsid w:val="00617E77"/>
    <w:rsid w:val="00643E56"/>
    <w:rsid w:val="006609B1"/>
    <w:rsid w:val="006662C2"/>
    <w:rsid w:val="0067131D"/>
    <w:rsid w:val="006959B8"/>
    <w:rsid w:val="006A06A2"/>
    <w:rsid w:val="006B5674"/>
    <w:rsid w:val="006E260D"/>
    <w:rsid w:val="006E7E74"/>
    <w:rsid w:val="00716D76"/>
    <w:rsid w:val="00725B6A"/>
    <w:rsid w:val="00725C48"/>
    <w:rsid w:val="00737CB2"/>
    <w:rsid w:val="00747A5A"/>
    <w:rsid w:val="007624DD"/>
    <w:rsid w:val="00765079"/>
    <w:rsid w:val="007853AE"/>
    <w:rsid w:val="00790551"/>
    <w:rsid w:val="00791F31"/>
    <w:rsid w:val="007E6026"/>
    <w:rsid w:val="007E7F18"/>
    <w:rsid w:val="00810AAE"/>
    <w:rsid w:val="008154CA"/>
    <w:rsid w:val="008207E3"/>
    <w:rsid w:val="00821442"/>
    <w:rsid w:val="00875C29"/>
    <w:rsid w:val="008A4C85"/>
    <w:rsid w:val="008B0D62"/>
    <w:rsid w:val="008B3853"/>
    <w:rsid w:val="008C0410"/>
    <w:rsid w:val="008D334E"/>
    <w:rsid w:val="008D5A45"/>
    <w:rsid w:val="008D5BEE"/>
    <w:rsid w:val="008E032B"/>
    <w:rsid w:val="008E4D20"/>
    <w:rsid w:val="008F0E90"/>
    <w:rsid w:val="009308D5"/>
    <w:rsid w:val="00940552"/>
    <w:rsid w:val="00973DAF"/>
    <w:rsid w:val="009829BA"/>
    <w:rsid w:val="00984BF6"/>
    <w:rsid w:val="009A14EC"/>
    <w:rsid w:val="009A5849"/>
    <w:rsid w:val="009C044F"/>
    <w:rsid w:val="009D2938"/>
    <w:rsid w:val="009D5AD8"/>
    <w:rsid w:val="009E2D09"/>
    <w:rsid w:val="009E30AC"/>
    <w:rsid w:val="009F7403"/>
    <w:rsid w:val="00A018AA"/>
    <w:rsid w:val="00A338FD"/>
    <w:rsid w:val="00A67212"/>
    <w:rsid w:val="00A75760"/>
    <w:rsid w:val="00A86C4A"/>
    <w:rsid w:val="00AC6D70"/>
    <w:rsid w:val="00AC6DB3"/>
    <w:rsid w:val="00AD715D"/>
    <w:rsid w:val="00AE03FE"/>
    <w:rsid w:val="00AF7B52"/>
    <w:rsid w:val="00B00F4E"/>
    <w:rsid w:val="00B32054"/>
    <w:rsid w:val="00B36C6D"/>
    <w:rsid w:val="00B63CC3"/>
    <w:rsid w:val="00BD2D48"/>
    <w:rsid w:val="00BD3C99"/>
    <w:rsid w:val="00BD4058"/>
    <w:rsid w:val="00BD7D99"/>
    <w:rsid w:val="00BE228A"/>
    <w:rsid w:val="00C26211"/>
    <w:rsid w:val="00C62957"/>
    <w:rsid w:val="00C7152D"/>
    <w:rsid w:val="00C7165B"/>
    <w:rsid w:val="00C73D4F"/>
    <w:rsid w:val="00C845AE"/>
    <w:rsid w:val="00CA3707"/>
    <w:rsid w:val="00CB27BF"/>
    <w:rsid w:val="00CB4B80"/>
    <w:rsid w:val="00CB5479"/>
    <w:rsid w:val="00CF3C95"/>
    <w:rsid w:val="00D10C7B"/>
    <w:rsid w:val="00D14065"/>
    <w:rsid w:val="00D562B3"/>
    <w:rsid w:val="00D65187"/>
    <w:rsid w:val="00D923EF"/>
    <w:rsid w:val="00DA3875"/>
    <w:rsid w:val="00E000EC"/>
    <w:rsid w:val="00E13520"/>
    <w:rsid w:val="00E159CB"/>
    <w:rsid w:val="00E164E5"/>
    <w:rsid w:val="00E42F92"/>
    <w:rsid w:val="00E453AC"/>
    <w:rsid w:val="00E55F03"/>
    <w:rsid w:val="00E8131C"/>
    <w:rsid w:val="00E8154F"/>
    <w:rsid w:val="00EA501B"/>
    <w:rsid w:val="00EA5FC8"/>
    <w:rsid w:val="00EA6AB3"/>
    <w:rsid w:val="00EB79CD"/>
    <w:rsid w:val="00ED27F8"/>
    <w:rsid w:val="00ED481D"/>
    <w:rsid w:val="00EE1ED9"/>
    <w:rsid w:val="00EE5EF6"/>
    <w:rsid w:val="00EF157E"/>
    <w:rsid w:val="00F25F29"/>
    <w:rsid w:val="00F36BF0"/>
    <w:rsid w:val="00F41B32"/>
    <w:rsid w:val="00F46026"/>
    <w:rsid w:val="00FA5203"/>
    <w:rsid w:val="00FB0179"/>
    <w:rsid w:val="00FB7420"/>
    <w:rsid w:val="00FC588F"/>
    <w:rsid w:val="00FF126D"/>
    <w:rsid w:val="08DC0EEB"/>
    <w:rsid w:val="68D12F17"/>
    <w:rsid w:val="69B53C6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semiHidden="0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qFormat="1"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宋体" w:eastAsia="宋体" w:cs="宋体"/>
      <w:color w:val="000000"/>
      <w:sz w:val="24"/>
      <w:szCs w:val="24"/>
      <w:u w:color="000000"/>
      <w:lang w:val="en-US" w:eastAsia="zh-CN" w:bidi="ar-SA"/>
    </w:rPr>
  </w:style>
  <w:style w:type="paragraph" w:styleId="2">
    <w:name w:val="heading 1"/>
    <w:basedOn w:val="1"/>
    <w:next w:val="1"/>
    <w:link w:val="3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hint="eastAsia" w:ascii="Arial Unicode MS" w:hAnsi="Arial Unicode MS" w:eastAsia="Arial Unicode MS" w:cs="Arial Unicode MS"/>
      <w:b/>
      <w:bCs/>
      <w:color w:val="000000"/>
      <w:sz w:val="32"/>
      <w:szCs w:val="32"/>
      <w:u w:color="000000"/>
      <w:lang w:val="en-US" w:eastAsia="zh-CN" w:bidi="ar-SA"/>
    </w:rPr>
  </w:style>
  <w:style w:type="paragraph" w:styleId="4">
    <w:name w:val="heading 3"/>
    <w:basedOn w:val="1"/>
    <w:next w:val="1"/>
    <w:link w:val="30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27"/>
    <w:unhideWhenUsed/>
    <w:qFormat/>
    <w:uiPriority w:val="99"/>
    <w:rPr>
      <w:sz w:val="18"/>
      <w:szCs w:val="18"/>
    </w:rPr>
  </w:style>
  <w:style w:type="paragraph" w:styleId="6">
    <w:name w:val="annotation text"/>
    <w:basedOn w:val="1"/>
    <w:unhideWhenUsed/>
    <w:qFormat/>
    <w:uiPriority w:val="99"/>
  </w:style>
  <w:style w:type="paragraph" w:styleId="7">
    <w:name w:val="endnote text"/>
    <w:basedOn w:val="1"/>
    <w:link w:val="42"/>
    <w:semiHidden/>
    <w:unhideWhenUsed/>
    <w:qFormat/>
    <w:uiPriority w:val="99"/>
    <w:pPr>
      <w:snapToGrid w:val="0"/>
    </w:pPr>
  </w:style>
  <w:style w:type="paragraph" w:styleId="8">
    <w:name w:val="Balloon Text"/>
    <w:basedOn w:val="1"/>
    <w:link w:val="29"/>
    <w:unhideWhenUsed/>
    <w:qFormat/>
    <w:uiPriority w:val="99"/>
    <w:rPr>
      <w:sz w:val="18"/>
      <w:szCs w:val="18"/>
    </w:rPr>
  </w:style>
  <w:style w:type="paragraph" w:styleId="9">
    <w:name w:val="footer"/>
    <w:link w:val="40"/>
    <w:qFormat/>
    <w:uiPriority w:val="99"/>
    <w:pPr>
      <w:tabs>
        <w:tab w:val="center" w:pos="4153"/>
        <w:tab w:val="right" w:pos="8306"/>
      </w:tabs>
    </w:pPr>
    <w:rPr>
      <w:rFonts w:ascii="Times New Roman" w:hAnsi="Times New Roman" w:eastAsia="Times New Roman" w:cs="Times New Roman"/>
      <w:color w:val="000000"/>
      <w:kern w:val="2"/>
      <w:sz w:val="18"/>
      <w:szCs w:val="18"/>
      <w:u w:color="000000"/>
      <w:lang w:val="en-US" w:eastAsia="zh-CN" w:bidi="ar-SA"/>
    </w:rPr>
  </w:style>
  <w:style w:type="paragraph" w:styleId="10">
    <w:name w:val="header"/>
    <w:basedOn w:val="1"/>
    <w:link w:val="2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footnote text"/>
    <w:basedOn w:val="1"/>
    <w:link w:val="43"/>
    <w:semiHidden/>
    <w:unhideWhenUsed/>
    <w:qFormat/>
    <w:uiPriority w:val="99"/>
    <w:pPr>
      <w:snapToGrid w:val="0"/>
    </w:pPr>
    <w:rPr>
      <w:sz w:val="18"/>
      <w:szCs w:val="18"/>
    </w:rPr>
  </w:style>
  <w:style w:type="paragraph" w:styleId="12">
    <w:name w:val="Normal (Web)"/>
    <w:qFormat/>
    <w:uiPriority w:val="99"/>
    <w:pPr>
      <w:spacing w:before="100" w:after="100"/>
    </w:pPr>
    <w:rPr>
      <w:rFonts w:ascii="宋体" w:hAnsi="宋体" w:eastAsia="宋体" w:cs="宋体"/>
      <w:color w:val="000000"/>
      <w:sz w:val="24"/>
      <w:szCs w:val="24"/>
      <w:u w:color="000000"/>
      <w:lang w:val="en-US" w:eastAsia="zh-CN" w:bidi="ar-SA"/>
    </w:rPr>
  </w:style>
  <w:style w:type="paragraph" w:styleId="13">
    <w:name w:val="Title"/>
    <w:basedOn w:val="1"/>
    <w:next w:val="1"/>
    <w:link w:val="32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table" w:styleId="15">
    <w:name w:val="Table Grid"/>
    <w:basedOn w:val="1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7">
    <w:name w:val="endnote reference"/>
    <w:basedOn w:val="16"/>
    <w:semiHidden/>
    <w:unhideWhenUsed/>
    <w:qFormat/>
    <w:uiPriority w:val="99"/>
    <w:rPr>
      <w:vertAlign w:val="superscript"/>
    </w:rPr>
  </w:style>
  <w:style w:type="character" w:styleId="18">
    <w:name w:val="Hyperlink"/>
    <w:qFormat/>
    <w:uiPriority w:val="0"/>
    <w:rPr>
      <w:u w:val="single"/>
    </w:rPr>
  </w:style>
  <w:style w:type="character" w:styleId="19">
    <w:name w:val="annotation reference"/>
    <w:basedOn w:val="16"/>
    <w:semiHidden/>
    <w:unhideWhenUsed/>
    <w:qFormat/>
    <w:uiPriority w:val="99"/>
    <w:rPr>
      <w:sz w:val="21"/>
      <w:szCs w:val="21"/>
    </w:rPr>
  </w:style>
  <w:style w:type="character" w:styleId="20">
    <w:name w:val="footnote reference"/>
    <w:basedOn w:val="16"/>
    <w:semiHidden/>
    <w:unhideWhenUsed/>
    <w:qFormat/>
    <w:uiPriority w:val="99"/>
    <w:rPr>
      <w:vertAlign w:val="superscript"/>
    </w:rPr>
  </w:style>
  <w:style w:type="table" w:customStyle="1" w:styleId="21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2">
    <w:name w:val="B_正文（四号1.5行距）"/>
    <w:qFormat/>
    <w:uiPriority w:val="0"/>
    <w:pPr>
      <w:widowControl w:val="0"/>
      <w:spacing w:line="360" w:lineRule="auto"/>
      <w:ind w:firstLine="480"/>
      <w:jc w:val="both"/>
    </w:pPr>
    <w:rPr>
      <w:rFonts w:ascii="Times New Roman" w:hAnsi="Times New Roman" w:eastAsia="Arial Unicode MS" w:cs="Arial Unicode MS"/>
      <w:color w:val="000000"/>
      <w:kern w:val="2"/>
      <w:sz w:val="28"/>
      <w:szCs w:val="28"/>
      <w:u w:color="000000"/>
      <w:lang w:val="en-US" w:eastAsia="zh-CN" w:bidi="ar-SA"/>
    </w:rPr>
  </w:style>
  <w:style w:type="paragraph" w:customStyle="1" w:styleId="23">
    <w:name w:val="页眉与页脚"/>
    <w:qFormat/>
    <w:uiPriority w:val="0"/>
    <w:pPr>
      <w:tabs>
        <w:tab w:val="right" w:pos="9020"/>
      </w:tabs>
    </w:pPr>
    <w:rPr>
      <w:rFonts w:ascii="Helvetica Neue" w:hAnsi="Helvetica Neue" w:eastAsia="Arial Unicode MS" w:cs="Arial Unicode MS"/>
      <w:color w:val="000000"/>
      <w:sz w:val="24"/>
      <w:szCs w:val="24"/>
      <w:lang w:val="en-US" w:eastAsia="zh-CN" w:bidi="ar-SA"/>
    </w:rPr>
  </w:style>
  <w:style w:type="paragraph" w:customStyle="1" w:styleId="24">
    <w:name w:val="无间隔1"/>
    <w:qFormat/>
    <w:uiPriority w:val="0"/>
    <w:rPr>
      <w:rFonts w:ascii="Calibri" w:hAnsi="Calibri" w:eastAsia="Calibri" w:cs="Calibri"/>
      <w:b/>
      <w:bCs/>
      <w:color w:val="000000"/>
      <w:sz w:val="56"/>
      <w:szCs w:val="56"/>
      <w:u w:color="000000"/>
      <w:lang w:val="en-US" w:eastAsia="zh-CN" w:bidi="ar-SA"/>
    </w:rPr>
  </w:style>
  <w:style w:type="paragraph" w:customStyle="1" w:styleId="25">
    <w:name w:val="十三五-正文"/>
    <w:link w:val="37"/>
    <w:qFormat/>
    <w:uiPriority w:val="0"/>
    <w:pPr>
      <w:widowControl w:val="0"/>
      <w:ind w:firstLine="600"/>
      <w:jc w:val="both"/>
    </w:pPr>
    <w:rPr>
      <w:rFonts w:ascii="仿宋" w:hAnsi="仿宋" w:eastAsia="仿宋" w:cs="仿宋"/>
      <w:color w:val="000000"/>
      <w:kern w:val="2"/>
      <w:sz w:val="30"/>
      <w:szCs w:val="30"/>
      <w:u w:color="000000"/>
      <w:lang w:val="en-US" w:eastAsia="zh-CN" w:bidi="ar-SA"/>
    </w:rPr>
  </w:style>
  <w:style w:type="paragraph" w:customStyle="1" w:styleId="26">
    <w:name w:val="列表段落1"/>
    <w:qFormat/>
    <w:uiPriority w:val="0"/>
    <w:pPr>
      <w:ind w:firstLine="420"/>
    </w:pPr>
    <w:rPr>
      <w:rFonts w:ascii="宋体" w:hAnsi="宋体" w:eastAsia="宋体" w:cs="宋体"/>
      <w:color w:val="000000"/>
      <w:sz w:val="24"/>
      <w:szCs w:val="24"/>
      <w:u w:color="000000"/>
      <w:lang w:val="en-US" w:eastAsia="zh-CN" w:bidi="ar-SA"/>
    </w:rPr>
  </w:style>
  <w:style w:type="character" w:customStyle="1" w:styleId="27">
    <w:name w:val="文档结构图 Char"/>
    <w:basedOn w:val="16"/>
    <w:link w:val="5"/>
    <w:semiHidden/>
    <w:qFormat/>
    <w:uiPriority w:val="99"/>
    <w:rPr>
      <w:rFonts w:ascii="宋体" w:hAnsi="宋体" w:eastAsia="宋体" w:cs="宋体"/>
      <w:color w:val="000000"/>
      <w:sz w:val="18"/>
      <w:szCs w:val="18"/>
      <w:u w:color="000000"/>
    </w:rPr>
  </w:style>
  <w:style w:type="character" w:customStyle="1" w:styleId="28">
    <w:name w:val="页眉 Char"/>
    <w:basedOn w:val="16"/>
    <w:link w:val="10"/>
    <w:semiHidden/>
    <w:qFormat/>
    <w:uiPriority w:val="99"/>
    <w:rPr>
      <w:rFonts w:ascii="宋体" w:hAnsi="宋体" w:eastAsia="宋体" w:cs="宋体"/>
      <w:color w:val="000000"/>
      <w:sz w:val="18"/>
      <w:szCs w:val="18"/>
      <w:u w:color="000000"/>
    </w:rPr>
  </w:style>
  <w:style w:type="character" w:customStyle="1" w:styleId="29">
    <w:name w:val="批注框文本 Char"/>
    <w:basedOn w:val="16"/>
    <w:link w:val="8"/>
    <w:semiHidden/>
    <w:qFormat/>
    <w:uiPriority w:val="99"/>
    <w:rPr>
      <w:rFonts w:ascii="宋体" w:hAnsi="宋体" w:eastAsia="宋体" w:cs="宋体"/>
      <w:color w:val="000000"/>
      <w:sz w:val="18"/>
      <w:szCs w:val="18"/>
      <w:u w:color="000000"/>
    </w:rPr>
  </w:style>
  <w:style w:type="character" w:customStyle="1" w:styleId="30">
    <w:name w:val="标题 3 Char"/>
    <w:basedOn w:val="16"/>
    <w:link w:val="4"/>
    <w:qFormat/>
    <w:uiPriority w:val="9"/>
    <w:rPr>
      <w:rFonts w:ascii="宋体" w:hAnsi="宋体" w:eastAsia="宋体" w:cs="宋体"/>
      <w:b/>
      <w:bCs/>
      <w:color w:val="000000"/>
      <w:sz w:val="32"/>
      <w:szCs w:val="32"/>
      <w:u w:color="000000"/>
    </w:rPr>
  </w:style>
  <w:style w:type="character" w:customStyle="1" w:styleId="31">
    <w:name w:val="标题 1 Char"/>
    <w:basedOn w:val="16"/>
    <w:link w:val="2"/>
    <w:qFormat/>
    <w:uiPriority w:val="9"/>
    <w:rPr>
      <w:rFonts w:ascii="宋体" w:hAnsi="宋体" w:eastAsia="宋体" w:cs="宋体"/>
      <w:b/>
      <w:bCs/>
      <w:color w:val="000000"/>
      <w:kern w:val="44"/>
      <w:sz w:val="44"/>
      <w:szCs w:val="44"/>
      <w:u w:color="000000"/>
    </w:rPr>
  </w:style>
  <w:style w:type="character" w:customStyle="1" w:styleId="32">
    <w:name w:val="标题 Char"/>
    <w:basedOn w:val="16"/>
    <w:link w:val="13"/>
    <w:qFormat/>
    <w:uiPriority w:val="10"/>
    <w:rPr>
      <w:rFonts w:eastAsia="宋体" w:asciiTheme="majorHAnsi" w:hAnsiTheme="majorHAnsi" w:cstheme="majorBidi"/>
      <w:b/>
      <w:bCs/>
      <w:color w:val="000000"/>
      <w:sz w:val="32"/>
      <w:szCs w:val="32"/>
      <w:u w:color="000000"/>
    </w:rPr>
  </w:style>
  <w:style w:type="character" w:customStyle="1" w:styleId="33">
    <w:name w:val="NormalCharacter"/>
    <w:qFormat/>
    <w:uiPriority w:val="0"/>
  </w:style>
  <w:style w:type="table" w:customStyle="1" w:styleId="34">
    <w:name w:val="网格型1"/>
    <w:basedOn w:val="14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5">
    <w:name w:val="列表段落11"/>
    <w:basedOn w:val="1"/>
    <w:qFormat/>
    <w:uiPriority w:val="0"/>
    <w:pPr>
      <w:ind w:firstLine="420" w:firstLineChars="200"/>
    </w:pPr>
    <w:rPr>
      <w:color w:val="auto"/>
      <w:szCs w:val="21"/>
    </w:rPr>
  </w:style>
  <w:style w:type="character" w:customStyle="1" w:styleId="36">
    <w:name w:val="UserStyle_2"/>
    <w:qFormat/>
    <w:uiPriority w:val="0"/>
  </w:style>
  <w:style w:type="character" w:customStyle="1" w:styleId="37">
    <w:name w:val="十三五-正文 Char"/>
    <w:link w:val="25"/>
    <w:qFormat/>
    <w:uiPriority w:val="0"/>
    <w:rPr>
      <w:rFonts w:ascii="仿宋" w:hAnsi="仿宋" w:eastAsia="仿宋" w:cs="仿宋"/>
      <w:color w:val="000000"/>
      <w:kern w:val="2"/>
      <w:sz w:val="30"/>
      <w:szCs w:val="30"/>
      <w:u w:color="000000"/>
    </w:rPr>
  </w:style>
  <w:style w:type="paragraph" w:customStyle="1" w:styleId="38">
    <w:name w:val="彭正文"/>
    <w:basedOn w:val="1"/>
    <w:link w:val="39"/>
    <w:qFormat/>
    <w:uiPriority w:val="0"/>
    <w:pPr>
      <w:widowControl w:val="0"/>
      <w:spacing w:line="360" w:lineRule="auto"/>
      <w:ind w:firstLine="200" w:firstLineChars="200"/>
      <w:jc w:val="both"/>
    </w:pPr>
    <w:rPr>
      <w:rFonts w:ascii="Calibri" w:hAnsi="Calibri" w:cs="Times New Roman"/>
      <w:color w:val="auto"/>
      <w:kern w:val="2"/>
      <w:sz w:val="28"/>
      <w:szCs w:val="28"/>
      <w:lang w:val="zh-CN" w:eastAsia="zh-CN"/>
    </w:rPr>
  </w:style>
  <w:style w:type="character" w:customStyle="1" w:styleId="39">
    <w:name w:val="彭正文 Char"/>
    <w:link w:val="38"/>
    <w:qFormat/>
    <w:uiPriority w:val="0"/>
    <w:rPr>
      <w:rFonts w:ascii="Calibri" w:hAnsi="Calibri"/>
      <w:kern w:val="2"/>
      <w:sz w:val="28"/>
      <w:szCs w:val="28"/>
      <w:lang w:val="zh-CN" w:eastAsia="zh-CN"/>
    </w:rPr>
  </w:style>
  <w:style w:type="character" w:customStyle="1" w:styleId="40">
    <w:name w:val="页脚 Char"/>
    <w:basedOn w:val="16"/>
    <w:link w:val="9"/>
    <w:qFormat/>
    <w:uiPriority w:val="99"/>
    <w:rPr>
      <w:rFonts w:eastAsia="Times New Roman"/>
      <w:color w:val="000000"/>
      <w:kern w:val="2"/>
      <w:sz w:val="18"/>
      <w:szCs w:val="18"/>
      <w:u w:color="000000"/>
    </w:rPr>
  </w:style>
  <w:style w:type="paragraph" w:styleId="41">
    <w:name w:val="List Paragraph"/>
    <w:basedOn w:val="1"/>
    <w:qFormat/>
    <w:uiPriority w:val="99"/>
    <w:pPr>
      <w:ind w:firstLine="420" w:firstLineChars="200"/>
    </w:pPr>
    <w:rPr>
      <w:color w:val="auto"/>
    </w:rPr>
  </w:style>
  <w:style w:type="character" w:customStyle="1" w:styleId="42">
    <w:name w:val="尾注文本 Char"/>
    <w:basedOn w:val="16"/>
    <w:link w:val="7"/>
    <w:semiHidden/>
    <w:qFormat/>
    <w:uiPriority w:val="99"/>
    <w:rPr>
      <w:rFonts w:ascii="宋体" w:hAnsi="宋体" w:cs="宋体"/>
      <w:color w:val="000000"/>
      <w:sz w:val="24"/>
      <w:szCs w:val="24"/>
      <w:u w:color="000000"/>
    </w:rPr>
  </w:style>
  <w:style w:type="character" w:customStyle="1" w:styleId="43">
    <w:name w:val="脚注文本 Char"/>
    <w:basedOn w:val="16"/>
    <w:link w:val="11"/>
    <w:semiHidden/>
    <w:qFormat/>
    <w:uiPriority w:val="99"/>
    <w:rPr>
      <w:rFonts w:ascii="宋体" w:hAnsi="宋体" w:cs="宋体"/>
      <w:color w:val="000000"/>
      <w:sz w:val="18"/>
      <w:szCs w:val="18"/>
      <w:u w:color="00000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主题">
      <a:majorFont>
        <a:latin typeface="Helvetica Neue"/>
        <a:ea typeface="黑体"/>
        <a:cs typeface="Helvetica Neue"/>
      </a:majorFont>
      <a:minorFont>
        <a:latin typeface="Helvetica Neue"/>
        <a:ea typeface="宋体"/>
        <a:cs typeface="Helvetica Neue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2BB27-15FE-4CA3-A83A-3B33EB483D5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swj</Company>
  <Pages>9</Pages>
  <Words>2633</Words>
  <Characters>2791</Characters>
  <Lines>20</Lines>
  <Paragraphs>5</Paragraphs>
  <TotalTime>0</TotalTime>
  <ScaleCrop>false</ScaleCrop>
  <LinksUpToDate>false</LinksUpToDate>
  <CharactersWithSpaces>2800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2021-12-31T05:21:00Z</dcterms:created>
  <dc:creator>wangl</dc:creator>
  <cp:lastModifiedBy>Danica</cp:lastModifiedBy>
  <cp:lastPrinted>2018-05-04T20:19:00Z</cp:lastPrinted>
  <dcterms:modified xsi:type="dcterms:W3CDTF">2022-07-27T06:40:10Z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ACDBD285F5EC487F827EF961AF922180</vt:lpwstr>
  </property>
</Properties>
</file>