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CA" w:rsidRPr="0063439B" w:rsidRDefault="00027AB4" w:rsidP="0063439B">
      <w:pPr>
        <w:widowControl/>
        <w:spacing w:after="120" w:line="360" w:lineRule="auto"/>
        <w:jc w:val="center"/>
        <w:rPr>
          <w:rFonts w:asciiTheme="minorEastAsia" w:eastAsiaTheme="minorEastAsia" w:hAnsiTheme="minorEastAsia" w:cs="宋体"/>
          <w:b/>
          <w:kern w:val="36"/>
          <w:sz w:val="36"/>
          <w:szCs w:val="36"/>
        </w:rPr>
      </w:pPr>
      <w:r w:rsidRPr="0063439B">
        <w:rPr>
          <w:rFonts w:asciiTheme="minorEastAsia" w:eastAsiaTheme="minorEastAsia" w:hAnsiTheme="minorEastAsia" w:cs="宋体" w:hint="eastAsia"/>
          <w:b/>
          <w:kern w:val="36"/>
          <w:sz w:val="36"/>
          <w:szCs w:val="36"/>
        </w:rPr>
        <w:t>上海市文来中学（初中部）</w:t>
      </w:r>
      <w:r w:rsidRPr="0063439B">
        <w:rPr>
          <w:rFonts w:asciiTheme="minorEastAsia" w:eastAsiaTheme="minorEastAsia" w:hAnsiTheme="minorEastAsia" w:cs="宋体" w:hint="eastAsia"/>
          <w:b/>
          <w:kern w:val="36"/>
          <w:sz w:val="36"/>
          <w:szCs w:val="36"/>
        </w:rPr>
        <w:t>20</w:t>
      </w:r>
      <w:r w:rsidRPr="0063439B">
        <w:rPr>
          <w:rFonts w:asciiTheme="minorEastAsia" w:eastAsiaTheme="minorEastAsia" w:hAnsiTheme="minorEastAsia" w:cs="宋体"/>
          <w:b/>
          <w:kern w:val="36"/>
          <w:sz w:val="36"/>
          <w:szCs w:val="36"/>
        </w:rPr>
        <w:t>2</w:t>
      </w:r>
      <w:r w:rsidRPr="0063439B">
        <w:rPr>
          <w:rFonts w:asciiTheme="minorEastAsia" w:eastAsiaTheme="minorEastAsia" w:hAnsiTheme="minorEastAsia" w:cs="宋体" w:hint="eastAsia"/>
          <w:b/>
          <w:kern w:val="36"/>
          <w:sz w:val="36"/>
          <w:szCs w:val="36"/>
        </w:rPr>
        <w:t>2</w:t>
      </w:r>
      <w:r w:rsidRPr="0063439B">
        <w:rPr>
          <w:rFonts w:asciiTheme="minorEastAsia" w:eastAsiaTheme="minorEastAsia" w:hAnsiTheme="minorEastAsia" w:cs="宋体" w:hint="eastAsia"/>
          <w:b/>
          <w:kern w:val="36"/>
          <w:sz w:val="36"/>
          <w:szCs w:val="36"/>
        </w:rPr>
        <w:t>年六年级招生简章</w:t>
      </w:r>
    </w:p>
    <w:p w:rsidR="00714DCA" w:rsidRPr="0063439B" w:rsidRDefault="00714DCA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一、学校简介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上海市文来中学（初中部）创办于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1994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年，学校</w:t>
      </w:r>
      <w:r w:rsidR="003C6E37" w:rsidRPr="0063439B">
        <w:rPr>
          <w:rFonts w:asciiTheme="minorEastAsia" w:eastAsiaTheme="minorEastAsia" w:hAnsiTheme="minorEastAsia" w:cs="宋体" w:hint="eastAsia"/>
          <w:kern w:val="0"/>
          <w:sz w:val="24"/>
        </w:rPr>
        <w:t>位于闵行区七宝镇农南路6</w:t>
      </w:r>
      <w:r w:rsidR="003C6E37" w:rsidRPr="0063439B">
        <w:rPr>
          <w:rFonts w:asciiTheme="minorEastAsia" w:eastAsiaTheme="minorEastAsia" w:hAnsiTheme="minorEastAsia" w:cs="宋体"/>
          <w:kern w:val="0"/>
          <w:sz w:val="24"/>
        </w:rPr>
        <w:t>6号，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毗邻七</w:t>
      </w:r>
      <w:proofErr w:type="gramStart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宝中学</w:t>
      </w:r>
      <w:proofErr w:type="gramEnd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和闵行体育公园，是一所理念先进、特色鲜明的现代化寄宿制学校。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学校始终秉承仇忠海理事长倡导的“学校教育要为学生的一生发展奠基”的办学理念，以培养学生“平民本色、精英气质”为育人目标，办学质量和办学品位得到学生、家长、社会各界的广泛认可，形成了“人文立校、主动发展”的办学特色。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学校关注每一位学生全面而个性地可持续发展，始终把“立德树人、五育并举”放在教育教学工作的首位，以“体验式德育”、“感恩教育”、“志愿者服务”为德育特色，将学生人文精神的养育融入到整个校园文化之中。学校重视师资队伍建设，培养了一支“师德高尚、勤学善</w:t>
      </w:r>
      <w:proofErr w:type="gramStart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研</w:t>
      </w:r>
      <w:proofErr w:type="gramEnd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、教艺精湛、探索创新”的教师队伍。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通过近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0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年的探索与追求，学校形成了结构完整、融合多元、荟萃中西、富有特色的课程生态系统，而且在落实国家“双减”政策的课后服务项目、满足学生综合素养培育等特需课程的开发与实施方面，均取得骄人成绩，尤其在各类型资</w:t>
      </w:r>
      <w:proofErr w:type="gramStart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优学生</w:t>
      </w:r>
      <w:proofErr w:type="gramEnd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培养方面有独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到做法，教育质量始终名列前茅。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2020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年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9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月起率先在六年级实施“四层七级”动态精准分科</w:t>
      </w:r>
      <w:proofErr w:type="gramStart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分层走班教学</w:t>
      </w:r>
      <w:proofErr w:type="gramEnd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模式的实践探索，成效显著。目前，学校正以创新务实的办学理念、扎实严谨的教育氛围、生动活泼的校园文化、优质丰富的校本课程、持续高位的教学质量进一步探索实践“多元化成才、多渠道升学”的办学样态，满足新时代对于人才培养的需求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二、招生计划</w:t>
      </w:r>
      <w:bookmarkStart w:id="0" w:name="_GoBack"/>
      <w:bookmarkEnd w:id="0"/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202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2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学年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招生计划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总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数：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330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。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分类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如下：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“融合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班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招生人数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：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45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人（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其中走读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生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160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，住宿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生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85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人。不接受调剂）。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                                                                                             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“荟萃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班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招生人数：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45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人（其中走读生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25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人，住宿生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20 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人。不接受调剂）。</w:t>
      </w:r>
    </w:p>
    <w:p w:rsidR="00714DCA" w:rsidRPr="00027AB4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本校教职工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子女</w:t>
      </w:r>
      <w:r w:rsidR="0063439B" w:rsidRPr="00027AB4">
        <w:rPr>
          <w:rFonts w:ascii="仿宋" w:eastAsia="仿宋" w:hAnsi="仿宋" w:cs="仿宋" w:hint="eastAsia"/>
          <w:sz w:val="28"/>
          <w:szCs w:val="28"/>
        </w:rPr>
        <w:t>*</w:t>
      </w: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027AB4">
        <w:rPr>
          <w:rFonts w:asciiTheme="minorEastAsia" w:eastAsiaTheme="minorEastAsia" w:hAnsiTheme="minorEastAsia" w:cs="宋体"/>
          <w:kern w:val="0"/>
          <w:sz w:val="24"/>
        </w:rPr>
        <w:t>15</w:t>
      </w: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人（其中走读</w:t>
      </w:r>
      <w:r w:rsidRPr="00027AB4">
        <w:rPr>
          <w:rFonts w:asciiTheme="minorEastAsia" w:eastAsiaTheme="minorEastAsia" w:hAnsiTheme="minorEastAsia" w:cs="宋体"/>
          <w:kern w:val="0"/>
          <w:sz w:val="24"/>
        </w:rPr>
        <w:t xml:space="preserve"> 11</w:t>
      </w: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人，住宿</w:t>
      </w:r>
      <w:r w:rsidRPr="00027AB4">
        <w:rPr>
          <w:rFonts w:asciiTheme="minorEastAsia" w:eastAsiaTheme="minorEastAsia" w:hAnsiTheme="minorEastAsia" w:cs="宋体"/>
          <w:kern w:val="0"/>
          <w:sz w:val="24"/>
        </w:rPr>
        <w:t xml:space="preserve">4 </w:t>
      </w: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人。不接受</w:t>
      </w:r>
      <w:r w:rsidRPr="00027AB4">
        <w:rPr>
          <w:rFonts w:asciiTheme="minorEastAsia" w:eastAsiaTheme="minorEastAsia" w:hAnsiTheme="minorEastAsia" w:cs="宋体"/>
          <w:kern w:val="0"/>
          <w:sz w:val="24"/>
        </w:rPr>
        <w:t>调剂</w:t>
      </w: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）。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举办</w:t>
      </w:r>
      <w:proofErr w:type="gramStart"/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者员工</w:t>
      </w:r>
      <w:proofErr w:type="gramEnd"/>
      <w:r w:rsidRPr="00027AB4">
        <w:rPr>
          <w:rFonts w:asciiTheme="minorEastAsia" w:eastAsiaTheme="minorEastAsia" w:hAnsiTheme="minorEastAsia" w:cs="宋体" w:hint="eastAsia"/>
          <w:kern w:val="0"/>
          <w:sz w:val="24"/>
        </w:rPr>
        <w:t>子女</w:t>
      </w:r>
      <w:r w:rsidR="0063439B" w:rsidRPr="00027AB4">
        <w:rPr>
          <w:rFonts w:ascii="仿宋" w:eastAsia="仿宋" w:hAnsi="仿宋" w:cs="仿宋" w:hint="eastAsia"/>
          <w:sz w:val="28"/>
          <w:szCs w:val="28"/>
        </w:rPr>
        <w:t>*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25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人（其中走读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18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人，住宿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 xml:space="preserve">7 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人。不接受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调剂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）。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lastRenderedPageBreak/>
        <w:t>三、报名办法</w:t>
      </w:r>
    </w:p>
    <w:p w:rsidR="0063439B" w:rsidRPr="0063439B" w:rsidRDefault="0063439B" w:rsidP="0063439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请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于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6月2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7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日-6月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29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日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访问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“一网通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办”网站义务教育入学专栏或“上海市义务教育入学报名系统”填报志愿。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四、招生办法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1.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报名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条件</w:t>
      </w:r>
    </w:p>
    <w:p w:rsidR="0063439B" w:rsidRPr="0063439B" w:rsidRDefault="0063439B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符合本市初中入学条件的小学毕业生。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2.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录取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方式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：</w:t>
      </w:r>
    </w:p>
    <w:p w:rsidR="00714DCA" w:rsidRPr="0063439B" w:rsidRDefault="00027AB4" w:rsidP="0063439B">
      <w:pPr>
        <w:widowControl/>
        <w:spacing w:after="12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/>
          <w:kern w:val="0"/>
          <w:sz w:val="24"/>
        </w:rPr>
        <w:t>报名人数小于或等于招生计划，全部录取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；报名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人数超过招生计划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，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由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区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教育行政部门实施电脑随机录取。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五、收费标准</w:t>
      </w:r>
    </w:p>
    <w:p w:rsidR="00714DCA" w:rsidRPr="00027AB4" w:rsidRDefault="00027AB4" w:rsidP="0063439B">
      <w:pPr>
        <w:widowControl/>
        <w:spacing w:after="120" w:line="360" w:lineRule="auto"/>
        <w:ind w:firstLine="57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学费标准：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53000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元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/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学期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。</w:t>
      </w:r>
    </w:p>
    <w:p w:rsidR="00714DCA" w:rsidRPr="00027AB4" w:rsidRDefault="00027AB4" w:rsidP="0063439B">
      <w:pPr>
        <w:widowControl/>
        <w:tabs>
          <w:tab w:val="left" w:pos="2420"/>
        </w:tabs>
        <w:spacing w:after="120" w:line="360" w:lineRule="auto"/>
        <w:ind w:firstLine="57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住宿费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标准：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1600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元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/</w:t>
      </w:r>
      <w:r w:rsidRPr="00027AB4">
        <w:rPr>
          <w:rFonts w:asciiTheme="minorEastAsia" w:eastAsiaTheme="minorEastAsia" w:hAnsiTheme="minorEastAsia" w:cs="宋体" w:hint="eastAsia"/>
          <w:bCs/>
          <w:kern w:val="0"/>
          <w:sz w:val="24"/>
        </w:rPr>
        <w:t>学期。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六、咨询邮箱：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/>
          <w:sz w:val="24"/>
        </w:rPr>
      </w:pPr>
      <w:r w:rsidRPr="0063439B">
        <w:rPr>
          <w:rFonts w:asciiTheme="minorEastAsia" w:eastAsiaTheme="minorEastAsia" w:hAnsiTheme="minorEastAsia" w:hint="eastAsia"/>
          <w:sz w:val="24"/>
        </w:rPr>
        <w:t>“融合班”：</w:t>
      </w:r>
      <w:hyperlink r:id="rId4" w:history="1">
        <w:r w:rsidRPr="0063439B">
          <w:rPr>
            <w:rStyle w:val="a7"/>
            <w:rFonts w:asciiTheme="minorEastAsia" w:eastAsiaTheme="minorEastAsia" w:hAnsiTheme="minorEastAsia" w:hint="eastAsia"/>
            <w:color w:val="auto"/>
            <w:sz w:val="24"/>
          </w:rPr>
          <w:t>wlczzszx@163.com</w:t>
        </w:r>
      </w:hyperlink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hint="eastAsia"/>
          <w:sz w:val="24"/>
        </w:rPr>
        <w:t>“荟萃班”：</w:t>
      </w:r>
      <w:r w:rsidRPr="0063439B">
        <w:rPr>
          <w:rFonts w:asciiTheme="minorEastAsia" w:eastAsiaTheme="minorEastAsia" w:hAnsiTheme="minorEastAsia"/>
          <w:sz w:val="24"/>
        </w:rPr>
        <w:t>HISAdmissions@163.com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4"/>
        </w:rPr>
        <w:t>七、其他事项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1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．招生相关信息将及时在上海市文来中学（初中部）网站和官方微信上公布，网址：</w:t>
      </w:r>
      <w:r w:rsidRPr="0063439B">
        <w:rPr>
          <w:rFonts w:asciiTheme="minorEastAsia" w:eastAsiaTheme="minorEastAsia" w:hAnsiTheme="minorEastAsia" w:cs="宋体"/>
          <w:kern w:val="0"/>
          <w:sz w:val="24"/>
        </w:rPr>
        <w:t>https://wlcz.mhedu.sh.cn/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，</w:t>
      </w:r>
      <w:proofErr w:type="gramStart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微信公众号</w:t>
      </w:r>
      <w:proofErr w:type="gramEnd"/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“文来初中”。</w:t>
      </w:r>
    </w:p>
    <w:p w:rsidR="00714DCA" w:rsidRPr="0063439B" w:rsidRDefault="00027AB4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．本校在今年招生过程中郑重承诺：</w:t>
      </w:r>
      <w:r w:rsidRPr="0063439B">
        <w:rPr>
          <w:rFonts w:asciiTheme="minorEastAsia" w:eastAsiaTheme="minorEastAsia" w:hAnsiTheme="minorEastAsia" w:cs="宋体" w:hint="eastAsia"/>
          <w:kern w:val="0"/>
          <w:sz w:val="24"/>
        </w:rPr>
        <w:t>不提前组织学生报名或变相报名，不举行任何测试、测评、学科练习、面试或面谈，招生录取不与任何培训机构挂钩。不引进境外课程，不使用境外教材。</w:t>
      </w:r>
    </w:p>
    <w:p w:rsidR="00714DCA" w:rsidRPr="0063439B" w:rsidRDefault="00714DCA" w:rsidP="0063439B">
      <w:pPr>
        <w:widowControl/>
        <w:spacing w:after="12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714DCA" w:rsidRPr="0063439B" w:rsidRDefault="00027AB4" w:rsidP="0063439B">
      <w:pPr>
        <w:widowControl/>
        <w:spacing w:after="120" w:line="360" w:lineRule="auto"/>
        <w:ind w:right="140"/>
        <w:jc w:val="righ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63439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上海市文来中学（初中部）</w:t>
      </w:r>
    </w:p>
    <w:p w:rsidR="00714DCA" w:rsidRPr="0063439B" w:rsidRDefault="00027AB4" w:rsidP="0063439B">
      <w:pPr>
        <w:widowControl/>
        <w:spacing w:after="120" w:line="360" w:lineRule="auto"/>
        <w:ind w:right="599"/>
        <w:jc w:val="righ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63439B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2022</w:t>
      </w:r>
      <w:r w:rsidRPr="0063439B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年</w:t>
      </w:r>
      <w:r w:rsidRPr="0063439B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5</w:t>
      </w:r>
      <w:r w:rsidRPr="0063439B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月</w:t>
      </w:r>
      <w:r w:rsidRPr="0063439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30</w:t>
      </w:r>
      <w:r w:rsidRPr="0063439B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日</w:t>
      </w:r>
    </w:p>
    <w:sectPr w:rsidR="00714DCA" w:rsidRPr="0063439B">
      <w:pgSz w:w="11906" w:h="16838"/>
      <w:pgMar w:top="1135" w:right="1416" w:bottom="1276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1401A"/>
    <w:rsid w:val="00025511"/>
    <w:rsid w:val="00027AB4"/>
    <w:rsid w:val="00053326"/>
    <w:rsid w:val="000953C1"/>
    <w:rsid w:val="00117622"/>
    <w:rsid w:val="00152A3F"/>
    <w:rsid w:val="00154329"/>
    <w:rsid w:val="001F69AA"/>
    <w:rsid w:val="0024282A"/>
    <w:rsid w:val="00255DC8"/>
    <w:rsid w:val="0027394E"/>
    <w:rsid w:val="002C6DF6"/>
    <w:rsid w:val="002E0659"/>
    <w:rsid w:val="00365441"/>
    <w:rsid w:val="00377604"/>
    <w:rsid w:val="003B27B8"/>
    <w:rsid w:val="003C6729"/>
    <w:rsid w:val="003C6E37"/>
    <w:rsid w:val="004134B3"/>
    <w:rsid w:val="004175F5"/>
    <w:rsid w:val="00426AE5"/>
    <w:rsid w:val="0043022F"/>
    <w:rsid w:val="004424E8"/>
    <w:rsid w:val="00446FBB"/>
    <w:rsid w:val="004B2B66"/>
    <w:rsid w:val="004E5947"/>
    <w:rsid w:val="005040A5"/>
    <w:rsid w:val="00556428"/>
    <w:rsid w:val="005778F4"/>
    <w:rsid w:val="00594012"/>
    <w:rsid w:val="005973FA"/>
    <w:rsid w:val="00600D4C"/>
    <w:rsid w:val="0063439B"/>
    <w:rsid w:val="00673C36"/>
    <w:rsid w:val="00684A05"/>
    <w:rsid w:val="006E6263"/>
    <w:rsid w:val="00714DCA"/>
    <w:rsid w:val="00732D1C"/>
    <w:rsid w:val="007A469F"/>
    <w:rsid w:val="007F3DCC"/>
    <w:rsid w:val="00812B2E"/>
    <w:rsid w:val="0082496C"/>
    <w:rsid w:val="00833067"/>
    <w:rsid w:val="00857B06"/>
    <w:rsid w:val="00884AA6"/>
    <w:rsid w:val="00890BE7"/>
    <w:rsid w:val="008D2B5E"/>
    <w:rsid w:val="008E1ED1"/>
    <w:rsid w:val="009006E2"/>
    <w:rsid w:val="0091429A"/>
    <w:rsid w:val="009F60D0"/>
    <w:rsid w:val="00A27BED"/>
    <w:rsid w:val="00A408FA"/>
    <w:rsid w:val="00A40954"/>
    <w:rsid w:val="00A54B14"/>
    <w:rsid w:val="00A70498"/>
    <w:rsid w:val="00AF5745"/>
    <w:rsid w:val="00B413DF"/>
    <w:rsid w:val="00B965F7"/>
    <w:rsid w:val="00C32DBA"/>
    <w:rsid w:val="00C466D5"/>
    <w:rsid w:val="00C56056"/>
    <w:rsid w:val="00CA48EF"/>
    <w:rsid w:val="00CD713E"/>
    <w:rsid w:val="00CF0D0E"/>
    <w:rsid w:val="00D02B90"/>
    <w:rsid w:val="00D267F2"/>
    <w:rsid w:val="00D73C50"/>
    <w:rsid w:val="00DD5DB2"/>
    <w:rsid w:val="00DE1344"/>
    <w:rsid w:val="00E00661"/>
    <w:rsid w:val="00E1118D"/>
    <w:rsid w:val="00E11F90"/>
    <w:rsid w:val="00E12651"/>
    <w:rsid w:val="00E54A2A"/>
    <w:rsid w:val="00E64157"/>
    <w:rsid w:val="00E84F2F"/>
    <w:rsid w:val="00F44322"/>
    <w:rsid w:val="00FB25D3"/>
    <w:rsid w:val="00FD09B4"/>
    <w:rsid w:val="00FE3D41"/>
    <w:rsid w:val="00FF2B2F"/>
    <w:rsid w:val="056D31EF"/>
    <w:rsid w:val="1DCF4839"/>
    <w:rsid w:val="213243FA"/>
    <w:rsid w:val="2A706584"/>
    <w:rsid w:val="2CE6061E"/>
    <w:rsid w:val="3DAE72EF"/>
    <w:rsid w:val="6085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9C59A-F4B2-4E76-A075-FF3A1D9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czzs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杨慧毅</dc:creator>
  <cp:lastModifiedBy>Mr Bai</cp:lastModifiedBy>
  <cp:revision>33</cp:revision>
  <cp:lastPrinted>2021-02-25T08:19:00Z</cp:lastPrinted>
  <dcterms:created xsi:type="dcterms:W3CDTF">2020-03-15T10:44:00Z</dcterms:created>
  <dcterms:modified xsi:type="dcterms:W3CDTF">2022-05-28T05:24:00Z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BA26C7538DBD456CAD3437DC81B36E67</vt:lpwstr>
  </property>
</Properties>
</file>