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77AA" w14:textId="0B8A55F2" w:rsidR="00E95FD1" w:rsidRDefault="0019129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关于上海</w:t>
      </w:r>
      <w:r>
        <w:rPr>
          <w:rFonts w:ascii="黑体" w:eastAsia="黑体" w:hAnsi="黑体"/>
          <w:b/>
          <w:sz w:val="36"/>
          <w:szCs w:val="36"/>
        </w:rPr>
        <w:t>南虹桥投资开发</w:t>
      </w:r>
      <w:r w:rsidR="00EE189D">
        <w:rPr>
          <w:rFonts w:ascii="黑体" w:eastAsia="黑体" w:hAnsi="黑体" w:hint="eastAsia"/>
          <w:b/>
          <w:sz w:val="36"/>
          <w:szCs w:val="36"/>
        </w:rPr>
        <w:t>（集团）</w:t>
      </w:r>
      <w:r>
        <w:rPr>
          <w:rFonts w:ascii="黑体" w:eastAsia="黑体" w:hAnsi="黑体"/>
          <w:b/>
          <w:sz w:val="36"/>
          <w:szCs w:val="36"/>
        </w:rPr>
        <w:t>有限公司</w:t>
      </w:r>
    </w:p>
    <w:p w14:paraId="40C60001" w14:textId="4A8F6EDF" w:rsidR="00EE189D" w:rsidRDefault="00EE189D">
      <w:pPr>
        <w:jc w:val="center"/>
        <w:rPr>
          <w:rFonts w:ascii="黑体" w:eastAsia="黑体" w:hAnsi="黑体"/>
          <w:b/>
          <w:sz w:val="36"/>
          <w:szCs w:val="36"/>
        </w:rPr>
      </w:pPr>
      <w:r w:rsidRPr="00EE189D">
        <w:rPr>
          <w:rFonts w:ascii="黑体" w:eastAsia="黑体" w:hAnsi="黑体"/>
          <w:b/>
          <w:sz w:val="36"/>
          <w:szCs w:val="36"/>
        </w:rPr>
        <w:t>2021年度资产负债损益以及其他财务收支情况</w:t>
      </w:r>
      <w:r>
        <w:rPr>
          <w:rFonts w:ascii="黑体" w:eastAsia="黑体" w:hAnsi="黑体" w:hint="eastAsia"/>
          <w:b/>
          <w:sz w:val="36"/>
          <w:szCs w:val="36"/>
        </w:rPr>
        <w:t>审计</w:t>
      </w:r>
    </w:p>
    <w:p w14:paraId="6BD4B1A9" w14:textId="3C4A21F1" w:rsidR="00E95FD1" w:rsidRDefault="0019129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整改</w:t>
      </w:r>
      <w:r w:rsidR="00A71640">
        <w:rPr>
          <w:rFonts w:ascii="黑体" w:eastAsia="黑体" w:hAnsi="黑体" w:hint="eastAsia"/>
          <w:b/>
          <w:sz w:val="36"/>
          <w:szCs w:val="36"/>
        </w:rPr>
        <w:t>措施</w:t>
      </w:r>
      <w:r w:rsidR="00EE189D">
        <w:rPr>
          <w:rFonts w:ascii="黑体" w:eastAsia="黑体" w:hAnsi="黑体" w:hint="eastAsia"/>
          <w:b/>
          <w:sz w:val="36"/>
          <w:szCs w:val="36"/>
        </w:rPr>
        <w:t>的</w:t>
      </w:r>
      <w:r>
        <w:rPr>
          <w:rFonts w:ascii="黑体" w:eastAsia="黑体" w:hAnsi="黑体" w:hint="eastAsia"/>
          <w:b/>
          <w:sz w:val="36"/>
          <w:szCs w:val="36"/>
        </w:rPr>
        <w:t>报告</w:t>
      </w:r>
    </w:p>
    <w:p w14:paraId="59B098CE" w14:textId="77777777" w:rsidR="00E95FD1" w:rsidRDefault="00E95FD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66E2ECC7" w14:textId="30E1BC3F" w:rsidR="00E95FD1" w:rsidRPr="00584A14" w:rsidRDefault="00191297">
      <w:pPr>
        <w:jc w:val="left"/>
        <w:rPr>
          <w:rFonts w:ascii="仿宋_GB2312" w:eastAsia="仿宋_GB2312" w:hAnsi="楷体"/>
          <w:b/>
          <w:sz w:val="30"/>
          <w:szCs w:val="30"/>
        </w:rPr>
      </w:pPr>
      <w:r w:rsidRPr="00584A14">
        <w:rPr>
          <w:rFonts w:ascii="仿宋_GB2312" w:eastAsia="仿宋_GB2312" w:hAnsi="楷体" w:hint="eastAsia"/>
          <w:b/>
          <w:sz w:val="30"/>
          <w:szCs w:val="30"/>
        </w:rPr>
        <w:t>区审计局、</w:t>
      </w:r>
      <w:r w:rsidR="00A71640" w:rsidRPr="00584A14">
        <w:rPr>
          <w:rFonts w:ascii="仿宋_GB2312" w:eastAsia="仿宋_GB2312" w:hAnsi="楷体" w:hint="eastAsia"/>
          <w:b/>
          <w:sz w:val="30"/>
          <w:szCs w:val="30"/>
        </w:rPr>
        <w:t>区财政局、</w:t>
      </w:r>
      <w:r w:rsidRPr="00584A14">
        <w:rPr>
          <w:rFonts w:ascii="仿宋_GB2312" w:eastAsia="仿宋_GB2312" w:hAnsi="楷体" w:hint="eastAsia"/>
          <w:b/>
          <w:sz w:val="30"/>
          <w:szCs w:val="30"/>
        </w:rPr>
        <w:t>区国资委：</w:t>
      </w:r>
    </w:p>
    <w:p w14:paraId="2AA2753F" w14:textId="55B59A1E" w:rsidR="00E95FD1" w:rsidRPr="00584A14" w:rsidRDefault="00EE189D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584A14">
        <w:rPr>
          <w:rFonts w:ascii="仿宋_GB2312" w:eastAsia="仿宋_GB2312"/>
          <w:color w:val="000000" w:themeColor="text1"/>
          <w:sz w:val="30"/>
          <w:szCs w:val="30"/>
        </w:rPr>
        <w:t>2022年2月17日至2022年6月24日</w:t>
      </w:r>
      <w:r w:rsidR="00191297" w:rsidRPr="00584A14">
        <w:rPr>
          <w:rFonts w:ascii="仿宋_GB2312" w:eastAsia="仿宋_GB2312" w:hint="eastAsia"/>
          <w:color w:val="000000" w:themeColor="text1"/>
          <w:sz w:val="30"/>
          <w:szCs w:val="30"/>
        </w:rPr>
        <w:t>期间，区审计局对上海南虹桥投资开发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（集团）</w:t>
      </w:r>
      <w:r w:rsidR="00191297" w:rsidRPr="00584A14">
        <w:rPr>
          <w:rFonts w:ascii="仿宋_GB2312" w:eastAsia="仿宋_GB2312" w:hint="eastAsia"/>
          <w:color w:val="000000" w:themeColor="text1"/>
          <w:sz w:val="30"/>
          <w:szCs w:val="30"/>
        </w:rPr>
        <w:t>有限公司进行了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584A14">
        <w:rPr>
          <w:rFonts w:ascii="仿宋_GB2312" w:eastAsia="仿宋_GB2312"/>
          <w:color w:val="000000" w:themeColor="text1"/>
          <w:sz w:val="30"/>
          <w:szCs w:val="30"/>
        </w:rPr>
        <w:t>021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年度资产负债损益以及其他财务收支情况的</w:t>
      </w:r>
      <w:r w:rsidR="00191297" w:rsidRPr="00584A14">
        <w:rPr>
          <w:rFonts w:ascii="仿宋_GB2312" w:eastAsia="仿宋_GB2312" w:hint="eastAsia"/>
          <w:color w:val="000000" w:themeColor="text1"/>
          <w:sz w:val="30"/>
          <w:szCs w:val="30"/>
        </w:rPr>
        <w:t>审计，并延伸审计了本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集团下</w:t>
      </w:r>
      <w:r w:rsidR="00191297" w:rsidRPr="00584A14">
        <w:rPr>
          <w:rFonts w:ascii="仿宋_GB2312" w:eastAsia="仿宋_GB2312" w:hint="eastAsia"/>
          <w:color w:val="000000" w:themeColor="text1"/>
          <w:sz w:val="30"/>
          <w:szCs w:val="30"/>
        </w:rPr>
        <w:t>属子公司，针对</w:t>
      </w:r>
      <w:r w:rsidR="00191297" w:rsidRPr="00584A14">
        <w:rPr>
          <w:rFonts w:ascii="仿宋_GB2312" w:eastAsia="仿宋_GB2312" w:hint="eastAsia"/>
          <w:sz w:val="30"/>
          <w:szCs w:val="30"/>
        </w:rPr>
        <w:t>《上海南虹桥投资开发有限公司</w:t>
      </w:r>
      <w:r w:rsidRPr="00584A14">
        <w:rPr>
          <w:rFonts w:ascii="仿宋_GB2312" w:eastAsia="仿宋_GB2312"/>
          <w:sz w:val="30"/>
          <w:szCs w:val="30"/>
        </w:rPr>
        <w:t>2021</w:t>
      </w:r>
      <w:r w:rsidR="00191297" w:rsidRPr="00584A14">
        <w:rPr>
          <w:rFonts w:ascii="仿宋_GB2312" w:eastAsia="仿宋_GB2312" w:hint="eastAsia"/>
          <w:sz w:val="30"/>
          <w:szCs w:val="30"/>
        </w:rPr>
        <w:t>年度资产负债损益</w:t>
      </w:r>
      <w:r w:rsidR="00C84D24" w:rsidRPr="00584A14">
        <w:rPr>
          <w:rFonts w:ascii="仿宋_GB2312" w:eastAsia="仿宋_GB2312" w:hint="eastAsia"/>
          <w:sz w:val="30"/>
          <w:szCs w:val="30"/>
        </w:rPr>
        <w:t>以及其他财务收支情况</w:t>
      </w:r>
      <w:r w:rsidR="00191297" w:rsidRPr="00584A14">
        <w:rPr>
          <w:rFonts w:ascii="仿宋_GB2312" w:eastAsia="仿宋_GB2312" w:hint="eastAsia"/>
          <w:sz w:val="30"/>
          <w:szCs w:val="30"/>
        </w:rPr>
        <w:t>审计》（闵审报[202</w:t>
      </w:r>
      <w:r w:rsidRPr="00584A14">
        <w:rPr>
          <w:rFonts w:ascii="仿宋_GB2312" w:eastAsia="仿宋_GB2312"/>
          <w:sz w:val="30"/>
          <w:szCs w:val="30"/>
        </w:rPr>
        <w:t>2</w:t>
      </w:r>
      <w:r w:rsidR="00191297" w:rsidRPr="00584A14">
        <w:rPr>
          <w:rFonts w:ascii="仿宋_GB2312" w:eastAsia="仿宋_GB2312" w:hint="eastAsia"/>
          <w:sz w:val="30"/>
          <w:szCs w:val="30"/>
        </w:rPr>
        <w:t>]</w:t>
      </w:r>
      <w:r w:rsidR="00C84D24" w:rsidRPr="00584A14">
        <w:rPr>
          <w:rFonts w:ascii="仿宋_GB2312" w:eastAsia="仿宋_GB2312"/>
          <w:sz w:val="30"/>
          <w:szCs w:val="30"/>
        </w:rPr>
        <w:t>7</w:t>
      </w:r>
      <w:r w:rsidR="00191297" w:rsidRPr="00584A14">
        <w:rPr>
          <w:rFonts w:ascii="仿宋_GB2312" w:eastAsia="仿宋_GB2312" w:hint="eastAsia"/>
          <w:sz w:val="30"/>
          <w:szCs w:val="30"/>
        </w:rPr>
        <w:t>号）</w:t>
      </w:r>
      <w:r w:rsidR="00C84D24" w:rsidRPr="00584A14">
        <w:rPr>
          <w:rFonts w:ascii="仿宋_GB2312" w:eastAsia="仿宋_GB2312" w:hint="eastAsia"/>
          <w:sz w:val="30"/>
          <w:szCs w:val="30"/>
        </w:rPr>
        <w:t>的报告</w:t>
      </w:r>
      <w:r w:rsidR="00191297" w:rsidRPr="00584A14">
        <w:rPr>
          <w:rFonts w:ascii="仿宋_GB2312" w:eastAsia="仿宋_GB2312" w:hint="eastAsia"/>
          <w:sz w:val="30"/>
          <w:szCs w:val="30"/>
        </w:rPr>
        <w:t>中提出的问题，</w:t>
      </w:r>
      <w:r w:rsidR="005D5BE5" w:rsidRPr="00584A14">
        <w:rPr>
          <w:rFonts w:ascii="仿宋_GB2312" w:eastAsia="仿宋_GB2312" w:hint="eastAsia"/>
          <w:sz w:val="30"/>
          <w:szCs w:val="30"/>
        </w:rPr>
        <w:t>集团</w:t>
      </w:r>
      <w:r w:rsidR="00191297" w:rsidRPr="00584A14">
        <w:rPr>
          <w:rFonts w:ascii="仿宋_GB2312" w:eastAsia="仿宋_GB2312" w:hint="eastAsia"/>
          <w:color w:val="000000" w:themeColor="text1"/>
          <w:sz w:val="30"/>
          <w:szCs w:val="30"/>
        </w:rPr>
        <w:t>领导班子高度重视，研究制定了审计整改工作方案，明确审计整改工作责任，部署落实审计整改工作。现将此次审计整改</w:t>
      </w:r>
      <w:r w:rsidR="00814E6F" w:rsidRPr="00584A14">
        <w:rPr>
          <w:rFonts w:ascii="仿宋_GB2312" w:eastAsia="仿宋_GB2312" w:hint="eastAsia"/>
          <w:color w:val="000000" w:themeColor="text1"/>
          <w:sz w:val="30"/>
          <w:szCs w:val="30"/>
        </w:rPr>
        <w:t>工作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方案的</w:t>
      </w:r>
      <w:r w:rsidR="00191297" w:rsidRPr="00584A14">
        <w:rPr>
          <w:rFonts w:ascii="仿宋_GB2312" w:eastAsia="仿宋_GB2312" w:hint="eastAsia"/>
          <w:color w:val="000000" w:themeColor="text1"/>
          <w:sz w:val="30"/>
          <w:szCs w:val="30"/>
        </w:rPr>
        <w:t xml:space="preserve">情况汇报如下： </w:t>
      </w:r>
    </w:p>
    <w:p w14:paraId="3578BB64" w14:textId="0F37A462" w:rsidR="00E95FD1" w:rsidRPr="00584A14" w:rsidRDefault="00191297">
      <w:pPr>
        <w:spacing w:line="360" w:lineRule="auto"/>
        <w:ind w:firstLineChars="200" w:firstLine="602"/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一、关于审计报告中指出“</w:t>
      </w:r>
      <w:r w:rsidR="00EE189D" w:rsidRPr="00584A14"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  <w:t>资产负债损益情况方面的问题</w:t>
      </w:r>
      <w:r w:rsidR="00EE189D"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”</w:t>
      </w:r>
      <w:r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情况说明和整改</w:t>
      </w:r>
      <w:r w:rsidR="00A71640"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措施</w:t>
      </w:r>
    </w:p>
    <w:p w14:paraId="73B9CC6F" w14:textId="3F30A7E1" w:rsidR="00E95FD1" w:rsidRPr="00584A14" w:rsidRDefault="00191297">
      <w:pPr>
        <w:spacing w:line="360" w:lineRule="auto"/>
        <w:ind w:firstLineChars="200" w:firstLine="602"/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1、</w:t>
      </w:r>
      <w:r w:rsidR="00EE189D" w:rsidRPr="00584A14"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  <w:t>企业扶持项目历年结余直接用于支出</w:t>
      </w:r>
    </w:p>
    <w:p w14:paraId="3EFBC499" w14:textId="02732FB0" w:rsidR="0044267B" w:rsidRPr="00584A14" w:rsidRDefault="00EE189D" w:rsidP="0044267B">
      <w:pPr>
        <w:spacing w:line="360" w:lineRule="auto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由于2020年扶持中发现企业存在外迁或者拟外迁的情况，因此取消17户企业48万元的扶持，另外13户企业放弃申请或计划下一年度一次性完成全年扶持，故当年结余66万元用于下年扶持。因为临近2020年年底，专项资金预算已无法调整，财政账户也已经关闭，无法退还财政专项资金，造成资金沉淀现象。</w:t>
      </w:r>
      <w:r w:rsidR="0044267B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2</w:t>
      </w:r>
      <w:r w:rsidR="0044267B"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021</w:t>
      </w:r>
      <w:r w:rsidR="0044267B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年，对于上一年剩余的扶持资金6</w:t>
      </w:r>
      <w:r w:rsidR="0044267B" w:rsidRPr="00584A14">
        <w:rPr>
          <w:rFonts w:ascii="仿宋_GB2312" w:eastAsia="仿宋_GB2312"/>
          <w:bCs/>
          <w:color w:val="000000" w:themeColor="text1"/>
          <w:sz w:val="30"/>
          <w:szCs w:val="30"/>
        </w:rPr>
        <w:t>6</w:t>
      </w:r>
      <w:r w:rsidR="0044267B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万元，已全部</w:t>
      </w:r>
      <w:r w:rsidR="00DB3D0D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对</w:t>
      </w:r>
      <w:r w:rsidR="0044267B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企业扶</w:t>
      </w:r>
      <w:r w:rsidR="0044267B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lastRenderedPageBreak/>
        <w:t>持。</w:t>
      </w:r>
    </w:p>
    <w:p w14:paraId="2B966146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已整改。2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年企业扶持已全部兑现，结余资金为零。</w:t>
      </w:r>
    </w:p>
    <w:p w14:paraId="431E964B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今后，我集团从科学性、有效性和谨慎性方面进一步完善企业扶持兑现流程，及时更新企业动态，提高预判能力。在申报扶持资金前进行预通知，掌握企业的经营状态，做好预算调整，结余资金及时上缴。</w:t>
      </w:r>
    </w:p>
    <w:p w14:paraId="20DF1395" w14:textId="55A9DD8B" w:rsidR="00E95FD1" w:rsidRPr="00584A14" w:rsidRDefault="00191297">
      <w:pPr>
        <w:spacing w:line="360" w:lineRule="auto"/>
        <w:ind w:firstLineChars="200" w:firstLine="602"/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二、关于审计报告中指出“内部管理方面</w:t>
      </w:r>
      <w:r w:rsidR="004E357D"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的问题</w:t>
      </w:r>
      <w:r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”情况说明和整改</w:t>
      </w:r>
      <w:r w:rsidR="00A71640" w:rsidRPr="00584A14">
        <w:rPr>
          <w:rFonts w:ascii="仿宋_GB2312" w:eastAsia="仿宋_GB2312" w:hAnsiTheme="minorEastAsia" w:hint="eastAsia"/>
          <w:b/>
          <w:bCs/>
          <w:color w:val="000000" w:themeColor="text1"/>
          <w:sz w:val="30"/>
          <w:szCs w:val="30"/>
        </w:rPr>
        <w:t>措施</w:t>
      </w:r>
    </w:p>
    <w:p w14:paraId="28FF0E27" w14:textId="44E6FBD5" w:rsidR="00E95FD1" w:rsidRPr="00584A14" w:rsidRDefault="00191297">
      <w:pPr>
        <w:spacing w:line="360" w:lineRule="auto"/>
        <w:ind w:firstLineChars="200" w:firstLine="602"/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1、</w:t>
      </w:r>
      <w:r w:rsidR="008D16DD" w:rsidRPr="00584A14"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  <w:t>竣工项目结算审价及竣工财务决算编报不及时</w:t>
      </w:r>
    </w:p>
    <w:p w14:paraId="06EF5CCF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主要是部分工程项目，因当时工期时间紧迫，至竣工时尚存在项目手续未办理完整的情况，导致编制竣工决算报告等流程被延误。</w:t>
      </w:r>
    </w:p>
    <w:p w14:paraId="27C8378F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此项问题，我集团正在整改中。目前，涉及到的1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个项目集团工程建设部预计2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年年底前完成结算审价工作。</w:t>
      </w:r>
    </w:p>
    <w:p w14:paraId="470831EE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今后的项目管理中，我集团将继续在代建单位职能范围内，加强项目全过程投资管控，由财务管理部、内审（控）部配合工程建设部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进一步梳理已竣工项目，及时完成工程审价、编制竣工财务决算工作并根据决算结果进行账务清算及处理。</w:t>
      </w:r>
    </w:p>
    <w:p w14:paraId="75A08E81" w14:textId="6564D532" w:rsidR="00E95FD1" w:rsidRPr="00584A14" w:rsidRDefault="00191297">
      <w:pPr>
        <w:spacing w:line="360" w:lineRule="auto"/>
        <w:ind w:firstLineChars="200" w:firstLine="602"/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2、</w:t>
      </w:r>
      <w:r w:rsidR="005E4473" w:rsidRPr="00584A14">
        <w:rPr>
          <w:rFonts w:ascii="仿宋_GB2312" w:eastAsia="仿宋_GB2312" w:hAnsiTheme="minorEastAsia"/>
          <w:b/>
          <w:bCs/>
          <w:color w:val="000000" w:themeColor="text1"/>
          <w:sz w:val="30"/>
          <w:szCs w:val="30"/>
        </w:rPr>
        <w:t>结余资金未上缴</w:t>
      </w:r>
    </w:p>
    <w:p w14:paraId="28801569" w14:textId="7F2D5F8B" w:rsidR="005B3A69" w:rsidRPr="00584A14" w:rsidRDefault="005E4473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（1）</w:t>
      </w:r>
      <w:r w:rsidR="005B3A69"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主要是涉及的项目已竣工决算，一审已完成，二审未进行，原计划待二审完成后，账面剩余资金减去二审最终核定金额后，一并退还区财政，现因二审审计机构尚未明确，造成资金沉淀。</w:t>
      </w:r>
    </w:p>
    <w:p w14:paraId="36FF9BF3" w14:textId="385F660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已整改。华翔路十四条道路景观，现已二审完成，2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lastRenderedPageBreak/>
        <w:t>月1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1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日已退还新虹街道剩余资金1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21.96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万元。（2）纪鹤路（纪翟路-闵行青浦区界）道路大修项目待上级部门安排二审阶段，2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月2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6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日已将剩余资金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314.90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万元上缴区财政。</w:t>
      </w:r>
    </w:p>
    <w:p w14:paraId="070E8E40" w14:textId="2FBF2E02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（2）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虹桥商务区专项资金因当年扶持前，发现部分企业存在关门、企业放弃扶持的情况，又因兑现期临近当年年底，导致出现资金未上缴的情况。</w:t>
      </w:r>
    </w:p>
    <w:p w14:paraId="54C21351" w14:textId="64E5B4DB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已整改。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虹桥商务区专项扶持资金6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8.52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万元，已于2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月2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5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日上缴区财政。</w:t>
      </w:r>
    </w:p>
    <w:p w14:paraId="346BF0C7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后续，我集团将加强对于项目工程款的全过程管控，及时跟踪工程款支付进度和相关手续办理流程，工程建设部同施工单位、工程监理及财务监理等相关单位保持高效沟通，敦促各方提前进行支付前的手续准备和办理，加快工程款支付进度和提高支付效率，财务管理部做好日常代建项目资金台账，定期与工程建设部核对资金和工程进度情况，结余资金及时上缴。</w:t>
      </w:r>
    </w:p>
    <w:p w14:paraId="34808B3B" w14:textId="3F864060" w:rsidR="005E4473" w:rsidRPr="00584A14" w:rsidRDefault="005E4473">
      <w:pPr>
        <w:spacing w:line="360" w:lineRule="auto"/>
        <w:ind w:firstLineChars="200" w:firstLine="602"/>
        <w:rPr>
          <w:rFonts w:ascii="仿宋_GB2312" w:eastAsia="仿宋_GB2312"/>
          <w:b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/>
          <w:bCs/>
          <w:color w:val="000000" w:themeColor="text1"/>
          <w:sz w:val="30"/>
          <w:szCs w:val="30"/>
        </w:rPr>
        <w:t>3、</w:t>
      </w:r>
      <w:r w:rsidRPr="00584A14">
        <w:rPr>
          <w:rFonts w:ascii="仿宋_GB2312" w:eastAsia="仿宋_GB2312"/>
          <w:b/>
          <w:bCs/>
          <w:color w:val="000000" w:themeColor="text1"/>
          <w:sz w:val="30"/>
          <w:szCs w:val="30"/>
        </w:rPr>
        <w:t>未按合同约定收取设计费</w:t>
      </w:r>
    </w:p>
    <w:p w14:paraId="5D67D9A1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主要是闵规院公司部分设计服务合同付款方属于政府下设机构，受疫情影响，财政预算资金收紧，当年未列入财政预算，造成公司未按合同约定履行。</w:t>
      </w:r>
    </w:p>
    <w:p w14:paraId="7414CF06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此项问题，我集团正在整改中。（1）上海市闵行区旗忠森林体育城01单元（MHPO-0801）17Ad街坊实施项目深化，2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年8月4日闵规院公司通过法院立案来解决此项目，目前，被告北京鑫创慧城科技发展有限公司于2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年8月1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9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日已支付剩余合同款1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3.30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万元，并于2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年8月2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3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日已支付滞纳金2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.00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万元。（2）纪翟路（北青公路-纪鹤路）信息导管（移动）选线规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lastRenderedPageBreak/>
        <w:t>划项目，2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年8月2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日闵规院公司已发催款函给</w:t>
      </w:r>
      <w:bookmarkStart w:id="0" w:name="_Hlk114489052"/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上海鼎沃建设工程有限公司</w:t>
      </w:r>
      <w:bookmarkEnd w:id="0"/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，</w:t>
      </w:r>
      <w:bookmarkStart w:id="1" w:name="_Hlk114489228"/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年9月1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3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日已得到复函，</w:t>
      </w:r>
      <w:bookmarkEnd w:id="1"/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承诺2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年年底前付清所有款项1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1.90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万元。（3）闵行区莘庄工业区绿化专项规划项目，2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022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年8月2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3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日闵规院公司已发告知函给上海市莘庄工业区城市运行管理中心，2022年9月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1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日得到复函，承诺尽快向莘庄工业区规土所申请预算落实支付。</w:t>
      </w:r>
    </w:p>
    <w:p w14:paraId="5D571BB4" w14:textId="77777777" w:rsidR="005B3A69" w:rsidRPr="00584A14" w:rsidRDefault="005B3A69" w:rsidP="005B3A69">
      <w:pPr>
        <w:spacing w:line="560" w:lineRule="exact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今后，我集团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进一步发挥内部审计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作用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，加强对下属企业的日常指导监督，优化企业规范核算及业务管理</w:t>
      </w:r>
      <w:r w:rsidRPr="00584A14">
        <w:rPr>
          <w:rFonts w:ascii="仿宋_GB2312" w:eastAsia="仿宋_GB2312" w:hint="eastAsia"/>
          <w:bCs/>
          <w:color w:val="000000" w:themeColor="text1"/>
          <w:sz w:val="30"/>
          <w:szCs w:val="30"/>
        </w:rPr>
        <w:t>，认真研究合同条款，评估合同风险，明确双方的权利和义务，定期跟踪合同节点，严格按照合同约定的条款收取费用，加强合同管理，促进合同回款，降低经营风险，</w:t>
      </w:r>
      <w:r w:rsidRPr="00584A14">
        <w:rPr>
          <w:rFonts w:ascii="仿宋_GB2312" w:eastAsia="仿宋_GB2312"/>
          <w:bCs/>
          <w:color w:val="000000" w:themeColor="text1"/>
          <w:sz w:val="30"/>
          <w:szCs w:val="30"/>
        </w:rPr>
        <w:t>保证各项工作规范有序开展。</w:t>
      </w:r>
    </w:p>
    <w:p w14:paraId="0018B9D0" w14:textId="4F9D0CB2" w:rsidR="00F91A7C" w:rsidRPr="00584A14" w:rsidRDefault="00F91A7C">
      <w:pPr>
        <w:spacing w:line="360" w:lineRule="auto"/>
        <w:ind w:firstLineChars="200" w:firstLine="600"/>
        <w:rPr>
          <w:rFonts w:ascii="仿宋_GB2312" w:eastAsia="仿宋_GB2312"/>
          <w:bCs/>
          <w:color w:val="000000" w:themeColor="text1"/>
          <w:sz w:val="30"/>
          <w:szCs w:val="30"/>
        </w:rPr>
      </w:pPr>
    </w:p>
    <w:p w14:paraId="12A5B6FA" w14:textId="7A694D8A" w:rsidR="00F91A7C" w:rsidRPr="00584A14" w:rsidRDefault="00F91A7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34D0943B" w14:textId="40D360E4" w:rsidR="00F91A7C" w:rsidRPr="00584A14" w:rsidRDefault="00F91A7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0838F348" w14:textId="19967303" w:rsidR="00F91A7C" w:rsidRPr="00584A14" w:rsidRDefault="00F91A7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3BC70B03" w14:textId="5DFE5285" w:rsidR="005B3A69" w:rsidRPr="00584A14" w:rsidRDefault="005B3A69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00B0AFC2" w14:textId="1553471F" w:rsidR="005B3A69" w:rsidRPr="00584A14" w:rsidRDefault="005B3A69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36DC3918" w14:textId="398721FA" w:rsidR="005B3A69" w:rsidRPr="00584A14" w:rsidRDefault="005B3A69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102F444C" w14:textId="77777777" w:rsidR="005B3A69" w:rsidRPr="00584A14" w:rsidRDefault="005B3A69">
      <w:pPr>
        <w:spacing w:line="360" w:lineRule="auto"/>
        <w:ind w:firstLineChars="200" w:firstLine="600"/>
        <w:rPr>
          <w:rFonts w:ascii="仿宋_GB2312" w:eastAsia="仿宋_GB2312" w:hint="eastAsia"/>
          <w:color w:val="000000" w:themeColor="text1"/>
          <w:sz w:val="30"/>
          <w:szCs w:val="30"/>
        </w:rPr>
      </w:pPr>
    </w:p>
    <w:p w14:paraId="3D89FED1" w14:textId="77777777" w:rsidR="00F91A7C" w:rsidRPr="00584A14" w:rsidRDefault="00F91A7C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6B8E981F" w14:textId="77777777" w:rsidR="00E95FD1" w:rsidRPr="00584A14" w:rsidRDefault="00E95FD1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14:paraId="586ED96B" w14:textId="3B7CF474" w:rsidR="00E95FD1" w:rsidRPr="00584A14" w:rsidRDefault="00191297">
      <w:pPr>
        <w:spacing w:line="360" w:lineRule="auto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上海南虹桥投资开发</w:t>
      </w:r>
      <w:r w:rsidR="00BA2533" w:rsidRPr="00584A14">
        <w:rPr>
          <w:rFonts w:ascii="仿宋_GB2312" w:eastAsia="仿宋_GB2312" w:hint="eastAsia"/>
          <w:color w:val="000000" w:themeColor="text1"/>
          <w:sz w:val="30"/>
          <w:szCs w:val="30"/>
        </w:rPr>
        <w:t>（集团）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有限公司</w:t>
      </w:r>
    </w:p>
    <w:p w14:paraId="2F97B6F6" w14:textId="1159391E" w:rsidR="00E95FD1" w:rsidRPr="00584A14" w:rsidRDefault="00191297">
      <w:pPr>
        <w:wordWrap w:val="0"/>
        <w:spacing w:line="360" w:lineRule="auto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202</w:t>
      </w:r>
      <w:r w:rsidR="00BA2533" w:rsidRPr="00584A14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970DB0">
        <w:rPr>
          <w:rFonts w:ascii="仿宋_GB2312" w:eastAsia="仿宋_GB2312"/>
          <w:color w:val="000000" w:themeColor="text1"/>
          <w:sz w:val="30"/>
          <w:szCs w:val="30"/>
        </w:rPr>
        <w:t>10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970DB0">
        <w:rPr>
          <w:rFonts w:ascii="仿宋_GB2312" w:eastAsia="仿宋_GB2312"/>
          <w:color w:val="000000" w:themeColor="text1"/>
          <w:sz w:val="30"/>
          <w:szCs w:val="30"/>
        </w:rPr>
        <w:t>27</w:t>
      </w:r>
      <w:r w:rsidRPr="00584A14">
        <w:rPr>
          <w:rFonts w:ascii="仿宋_GB2312" w:eastAsia="仿宋_GB2312" w:hint="eastAsia"/>
          <w:color w:val="000000" w:themeColor="text1"/>
          <w:sz w:val="30"/>
          <w:szCs w:val="30"/>
        </w:rPr>
        <w:t xml:space="preserve">日    </w:t>
      </w:r>
    </w:p>
    <w:sectPr w:rsidR="00E95FD1" w:rsidRPr="00584A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3546" w14:textId="77777777" w:rsidR="00715FAE" w:rsidRDefault="00715FAE" w:rsidP="00FC13F8">
      <w:r>
        <w:separator/>
      </w:r>
    </w:p>
  </w:endnote>
  <w:endnote w:type="continuationSeparator" w:id="0">
    <w:p w14:paraId="26BA47F7" w14:textId="77777777" w:rsidR="00715FAE" w:rsidRDefault="00715FAE" w:rsidP="00F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447963"/>
      <w:docPartObj>
        <w:docPartGallery w:val="Page Numbers (Bottom of Page)"/>
        <w:docPartUnique/>
      </w:docPartObj>
    </w:sdtPr>
    <w:sdtContent>
      <w:p w14:paraId="097681E7" w14:textId="60685A7F" w:rsidR="005B3A69" w:rsidRDefault="005B3A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1F8A311" w14:textId="77777777" w:rsidR="005B3A69" w:rsidRDefault="005B3A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8C73" w14:textId="77777777" w:rsidR="00715FAE" w:rsidRDefault="00715FAE" w:rsidP="00FC13F8">
      <w:r>
        <w:separator/>
      </w:r>
    </w:p>
  </w:footnote>
  <w:footnote w:type="continuationSeparator" w:id="0">
    <w:p w14:paraId="700CFAB0" w14:textId="77777777" w:rsidR="00715FAE" w:rsidRDefault="00715FAE" w:rsidP="00FC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D0E"/>
    <w:multiLevelType w:val="hybridMultilevel"/>
    <w:tmpl w:val="271A961A"/>
    <w:lvl w:ilvl="0" w:tplc="C9242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0D1F98"/>
    <w:multiLevelType w:val="hybridMultilevel"/>
    <w:tmpl w:val="5C6E6A86"/>
    <w:lvl w:ilvl="0" w:tplc="5996614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389381285">
    <w:abstractNumId w:val="0"/>
  </w:num>
  <w:num w:numId="2" w16cid:durableId="107262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E4DB3"/>
    <w:rsid w:val="0000049F"/>
    <w:rsid w:val="00006DB6"/>
    <w:rsid w:val="00066714"/>
    <w:rsid w:val="0007322C"/>
    <w:rsid w:val="000779F4"/>
    <w:rsid w:val="000900E6"/>
    <w:rsid w:val="000B093A"/>
    <w:rsid w:val="000C5FA3"/>
    <w:rsid w:val="001065B8"/>
    <w:rsid w:val="0012187B"/>
    <w:rsid w:val="00121AC4"/>
    <w:rsid w:val="001370B4"/>
    <w:rsid w:val="001429EB"/>
    <w:rsid w:val="001434EC"/>
    <w:rsid w:val="001645A4"/>
    <w:rsid w:val="00191297"/>
    <w:rsid w:val="001A1851"/>
    <w:rsid w:val="001E14D5"/>
    <w:rsid w:val="001F2F07"/>
    <w:rsid w:val="00267B72"/>
    <w:rsid w:val="00292E5E"/>
    <w:rsid w:val="002A704F"/>
    <w:rsid w:val="002C2BAF"/>
    <w:rsid w:val="002F18E9"/>
    <w:rsid w:val="002F386F"/>
    <w:rsid w:val="0031299B"/>
    <w:rsid w:val="0032438B"/>
    <w:rsid w:val="00326573"/>
    <w:rsid w:val="00346128"/>
    <w:rsid w:val="003611C3"/>
    <w:rsid w:val="00362CDB"/>
    <w:rsid w:val="00363080"/>
    <w:rsid w:val="003C00EA"/>
    <w:rsid w:val="0040298B"/>
    <w:rsid w:val="004056A5"/>
    <w:rsid w:val="00410EA0"/>
    <w:rsid w:val="00412411"/>
    <w:rsid w:val="0043526D"/>
    <w:rsid w:val="00440014"/>
    <w:rsid w:val="00440A36"/>
    <w:rsid w:val="0044267B"/>
    <w:rsid w:val="00445EAE"/>
    <w:rsid w:val="00467D17"/>
    <w:rsid w:val="004769A3"/>
    <w:rsid w:val="00495BBC"/>
    <w:rsid w:val="004A6119"/>
    <w:rsid w:val="004E357D"/>
    <w:rsid w:val="004F3076"/>
    <w:rsid w:val="005211B5"/>
    <w:rsid w:val="00573E60"/>
    <w:rsid w:val="00584A14"/>
    <w:rsid w:val="005B3A69"/>
    <w:rsid w:val="005D5BE5"/>
    <w:rsid w:val="005E4473"/>
    <w:rsid w:val="00601006"/>
    <w:rsid w:val="0060597C"/>
    <w:rsid w:val="00640986"/>
    <w:rsid w:val="00666A74"/>
    <w:rsid w:val="006A133B"/>
    <w:rsid w:val="006B7FA4"/>
    <w:rsid w:val="006D7C51"/>
    <w:rsid w:val="00701572"/>
    <w:rsid w:val="00715FAE"/>
    <w:rsid w:val="00775CB5"/>
    <w:rsid w:val="007818C9"/>
    <w:rsid w:val="00783C20"/>
    <w:rsid w:val="007A5CD6"/>
    <w:rsid w:val="007B4684"/>
    <w:rsid w:val="0081352C"/>
    <w:rsid w:val="00814E6F"/>
    <w:rsid w:val="008213D0"/>
    <w:rsid w:val="00823EBB"/>
    <w:rsid w:val="0084651A"/>
    <w:rsid w:val="00871AAF"/>
    <w:rsid w:val="008975C2"/>
    <w:rsid w:val="008A4D49"/>
    <w:rsid w:val="008D16DD"/>
    <w:rsid w:val="008E10CA"/>
    <w:rsid w:val="008E534D"/>
    <w:rsid w:val="008E7952"/>
    <w:rsid w:val="0091076A"/>
    <w:rsid w:val="00916433"/>
    <w:rsid w:val="00934738"/>
    <w:rsid w:val="00946ADF"/>
    <w:rsid w:val="00965028"/>
    <w:rsid w:val="009675AD"/>
    <w:rsid w:val="00970DB0"/>
    <w:rsid w:val="0097696D"/>
    <w:rsid w:val="009B4A58"/>
    <w:rsid w:val="009E3529"/>
    <w:rsid w:val="009E3EB1"/>
    <w:rsid w:val="00A71640"/>
    <w:rsid w:val="00A832A6"/>
    <w:rsid w:val="00AC6404"/>
    <w:rsid w:val="00AE1B2E"/>
    <w:rsid w:val="00AF49E7"/>
    <w:rsid w:val="00AF6547"/>
    <w:rsid w:val="00B16408"/>
    <w:rsid w:val="00B27E8E"/>
    <w:rsid w:val="00B453B6"/>
    <w:rsid w:val="00B7623A"/>
    <w:rsid w:val="00BA2533"/>
    <w:rsid w:val="00BB38BF"/>
    <w:rsid w:val="00BD29FC"/>
    <w:rsid w:val="00C06F9C"/>
    <w:rsid w:val="00C16E59"/>
    <w:rsid w:val="00C17C4B"/>
    <w:rsid w:val="00C220D9"/>
    <w:rsid w:val="00C61EA0"/>
    <w:rsid w:val="00C729E0"/>
    <w:rsid w:val="00C8226B"/>
    <w:rsid w:val="00C84D24"/>
    <w:rsid w:val="00CA11B3"/>
    <w:rsid w:val="00CC10CE"/>
    <w:rsid w:val="00CC5703"/>
    <w:rsid w:val="00CD49C3"/>
    <w:rsid w:val="00CF22A6"/>
    <w:rsid w:val="00D14D63"/>
    <w:rsid w:val="00D3379C"/>
    <w:rsid w:val="00D34B8E"/>
    <w:rsid w:val="00D4412D"/>
    <w:rsid w:val="00D57F21"/>
    <w:rsid w:val="00D57F8F"/>
    <w:rsid w:val="00D81A35"/>
    <w:rsid w:val="00DB3D0D"/>
    <w:rsid w:val="00DD3987"/>
    <w:rsid w:val="00DD602A"/>
    <w:rsid w:val="00DF0E7E"/>
    <w:rsid w:val="00E95FD1"/>
    <w:rsid w:val="00EE189D"/>
    <w:rsid w:val="00F70BAB"/>
    <w:rsid w:val="00F91A7C"/>
    <w:rsid w:val="00FA2253"/>
    <w:rsid w:val="00FC13F8"/>
    <w:rsid w:val="0A24770D"/>
    <w:rsid w:val="3C2F6E28"/>
    <w:rsid w:val="405E4DB3"/>
    <w:rsid w:val="4EC352EC"/>
    <w:rsid w:val="6C0C6C29"/>
    <w:rsid w:val="6D4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3D57C"/>
  <w15:docId w15:val="{E02DD576-DF84-4203-9AFD-ADF9CA9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2022-11-07T01:58:00Z</cp:lastPrinted>
  <dcterms:created xsi:type="dcterms:W3CDTF">2022-10-27T02:53:00Z</dcterms:created>
  <dcterms:modified xsi:type="dcterms:W3CDTF">2022-11-07T01:59:00Z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