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0684" w:rsidRDefault="004817FF">
      <w:pPr>
        <w:adjustRightInd w:val="0"/>
        <w:snapToGrid w:val="0"/>
        <w:spacing w:line="360" w:lineRule="auto"/>
        <w:rPr>
          <w:rFonts w:ascii="方正小标宋简体" w:eastAsia="黑体" w:hAnsi="方正小标宋简体"/>
          <w:b/>
          <w:bCs/>
          <w:spacing w:val="-6"/>
          <w:kern w:val="0"/>
          <w:sz w:val="36"/>
          <w:szCs w:val="36"/>
        </w:rPr>
      </w:pPr>
      <w:r>
        <w:rPr>
          <w:rFonts w:ascii="黑体" w:eastAsia="黑体" w:hint="eastAsia"/>
          <w:sz w:val="30"/>
          <w:szCs w:val="30"/>
        </w:rPr>
        <w:t>附件 1</w:t>
      </w:r>
    </w:p>
    <w:p w:rsidR="00E10684" w:rsidRDefault="004817FF">
      <w:pPr>
        <w:suppressAutoHyphens/>
        <w:autoSpaceDE w:val="0"/>
        <w:autoSpaceDN w:val="0"/>
        <w:spacing w:line="560" w:lineRule="exact"/>
        <w:jc w:val="center"/>
        <w:textAlignment w:val="baseline"/>
        <w:rPr>
          <w:rFonts w:ascii="方正小标宋简体" w:eastAsia="方正小标宋简体" w:hAnsi="方正小标宋简体" w:cs="方正小标宋简体"/>
          <w:kern w:val="3"/>
          <w:sz w:val="44"/>
          <w:szCs w:val="44"/>
        </w:rPr>
      </w:pPr>
      <w:r>
        <w:rPr>
          <w:rFonts w:ascii="方正小标宋简体" w:eastAsia="方正小标宋简体" w:hAnsi="方正小标宋简体" w:hint="eastAsia"/>
          <w:spacing w:val="-6"/>
          <w:kern w:val="0"/>
          <w:sz w:val="44"/>
          <w:szCs w:val="44"/>
        </w:rPr>
        <w:t>构筑美好数字生活新图景 打造数字生活标杆</w:t>
      </w:r>
      <w:proofErr w:type="gramStart"/>
      <w:r>
        <w:rPr>
          <w:rFonts w:ascii="方正小标宋简体" w:eastAsia="方正小标宋简体" w:hAnsi="方正小标宋简体" w:hint="eastAsia"/>
          <w:spacing w:val="-6"/>
          <w:kern w:val="0"/>
          <w:sz w:val="44"/>
          <w:szCs w:val="44"/>
        </w:rPr>
        <w:t>区行动</w:t>
      </w:r>
      <w:proofErr w:type="gramEnd"/>
      <w:r>
        <w:rPr>
          <w:rFonts w:ascii="方正小标宋简体" w:eastAsia="方正小标宋简体" w:hAnsi="方正小标宋简体" w:hint="eastAsia"/>
          <w:spacing w:val="-6"/>
          <w:kern w:val="0"/>
          <w:sz w:val="44"/>
          <w:szCs w:val="44"/>
        </w:rPr>
        <w:t>方案</w:t>
      </w:r>
      <w:r>
        <w:rPr>
          <w:rFonts w:ascii="方正小标宋简体" w:eastAsia="方正小标宋简体" w:hAnsi="方正小标宋简体" w:hint="eastAsia"/>
          <w:kern w:val="0"/>
          <w:sz w:val="44"/>
          <w:szCs w:val="44"/>
        </w:rPr>
        <w:t>（2021-2023年）</w:t>
      </w:r>
      <w:r>
        <w:rPr>
          <w:rFonts w:ascii="方正小标宋简体" w:eastAsia="方正小标宋简体" w:hAnsi="方正小标宋简体" w:cs="方正小标宋简体" w:hint="eastAsia"/>
          <w:kern w:val="3"/>
          <w:sz w:val="44"/>
          <w:szCs w:val="44"/>
        </w:rPr>
        <w:t>（送审稿）</w:t>
      </w:r>
    </w:p>
    <w:p w:rsidR="00E10684" w:rsidRDefault="00E10684">
      <w:pPr>
        <w:suppressAutoHyphens/>
        <w:autoSpaceDN w:val="0"/>
        <w:snapToGrid w:val="0"/>
        <w:spacing w:line="540" w:lineRule="exact"/>
        <w:jc w:val="center"/>
        <w:textAlignment w:val="baseline"/>
        <w:rPr>
          <w:rFonts w:ascii="仿宋" w:eastAsia="仿宋" w:hAnsi="仿宋" w:cs="仿宋"/>
          <w:sz w:val="32"/>
          <w:szCs w:val="32"/>
        </w:rPr>
      </w:pP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生活数字化转型是人民群众感受最直接、体验度最高的领域，是</w:t>
      </w:r>
      <w:proofErr w:type="gramStart"/>
      <w:r>
        <w:rPr>
          <w:rFonts w:ascii="仿宋" w:eastAsia="仿宋" w:hAnsi="仿宋" w:cs="仿宋" w:hint="eastAsia"/>
          <w:sz w:val="32"/>
          <w:szCs w:val="32"/>
        </w:rPr>
        <w:t>践行</w:t>
      </w:r>
      <w:proofErr w:type="gramEnd"/>
      <w:r>
        <w:rPr>
          <w:rFonts w:ascii="仿宋" w:eastAsia="仿宋" w:hAnsi="仿宋" w:cs="仿宋" w:hint="eastAsia"/>
          <w:sz w:val="32"/>
          <w:szCs w:val="32"/>
        </w:rPr>
        <w:t>以人民为中心发展思想、创造高品质生活的重要抓手。为贯彻落实区委、区政府关于全面推进闵行城市数字化转型的决策部署，参照《推进上海生活数字化转型 构建高品质生活行动方案（2021-2023年）》《闵行区数字化转型“十四五”规划》《闵行区推进城市数字化转型工作方案（2021-2023）》等文件，进一步突出闵行区生活数字化转型工作重点、细化工作任务、强化政策指引，全力打造普惠便捷有温度的数字生活标杆区，特制</w:t>
      </w:r>
      <w:proofErr w:type="gramStart"/>
      <w:r>
        <w:rPr>
          <w:rFonts w:ascii="仿宋" w:eastAsia="仿宋" w:hAnsi="仿宋" w:cs="仿宋" w:hint="eastAsia"/>
          <w:sz w:val="32"/>
          <w:szCs w:val="32"/>
        </w:rPr>
        <w:t>定本专项</w:t>
      </w:r>
      <w:proofErr w:type="gramEnd"/>
      <w:r>
        <w:rPr>
          <w:rFonts w:ascii="仿宋" w:eastAsia="仿宋" w:hAnsi="仿宋" w:cs="仿宋" w:hint="eastAsia"/>
          <w:sz w:val="32"/>
          <w:szCs w:val="32"/>
        </w:rPr>
        <w:t>行动方案。</w:t>
      </w:r>
    </w:p>
    <w:p w:rsidR="00E10684" w:rsidRDefault="004817FF">
      <w:pPr>
        <w:spacing w:line="54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一、总体要求</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（一）指导思想</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t>以习近平新时代中国特色社会主义思想为指导，深入贯彻党的</w:t>
      </w:r>
      <w:r w:rsidR="00020CC3" w:rsidRPr="00A319AB">
        <w:rPr>
          <w:rFonts w:ascii="仿宋" w:eastAsia="仿宋" w:hAnsi="仿宋" w:cs="仿宋" w:hint="eastAsia"/>
          <w:sz w:val="32"/>
          <w:szCs w:val="32"/>
        </w:rPr>
        <w:t>十九大和</w:t>
      </w:r>
      <w:r w:rsidR="00020CC3" w:rsidRPr="00A319AB">
        <w:rPr>
          <w:rFonts w:ascii="仿宋" w:eastAsia="仿宋" w:hAnsi="仿宋" w:cs="仿宋"/>
          <w:sz w:val="32"/>
          <w:szCs w:val="32"/>
        </w:rPr>
        <w:t>十九届</w:t>
      </w:r>
      <w:r w:rsidR="00020CC3" w:rsidRPr="00A319AB">
        <w:rPr>
          <w:rFonts w:ascii="仿宋" w:eastAsia="仿宋" w:hAnsi="仿宋" w:cs="仿宋" w:hint="eastAsia"/>
          <w:sz w:val="32"/>
          <w:szCs w:val="32"/>
        </w:rPr>
        <w:t>历次</w:t>
      </w:r>
      <w:r w:rsidR="00020CC3" w:rsidRPr="00A319AB">
        <w:rPr>
          <w:rFonts w:ascii="仿宋" w:eastAsia="仿宋" w:hAnsi="仿宋" w:cs="仿宋"/>
          <w:sz w:val="32"/>
          <w:szCs w:val="32"/>
        </w:rPr>
        <w:t>全会</w:t>
      </w:r>
      <w:r>
        <w:rPr>
          <w:rFonts w:ascii="仿宋" w:eastAsia="仿宋" w:hAnsi="仿宋" w:cs="仿宋" w:hint="eastAsia"/>
          <w:sz w:val="32"/>
          <w:szCs w:val="32"/>
        </w:rPr>
        <w:t>精神，紧扣市委、市政府推进上海城市数字化转型的总体要求，</w:t>
      </w:r>
      <w:proofErr w:type="gramStart"/>
      <w:r>
        <w:rPr>
          <w:rFonts w:ascii="仿宋" w:eastAsia="仿宋" w:hAnsi="仿宋" w:cs="仿宋" w:hint="eastAsia"/>
          <w:sz w:val="32"/>
          <w:szCs w:val="32"/>
        </w:rPr>
        <w:t>践行</w:t>
      </w:r>
      <w:proofErr w:type="gramEnd"/>
      <w:r>
        <w:rPr>
          <w:rFonts w:ascii="仿宋" w:eastAsia="仿宋" w:hAnsi="仿宋" w:cs="仿宋" w:hint="eastAsia"/>
          <w:sz w:val="32"/>
          <w:szCs w:val="32"/>
        </w:rPr>
        <w:t>“人民城市人民建，人民城市为人民”的发展理念，深化演绎“城市让生活更美好”的数字内涵,突出“以人为本”的数字生活体验,突出“数字孪生”的未来场景打造,突出“创新求变”的思维理念再造,推进公共服务的数字化新模式、新业</w:t>
      </w:r>
      <w:proofErr w:type="gramStart"/>
      <w:r>
        <w:rPr>
          <w:rFonts w:ascii="仿宋" w:eastAsia="仿宋" w:hAnsi="仿宋" w:cs="仿宋" w:hint="eastAsia"/>
          <w:sz w:val="32"/>
          <w:szCs w:val="32"/>
        </w:rPr>
        <w:t>态健康</w:t>
      </w:r>
      <w:proofErr w:type="gramEnd"/>
      <w:r>
        <w:rPr>
          <w:rFonts w:ascii="仿宋" w:eastAsia="仿宋" w:hAnsi="仿宋" w:cs="仿宋" w:hint="eastAsia"/>
          <w:sz w:val="32"/>
          <w:szCs w:val="32"/>
        </w:rPr>
        <w:t>发展，围绕数字生活服务感受度，形成一批群众最关心、最直接、最受用的生活数字化应用，更高水平满足人民对美好生活的向往。</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lastRenderedPageBreak/>
        <w:t>（二）转型目标</w:t>
      </w:r>
    </w:p>
    <w:p w:rsidR="00E10684" w:rsidRDefault="004817FF">
      <w:pPr>
        <w:spacing w:line="560" w:lineRule="exact"/>
        <w:ind w:firstLineChars="200" w:firstLine="640"/>
        <w:rPr>
          <w:rFonts w:ascii="仿宋_GB2312" w:eastAsia="仿宋_GB2312" w:hAnsi="仿宋_GB2312" w:cs="仿宋_GB2312"/>
          <w:bCs/>
          <w:sz w:val="32"/>
          <w:szCs w:val="32"/>
        </w:rPr>
      </w:pPr>
      <w:r>
        <w:rPr>
          <w:rFonts w:ascii="仿宋" w:eastAsia="仿宋" w:hAnsi="仿宋" w:cs="仿宋" w:hint="eastAsia"/>
          <w:sz w:val="32"/>
          <w:szCs w:val="32"/>
        </w:rPr>
        <w:t>以民生需求为导向、以提升群众生活服务体验感与满意度为落脚点，通过推动民生服务业务流程重塑等生活数字化转型，解决人民群众的</w:t>
      </w:r>
      <w:proofErr w:type="gramStart"/>
      <w:r>
        <w:rPr>
          <w:rFonts w:ascii="仿宋" w:eastAsia="仿宋" w:hAnsi="仿宋" w:cs="仿宋" w:hint="eastAsia"/>
          <w:sz w:val="32"/>
          <w:szCs w:val="32"/>
        </w:rPr>
        <w:t>急难愁盼问题</w:t>
      </w:r>
      <w:proofErr w:type="gramEnd"/>
      <w:r>
        <w:rPr>
          <w:rFonts w:ascii="仿宋" w:eastAsia="仿宋" w:hAnsi="仿宋" w:cs="仿宋" w:hint="eastAsia"/>
          <w:sz w:val="32"/>
          <w:szCs w:val="32"/>
        </w:rPr>
        <w:t>，体现城市发展的“人本”价值、开放包容。到2023年，实现闵行区数字生活服务感受不断提升，重点行业利用数字化实现业务流程再造效应初步显现，数字技术全面融入社会交往和日常生活，人民群众的获得感、幸福感和安全感不断增强，有温度的数字生活标杆区基本建成。</w:t>
      </w:r>
    </w:p>
    <w:p w:rsidR="00E10684" w:rsidRDefault="004817FF">
      <w:pPr>
        <w:spacing w:line="560" w:lineRule="exact"/>
        <w:ind w:firstLineChars="200" w:firstLine="643"/>
        <w:rPr>
          <w:rFonts w:ascii="仿宋" w:eastAsia="仿宋" w:hAnsi="仿宋" w:cs="仿宋"/>
          <w:bCs/>
          <w:sz w:val="32"/>
          <w:szCs w:val="32"/>
        </w:rPr>
      </w:pPr>
      <w:r>
        <w:rPr>
          <w:rFonts w:ascii="仿宋" w:eastAsia="仿宋" w:hAnsi="仿宋" w:cs="仿宋" w:hint="eastAsia"/>
          <w:b/>
          <w:sz w:val="32"/>
          <w:szCs w:val="32"/>
        </w:rPr>
        <w:t>——破除民生关注的难点问题：</w:t>
      </w:r>
      <w:r>
        <w:rPr>
          <w:rFonts w:ascii="仿宋" w:eastAsia="仿宋" w:hAnsi="仿宋" w:cs="仿宋" w:hint="eastAsia"/>
          <w:bCs/>
          <w:sz w:val="32"/>
          <w:szCs w:val="32"/>
        </w:rPr>
        <w:t>从最困难的群众入手、从最突出的问题抓起、从最现实的利益出发，通过加快民生领域数字化转型场景应用建设试点，破解民生关注“痛点”，疏通群众办事“堵点”，努力让老百姓在生活数字化转型中看到变化、得到实惠</w:t>
      </w:r>
      <w:r>
        <w:rPr>
          <w:rFonts w:ascii="仿宋" w:eastAsia="仿宋" w:hAnsi="仿宋" w:cs="仿宋" w:hint="eastAsia"/>
          <w:bCs/>
          <w:color w:val="000000" w:themeColor="text1"/>
          <w:sz w:val="32"/>
          <w:szCs w:val="32"/>
        </w:rPr>
        <w:t>。到2023年，打造8所数字化赋能示范校，打造1所涵盖日常管理、安全监护、健康监测等功能的智慧养老院。</w:t>
      </w:r>
    </w:p>
    <w:p w:rsidR="00E10684" w:rsidRDefault="004817FF">
      <w:pPr>
        <w:spacing w:line="560" w:lineRule="exact"/>
        <w:ind w:firstLineChars="200" w:firstLine="643"/>
        <w:rPr>
          <w:rFonts w:ascii="仿宋" w:eastAsia="仿宋" w:hAnsi="仿宋" w:cs="仿宋"/>
          <w:b/>
          <w:sz w:val="32"/>
          <w:szCs w:val="32"/>
        </w:rPr>
      </w:pPr>
      <w:r>
        <w:rPr>
          <w:rFonts w:ascii="仿宋" w:eastAsia="仿宋" w:hAnsi="仿宋" w:cs="仿宋" w:hint="eastAsia"/>
          <w:b/>
          <w:sz w:val="32"/>
          <w:szCs w:val="32"/>
        </w:rPr>
        <w:t>——提升生活数字化服务能级：</w:t>
      </w:r>
      <w:r>
        <w:rPr>
          <w:rFonts w:ascii="仿宋" w:eastAsia="仿宋" w:hAnsi="仿宋" w:cs="仿宋" w:hint="eastAsia"/>
          <w:bCs/>
          <w:sz w:val="32"/>
          <w:szCs w:val="32"/>
        </w:rPr>
        <w:t>以基础支撑能级提升为依托，推动新型基础设施布局生活服务各领域，建成服务生活数字化转型的数据资源体系和技术开发体系。以技术应用能级提升为动力，加快行业内新兴数字技术的广泛渗透，打通产学研用各环节的创新链,形成支撑未来数字生活持续发展的技术赋能体系。</w:t>
      </w:r>
      <w:r>
        <w:rPr>
          <w:rFonts w:ascii="仿宋" w:eastAsia="仿宋" w:hAnsi="仿宋" w:cs="仿宋" w:hint="eastAsia"/>
          <w:bCs/>
          <w:color w:val="000000" w:themeColor="text1"/>
          <w:sz w:val="32"/>
          <w:szCs w:val="32"/>
        </w:rPr>
        <w:t>到2023年，新建智能取餐柜、智能取物柜等智能末端配送设施数量总计达到1200台，在健康、医疗、教育、文化、出行等重点领域孵化超过 5家创新型生活服务企业。</w:t>
      </w:r>
    </w:p>
    <w:p w:rsidR="00E10684" w:rsidRDefault="004817FF">
      <w:pPr>
        <w:spacing w:line="560" w:lineRule="exact"/>
        <w:ind w:firstLineChars="200" w:firstLine="643"/>
        <w:rPr>
          <w:rFonts w:ascii="仿宋" w:eastAsia="仿宋" w:hAnsi="仿宋" w:cs="仿宋"/>
          <w:b/>
          <w:sz w:val="32"/>
          <w:szCs w:val="32"/>
        </w:rPr>
      </w:pPr>
      <w:r>
        <w:rPr>
          <w:rFonts w:ascii="仿宋" w:eastAsia="仿宋" w:hAnsi="仿宋" w:cs="仿宋" w:hint="eastAsia"/>
          <w:b/>
          <w:sz w:val="32"/>
          <w:szCs w:val="32"/>
        </w:rPr>
        <w:t>——打造数字开放发展新生态：</w:t>
      </w:r>
      <w:r>
        <w:rPr>
          <w:rFonts w:ascii="仿宋" w:eastAsia="仿宋" w:hAnsi="仿宋" w:cs="仿宋" w:hint="eastAsia"/>
          <w:bCs/>
          <w:sz w:val="32"/>
          <w:szCs w:val="32"/>
        </w:rPr>
        <w:t>以破解制约数字化转型发展的制度瓶颈和机制门槛为重点，不断完善高效协同的组织管理体</w:t>
      </w:r>
      <w:r>
        <w:rPr>
          <w:rFonts w:ascii="仿宋" w:eastAsia="仿宋" w:hAnsi="仿宋" w:cs="仿宋" w:hint="eastAsia"/>
          <w:bCs/>
          <w:color w:val="000000" w:themeColor="text1"/>
          <w:sz w:val="32"/>
          <w:szCs w:val="32"/>
        </w:rPr>
        <w:lastRenderedPageBreak/>
        <w:t>制与精准支持的政策框架体系</w:t>
      </w:r>
      <w:r w:rsidR="00020CC3">
        <w:rPr>
          <w:rFonts w:ascii="仿宋" w:eastAsia="仿宋" w:hAnsi="仿宋" w:cs="仿宋" w:hint="eastAsia"/>
          <w:bCs/>
          <w:color w:val="000000" w:themeColor="text1"/>
          <w:sz w:val="32"/>
          <w:szCs w:val="32"/>
        </w:rPr>
        <w:t>，按照“大系统、大平台”的建设导向，整合现有生活数字化转型资源</w:t>
      </w:r>
      <w:r>
        <w:rPr>
          <w:rFonts w:ascii="仿宋" w:eastAsia="仿宋" w:hAnsi="仿宋" w:cs="仿宋" w:hint="eastAsia"/>
          <w:bCs/>
          <w:color w:val="000000" w:themeColor="text1"/>
          <w:sz w:val="32"/>
          <w:szCs w:val="32"/>
        </w:rPr>
        <w:t>，推动信息基础设施和应用系统集约建设，逐步形成与数字时代生产力水平相适应的数字规则体系和数字发展生态。</w:t>
      </w:r>
      <w:r>
        <w:rPr>
          <w:rFonts w:ascii="仿宋" w:eastAsia="仿宋" w:hAnsi="仿宋" w:cs="仿宋" w:hint="eastAsia"/>
          <w:color w:val="000000" w:themeColor="text1"/>
          <w:sz w:val="32"/>
          <w:szCs w:val="32"/>
        </w:rPr>
        <w:t>到2023年，引入至少5家重点企业开展行业基础云平台建设，培育20家大数据服务商，</w:t>
      </w:r>
      <w:r>
        <w:rPr>
          <w:rFonts w:ascii="仿宋" w:eastAsia="仿宋" w:hAnsi="仿宋" w:cs="仿宋" w:hint="eastAsia"/>
          <w:bCs/>
          <w:color w:val="000000" w:themeColor="text1"/>
          <w:sz w:val="32"/>
          <w:szCs w:val="32"/>
        </w:rPr>
        <w:t>为提升生活数字化服务能力、鼓励多元主体参与标杆场景共建共享提供包容开放的发展环境</w:t>
      </w:r>
      <w:r>
        <w:rPr>
          <w:rFonts w:ascii="仿宋" w:eastAsia="仿宋" w:hAnsi="仿宋" w:cs="仿宋" w:hint="eastAsia"/>
          <w:color w:val="000000" w:themeColor="text1"/>
          <w:sz w:val="32"/>
          <w:szCs w:val="32"/>
          <w:lang w:eastAsia="zh-Hans"/>
        </w:rPr>
        <w:t>。</w:t>
      </w:r>
    </w:p>
    <w:p w:rsidR="00E10684" w:rsidRDefault="004817FF">
      <w:pPr>
        <w:spacing w:line="540" w:lineRule="exact"/>
        <w:ind w:firstLineChars="200" w:firstLine="640"/>
        <w:outlineLvl w:val="1"/>
        <w:rPr>
          <w:rFonts w:ascii="黑体" w:eastAsia="黑体" w:hAnsi="黑体" w:cs="黑体"/>
          <w:bCs/>
          <w:sz w:val="32"/>
          <w:szCs w:val="32"/>
        </w:rPr>
      </w:pPr>
      <w:r>
        <w:rPr>
          <w:rFonts w:ascii="黑体" w:eastAsia="黑体" w:hAnsi="黑体" w:cs="黑体" w:hint="eastAsia"/>
          <w:bCs/>
          <w:sz w:val="32"/>
          <w:szCs w:val="32"/>
        </w:rPr>
        <w:t>二、打造数字赋能生态</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（一）完善场景持续运行机制</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color w:val="000000" w:themeColor="text1"/>
          <w:sz w:val="32"/>
          <w:szCs w:val="32"/>
        </w:rPr>
        <w:t>从场景发现、协调联动、培育典型、搭建平台等个方面入手，深化场景持续运行机制。健全一体化公共数据治理体系，按照不同类型数据归集、治理共享、开发利用等具体要求，完善对公共数据的管理利用和协调共享，推动形成跨部门、跨层级的数据工作与业务工作协同管理机制。完善综合性场景发现机制,打造市民需求持续跟踪和场景建设优化迭代的互</w:t>
      </w:r>
      <w:r>
        <w:rPr>
          <w:rFonts w:ascii="仿宋" w:eastAsia="仿宋" w:hAnsi="仿宋" w:cs="仿宋" w:hint="eastAsia"/>
          <w:sz w:val="32"/>
          <w:szCs w:val="32"/>
        </w:rPr>
        <w:t>动模式,促进场景跨部门、跨领域共建共享和融合发展。全面强化市、区与街镇的整体协同和部门间信息共享与业务联动,协商制定场景建设方案,明确任务分工、绩效评估等工作协调机制，搭建平台企业和中小</w:t>
      </w:r>
      <w:proofErr w:type="gramStart"/>
      <w:r>
        <w:rPr>
          <w:rFonts w:ascii="仿宋" w:eastAsia="仿宋" w:hAnsi="仿宋" w:cs="仿宋" w:hint="eastAsia"/>
          <w:sz w:val="32"/>
          <w:szCs w:val="32"/>
        </w:rPr>
        <w:t>微企业</w:t>
      </w:r>
      <w:proofErr w:type="gramEnd"/>
      <w:r>
        <w:rPr>
          <w:rFonts w:ascii="仿宋" w:eastAsia="仿宋" w:hAnsi="仿宋" w:cs="仿宋" w:hint="eastAsia"/>
          <w:sz w:val="32"/>
          <w:szCs w:val="32"/>
        </w:rPr>
        <w:t>与场景建设单位的对接机制,形成数字化转型的市场能动性。（牵头单位：区科委）</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（二）打造数字生活功能性平台</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探索建设“政企合作”的数字化“功能性平台”,与城市“数字底座”紧密衔接,为重点行业在研发设计、验证测试、设备应</w:t>
      </w:r>
    </w:p>
    <w:p w:rsidR="00E10684" w:rsidRDefault="004817FF">
      <w:pPr>
        <w:spacing w:line="560" w:lineRule="exact"/>
        <w:rPr>
          <w:rFonts w:ascii="仿宋" w:eastAsia="仿宋" w:hAnsi="仿宋" w:cs="仿宋"/>
          <w:sz w:val="32"/>
          <w:szCs w:val="32"/>
        </w:rPr>
      </w:pPr>
      <w:r>
        <w:rPr>
          <w:rFonts w:ascii="仿宋" w:eastAsia="仿宋" w:hAnsi="仿宋" w:cs="仿宋" w:hint="eastAsia"/>
          <w:sz w:val="32"/>
          <w:szCs w:val="32"/>
        </w:rPr>
        <w:t>用、交流互动、成果转化等方面提供赋能。推动建设医学大数据、</w:t>
      </w:r>
      <w:r>
        <w:rPr>
          <w:rFonts w:ascii="仿宋" w:eastAsia="仿宋" w:hAnsi="仿宋" w:cs="仿宋" w:hint="eastAsia"/>
          <w:sz w:val="32"/>
          <w:szCs w:val="32"/>
        </w:rPr>
        <w:lastRenderedPageBreak/>
        <w:t>智能医疗器械与软件创新研发的公共服务平台和面向创新生物药研发的创新服务平台。在用好区内现有17000个机架</w:t>
      </w:r>
      <w:proofErr w:type="gramStart"/>
      <w:r>
        <w:rPr>
          <w:rFonts w:ascii="仿宋" w:eastAsia="仿宋" w:hAnsi="仿宋" w:cs="仿宋" w:hint="eastAsia"/>
          <w:sz w:val="32"/>
          <w:szCs w:val="32"/>
        </w:rPr>
        <w:t>的算力资源</w:t>
      </w:r>
      <w:proofErr w:type="gramEnd"/>
      <w:r>
        <w:rPr>
          <w:rFonts w:ascii="仿宋" w:eastAsia="仿宋" w:hAnsi="仿宋" w:cs="仿宋" w:hint="eastAsia"/>
          <w:sz w:val="32"/>
          <w:szCs w:val="32"/>
        </w:rPr>
        <w:t>基础上，重点支持各类行业应用</w:t>
      </w:r>
      <w:proofErr w:type="gramStart"/>
      <w:r>
        <w:rPr>
          <w:rFonts w:ascii="仿宋" w:eastAsia="仿宋" w:hAnsi="仿宋" w:cs="仿宋" w:hint="eastAsia"/>
          <w:sz w:val="32"/>
          <w:szCs w:val="32"/>
        </w:rPr>
        <w:t>开放算力平台</w:t>
      </w:r>
      <w:proofErr w:type="gramEnd"/>
      <w:r>
        <w:rPr>
          <w:rFonts w:ascii="仿宋" w:eastAsia="仿宋" w:hAnsi="仿宋" w:cs="仿宋" w:hint="eastAsia"/>
          <w:sz w:val="32"/>
          <w:szCs w:val="32"/>
        </w:rPr>
        <w:t>建设，实现随需</w:t>
      </w:r>
      <w:proofErr w:type="gramStart"/>
      <w:r>
        <w:rPr>
          <w:rFonts w:ascii="仿宋" w:eastAsia="仿宋" w:hAnsi="仿宋" w:cs="仿宋" w:hint="eastAsia"/>
          <w:sz w:val="32"/>
          <w:szCs w:val="32"/>
        </w:rPr>
        <w:t>弹性算力资源</w:t>
      </w:r>
      <w:proofErr w:type="gramEnd"/>
      <w:r>
        <w:rPr>
          <w:rFonts w:ascii="仿宋" w:eastAsia="仿宋" w:hAnsi="仿宋" w:cs="仿宋" w:hint="eastAsia"/>
          <w:sz w:val="32"/>
          <w:szCs w:val="32"/>
        </w:rPr>
        <w:t>供给。鼓励引导和引进至少5家重点企业开展行业基础云平台建设，提供安全、</w:t>
      </w:r>
      <w:proofErr w:type="gramStart"/>
      <w:r>
        <w:rPr>
          <w:rFonts w:ascii="仿宋" w:eastAsia="仿宋" w:hAnsi="仿宋" w:cs="仿宋" w:hint="eastAsia"/>
          <w:sz w:val="32"/>
          <w:szCs w:val="32"/>
        </w:rPr>
        <w:t>高效行业云</w:t>
      </w:r>
      <w:proofErr w:type="gramEnd"/>
      <w:r>
        <w:rPr>
          <w:rFonts w:ascii="仿宋" w:eastAsia="仿宋" w:hAnsi="仿宋" w:cs="仿宋" w:hint="eastAsia"/>
          <w:sz w:val="32"/>
          <w:szCs w:val="32"/>
        </w:rPr>
        <w:t>服务，为基础科学研究、芯片设计、人工智能等多领域提供高性能</w:t>
      </w:r>
      <w:proofErr w:type="gramStart"/>
      <w:r>
        <w:rPr>
          <w:rFonts w:ascii="仿宋" w:eastAsia="仿宋" w:hAnsi="仿宋" w:cs="仿宋" w:hint="eastAsia"/>
          <w:sz w:val="32"/>
          <w:szCs w:val="32"/>
        </w:rPr>
        <w:t>的算力服务</w:t>
      </w:r>
      <w:proofErr w:type="gramEnd"/>
      <w:r>
        <w:rPr>
          <w:rFonts w:ascii="仿宋" w:eastAsia="仿宋" w:hAnsi="仿宋" w:cs="仿宋" w:hint="eastAsia"/>
          <w:sz w:val="32"/>
          <w:szCs w:val="32"/>
        </w:rPr>
        <w:t>，聚集人工智能产业生态体系、</w:t>
      </w:r>
      <w:proofErr w:type="gramStart"/>
      <w:r>
        <w:rPr>
          <w:rFonts w:ascii="仿宋" w:eastAsia="仿宋" w:hAnsi="仿宋" w:cs="仿宋" w:hint="eastAsia"/>
          <w:sz w:val="32"/>
          <w:szCs w:val="32"/>
        </w:rPr>
        <w:t>赋能科创产业</w:t>
      </w:r>
      <w:proofErr w:type="gramEnd"/>
      <w:r>
        <w:rPr>
          <w:rFonts w:ascii="仿宋" w:eastAsia="仿宋" w:hAnsi="仿宋" w:cs="仿宋" w:hint="eastAsia"/>
          <w:sz w:val="32"/>
          <w:szCs w:val="32"/>
        </w:rPr>
        <w:t>，以</w:t>
      </w:r>
      <w:proofErr w:type="gramStart"/>
      <w:r>
        <w:rPr>
          <w:rFonts w:ascii="仿宋" w:eastAsia="仿宋" w:hAnsi="仿宋" w:cs="仿宋" w:hint="eastAsia"/>
          <w:sz w:val="32"/>
          <w:szCs w:val="32"/>
        </w:rPr>
        <w:t>科创产业</w:t>
      </w:r>
      <w:proofErr w:type="gramEnd"/>
      <w:r>
        <w:rPr>
          <w:rFonts w:ascii="仿宋" w:eastAsia="仿宋" w:hAnsi="仿宋" w:cs="仿宋" w:hint="eastAsia"/>
          <w:sz w:val="32"/>
          <w:szCs w:val="32"/>
        </w:rPr>
        <w:t>发展带动生活数字化场景创新建设。（牵头单位：区经委、区科委）</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（三）布局生活领域新基建</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聚焦外环内区域、已建成重点区域、主要干道、重点场所，结合架空线入地，逐步推进综合类智慧灯杆建设，将道路上原有的监控杆、信号灯杆、标志标牌杆等各式各样的杆件由综合杆替代，到2023年，再建综合杆200根。增加智能取餐柜、智能取物柜等智能末端配送设施的投放，到2023年，新增总量1200台。加快社区智能烟感、智能消防栓、高空抛物智能抓拍、智能垃圾柜、楼道堆物感知等终端设施的布设，推动小区物业管理工作从“人防人管”向技防和智慧管理转变。完成虹桥商务区国际互联网专用通道建设。（牵头单位：区经委、区科委、区建管委、区公安分局、区房管局、各街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（四）发展数字孪生生活新技术</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t>加快生活领域新科技的整体布局和集中攻关,以企业为技术创新主体,打通产学研用各环节的创新链,形成支撑未来数字生活持续发展的技术赋能体系。加快数字新科技的创新试点和推广应用,推动5G、</w:t>
      </w:r>
      <w:proofErr w:type="gramStart"/>
      <w:r>
        <w:rPr>
          <w:rFonts w:ascii="仿宋" w:eastAsia="仿宋" w:hAnsi="仿宋" w:cs="仿宋" w:hint="eastAsia"/>
          <w:sz w:val="32"/>
          <w:szCs w:val="32"/>
        </w:rPr>
        <w:t>千兆光</w:t>
      </w:r>
      <w:proofErr w:type="gramEnd"/>
      <w:r>
        <w:rPr>
          <w:rFonts w:ascii="仿宋" w:eastAsia="仿宋" w:hAnsi="仿宋" w:cs="仿宋" w:hint="eastAsia"/>
          <w:sz w:val="32"/>
          <w:szCs w:val="32"/>
        </w:rPr>
        <w:t>网、新型</w:t>
      </w:r>
      <w:proofErr w:type="gramStart"/>
      <w:r>
        <w:rPr>
          <w:rFonts w:ascii="仿宋" w:eastAsia="仿宋" w:hAnsi="仿宋" w:cs="仿宋" w:hint="eastAsia"/>
          <w:sz w:val="32"/>
          <w:szCs w:val="32"/>
        </w:rPr>
        <w:t>城域物联</w:t>
      </w:r>
      <w:proofErr w:type="gramEnd"/>
      <w:r>
        <w:rPr>
          <w:rFonts w:ascii="仿宋" w:eastAsia="仿宋" w:hAnsi="仿宋" w:cs="仿宋" w:hint="eastAsia"/>
          <w:sz w:val="32"/>
          <w:szCs w:val="32"/>
        </w:rPr>
        <w:t>专网、北斗定位等在生</w:t>
      </w:r>
      <w:r>
        <w:rPr>
          <w:rFonts w:ascii="仿宋" w:eastAsia="仿宋" w:hAnsi="仿宋" w:cs="仿宋" w:hint="eastAsia"/>
          <w:sz w:val="32"/>
          <w:szCs w:val="32"/>
        </w:rPr>
        <w:lastRenderedPageBreak/>
        <w:t>活重点场景和区域的深度覆盖;推动人工智能、大数据、区块链、AR/VR、超高清等新一代信息技术的研发与生活场景应用深度结合;加快V2X、BIM/CIM等新兴技术在生活数字化转型中先试先用,率先规模化落地。加强数字化转型的商用落地价值，结合</w:t>
      </w:r>
      <w:proofErr w:type="gramStart"/>
      <w:r>
        <w:rPr>
          <w:rFonts w:ascii="仿宋" w:eastAsia="仿宋" w:hAnsi="仿宋" w:cs="仿宋" w:hint="eastAsia"/>
          <w:sz w:val="32"/>
          <w:szCs w:val="32"/>
        </w:rPr>
        <w:t>闵行区科创园区</w:t>
      </w:r>
      <w:proofErr w:type="gramEnd"/>
      <w:r>
        <w:rPr>
          <w:rFonts w:ascii="仿宋" w:eastAsia="仿宋" w:hAnsi="仿宋" w:cs="仿宋" w:hint="eastAsia"/>
          <w:sz w:val="32"/>
          <w:szCs w:val="32"/>
        </w:rPr>
        <w:t>创新创业的特色，形成可持续发展的数字化转型机制，不断迭代，不断创新，使数字化转型的数据资源能够更高效的得到利用。（牵头单位：区科委）</w:t>
      </w:r>
    </w:p>
    <w:p w:rsidR="00E10684" w:rsidRDefault="004817FF">
      <w:pPr>
        <w:spacing w:line="54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三、立足基本需求，优化数字民生服务布局精度</w:t>
      </w:r>
    </w:p>
    <w:p w:rsidR="00E10684" w:rsidRDefault="004817FF">
      <w:pPr>
        <w:spacing w:line="540" w:lineRule="exact"/>
        <w:ind w:firstLineChars="200" w:firstLine="643"/>
        <w:outlineLvl w:val="2"/>
        <w:rPr>
          <w:rFonts w:ascii="宋体" w:hAnsi="宋体" w:cs="宋体"/>
          <w:b/>
          <w:bCs/>
          <w:sz w:val="32"/>
          <w:szCs w:val="32"/>
        </w:rPr>
      </w:pPr>
      <w:r>
        <w:rPr>
          <w:rFonts w:ascii="楷体_GB2312" w:eastAsia="楷体_GB2312" w:hAnsi="楷体_GB2312" w:cs="楷体_GB2312" w:hint="eastAsia"/>
          <w:b/>
          <w:sz w:val="32"/>
          <w:szCs w:val="32"/>
        </w:rPr>
        <w:t>（</w:t>
      </w:r>
      <w:r>
        <w:rPr>
          <w:rFonts w:ascii="宋体" w:hAnsi="宋体" w:cs="宋体" w:hint="eastAsia"/>
          <w:b/>
          <w:bCs/>
          <w:sz w:val="32"/>
          <w:szCs w:val="32"/>
        </w:rPr>
        <w:t>一）</w:t>
      </w:r>
      <w:proofErr w:type="gramStart"/>
      <w:r>
        <w:rPr>
          <w:rFonts w:ascii="宋体" w:hAnsi="宋体" w:cs="宋体" w:hint="eastAsia"/>
          <w:b/>
          <w:bCs/>
          <w:sz w:val="32"/>
          <w:szCs w:val="32"/>
        </w:rPr>
        <w:t>织密数字化</w:t>
      </w:r>
      <w:proofErr w:type="gramEnd"/>
      <w:r>
        <w:rPr>
          <w:rFonts w:ascii="宋体" w:hAnsi="宋体" w:cs="宋体" w:hint="eastAsia"/>
          <w:b/>
          <w:bCs/>
          <w:sz w:val="32"/>
          <w:szCs w:val="32"/>
        </w:rPr>
        <w:t>疫情防控网</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针对常态化疫情防控形势，聚焦数据驱动和场景应用，构建常态化监测预警机制，织</w:t>
      </w:r>
      <w:proofErr w:type="gramStart"/>
      <w:r>
        <w:rPr>
          <w:rFonts w:ascii="仿宋" w:eastAsia="仿宋" w:hAnsi="仿宋" w:cs="仿宋" w:hint="eastAsia"/>
          <w:sz w:val="32"/>
          <w:szCs w:val="32"/>
        </w:rPr>
        <w:t>牢织密</w:t>
      </w:r>
      <w:proofErr w:type="gramEnd"/>
      <w:r>
        <w:rPr>
          <w:rFonts w:ascii="仿宋" w:eastAsia="仿宋" w:hAnsi="仿宋" w:cs="仿宋" w:hint="eastAsia"/>
          <w:sz w:val="32"/>
          <w:szCs w:val="32"/>
        </w:rPr>
        <w:t>公共卫生防护网，打造数字化公共卫生应急管理体</w:t>
      </w:r>
      <w:r w:rsidR="00B800C7">
        <w:rPr>
          <w:rFonts w:ascii="仿宋" w:eastAsia="仿宋" w:hAnsi="仿宋" w:cs="仿宋" w:hint="eastAsia"/>
          <w:sz w:val="32"/>
          <w:szCs w:val="32"/>
        </w:rPr>
        <w:t>系。持续推动“场所码”、“数字哨兵”等数字化防疫设施的</w:t>
      </w:r>
      <w:proofErr w:type="gramStart"/>
      <w:r w:rsidR="00B800C7">
        <w:rPr>
          <w:rFonts w:ascii="仿宋" w:eastAsia="仿宋" w:hAnsi="仿宋" w:cs="仿宋" w:hint="eastAsia"/>
          <w:sz w:val="32"/>
          <w:szCs w:val="32"/>
        </w:rPr>
        <w:t>应部尽部</w:t>
      </w:r>
      <w:proofErr w:type="gramEnd"/>
      <w:r>
        <w:rPr>
          <w:rFonts w:ascii="仿宋" w:eastAsia="仿宋" w:hAnsi="仿宋" w:cs="仿宋" w:hint="eastAsia"/>
          <w:sz w:val="32"/>
          <w:szCs w:val="32"/>
        </w:rPr>
        <w:t>，做好数据全量汇聚实时汇集和及时推送，形成强大发现机制和处置机制。进一步拓展医疗公共数据归集的准确性、完整性、时效性，提升区内人员疫苗接种、核酸检测结果、</w:t>
      </w:r>
      <w:proofErr w:type="gramStart"/>
      <w:r>
        <w:rPr>
          <w:rFonts w:ascii="仿宋" w:eastAsia="仿宋" w:hAnsi="仿宋" w:cs="仿宋" w:hint="eastAsia"/>
          <w:sz w:val="32"/>
          <w:szCs w:val="32"/>
        </w:rPr>
        <w:t>随申码异色</w:t>
      </w:r>
      <w:proofErr w:type="gramEnd"/>
      <w:r>
        <w:rPr>
          <w:rFonts w:ascii="仿宋" w:eastAsia="仿宋" w:hAnsi="仿宋" w:cs="仿宋" w:hint="eastAsia"/>
          <w:sz w:val="32"/>
          <w:szCs w:val="32"/>
        </w:rPr>
        <w:t>赋码原因、电商快递随申码校验、</w:t>
      </w:r>
      <w:proofErr w:type="gramStart"/>
      <w:r>
        <w:rPr>
          <w:rFonts w:ascii="仿宋" w:eastAsia="仿宋" w:hAnsi="仿宋" w:cs="仿宋" w:hint="eastAsia"/>
          <w:sz w:val="32"/>
          <w:szCs w:val="32"/>
        </w:rPr>
        <w:t>场所码点位</w:t>
      </w:r>
      <w:proofErr w:type="gramEnd"/>
      <w:r>
        <w:rPr>
          <w:rFonts w:ascii="仿宋" w:eastAsia="仿宋" w:hAnsi="仿宋" w:cs="仿宋" w:hint="eastAsia"/>
          <w:sz w:val="32"/>
          <w:szCs w:val="32"/>
        </w:rPr>
        <w:t>信息等相关数据支撑能力。开展公共卫生应急管理的信息化和智能化升级，依托常态化疫情防控管理系统建设和应用，聚焦人员排查、流调风控、疫苗接种等重点领域，加强数据融通共享，丰富拓展场景应用，持续健全完善公共卫生智能管理体系。（牵头单位：区卫健委、区科委）</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（二）打造便捷就医综合体</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在解决群众医疗健康难题上精准发力，推动以患者为中心的就医流程再造。以“闵行捷</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”为基础，在区域医疗机构推进“便</w:t>
      </w:r>
      <w:r>
        <w:rPr>
          <w:rFonts w:ascii="仿宋" w:eastAsia="仿宋" w:hAnsi="仿宋" w:cs="仿宋" w:hint="eastAsia"/>
          <w:sz w:val="32"/>
          <w:szCs w:val="32"/>
        </w:rPr>
        <w:lastRenderedPageBreak/>
        <w:t>捷就医服务”示范场景建设，深化精准预约（诊前）、智能预问诊（诊前）、互联互通互认（诊中）、医疗付费“一件事”（诊中）、电子病历卡与推送电子出院小结（诊后）等应用，推进代配药智能化服务，方便看病就医，提升就医体验，到2023年末实现区属公立医疗机构便捷就医服务全覆盖。探索便捷就医2.0新场景，建设智能分诊导诊、医疗收费电子票据、智能诊后管理、基于区块链的技术的中药代煎配送等应用场景，同时继续深化便捷就医服务6+1应用场景的推广使用、功能完善。（牵头单位：区卫健委、区</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保局）</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（三）创建智慧教育示范区</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以教育教学的数字化应用全覆盖为基础，创建“全国智慧教育示范区”。以蔷薇小学、华理科</w:t>
      </w:r>
      <w:proofErr w:type="gramStart"/>
      <w:r>
        <w:rPr>
          <w:rFonts w:ascii="仿宋" w:eastAsia="仿宋" w:hAnsi="仿宋" w:cs="仿宋" w:hint="eastAsia"/>
          <w:sz w:val="32"/>
          <w:szCs w:val="32"/>
        </w:rPr>
        <w:t>高等为</w:t>
      </w:r>
      <w:proofErr w:type="gramEnd"/>
      <w:r>
        <w:rPr>
          <w:rFonts w:ascii="仿宋" w:eastAsia="仿宋" w:hAnsi="仿宋" w:cs="仿宋" w:hint="eastAsia"/>
          <w:sz w:val="32"/>
          <w:szCs w:val="32"/>
        </w:rPr>
        <w:t>试点，推进“数字赋能示范校”示范场景建设，到2023年，打造8所数字化赋能示范校。推动教育服务的云-端应用，实现各级各类服务平台间的数据融通，到2023年建成覆盖所有师生的基础信息库和成长数据库。推动数据驱动的大规模因材施教实践，通过学习资源、学习平台和学习评价等方面应用，开展基于学习过程数据的差异化教学与个性化学习。依托“一网通办”“随申办”,对政策、服务、资源进行聚类细分，匹配目标用户多元需求，开展“免申即享”“随申码•学生”线上线下融合应用、电子证照引用等多领域创新试点，积极推动教育智能服务、“一件事”场景落地。(牵头单位：区教育局、区行政服务中心）</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（四）塑造数字社区生活圈</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以居民的生活需求为导向，打造有温度、有归属感的数字家</w:t>
      </w:r>
      <w:r>
        <w:rPr>
          <w:rFonts w:ascii="仿宋" w:eastAsia="仿宋" w:hAnsi="仿宋" w:cs="仿宋" w:hint="eastAsia"/>
          <w:sz w:val="32"/>
          <w:szCs w:val="32"/>
        </w:rPr>
        <w:lastRenderedPageBreak/>
        <w:t>园。建立由社区级物业服务，街镇级物业管理，区级物业监管三级应用平台和物业服务直通车移动</w:t>
      </w:r>
      <w:proofErr w:type="gramStart"/>
      <w:r>
        <w:rPr>
          <w:rFonts w:ascii="仿宋" w:eastAsia="仿宋" w:hAnsi="仿宋" w:cs="仿宋" w:hint="eastAsia"/>
          <w:sz w:val="32"/>
          <w:szCs w:val="32"/>
        </w:rPr>
        <w:t>端组成</w:t>
      </w:r>
      <w:proofErr w:type="gramEnd"/>
      <w:r>
        <w:rPr>
          <w:rFonts w:ascii="仿宋" w:eastAsia="仿宋" w:hAnsi="仿宋" w:cs="仿宋" w:hint="eastAsia"/>
          <w:sz w:val="32"/>
          <w:szCs w:val="32"/>
        </w:rPr>
        <w:t>的“数字家园”1.0基础平台</w:t>
      </w:r>
      <w:r w:rsidR="00A319AB">
        <w:rPr>
          <w:rFonts w:ascii="仿宋" w:eastAsia="仿宋" w:hAnsi="仿宋" w:cs="仿宋" w:hint="eastAsia"/>
          <w:sz w:val="32"/>
          <w:szCs w:val="32"/>
        </w:rPr>
        <w:t>，</w:t>
      </w:r>
      <w:r w:rsidR="00A319AB" w:rsidRPr="00A319AB">
        <w:rPr>
          <w:rFonts w:ascii="仿宋" w:eastAsia="仿宋" w:hAnsi="仿宋" w:cs="仿宋"/>
          <w:sz w:val="32"/>
          <w:szCs w:val="32"/>
        </w:rPr>
        <w:t>在各</w:t>
      </w:r>
      <w:r w:rsidRPr="00A319AB">
        <w:rPr>
          <w:rFonts w:ascii="仿宋" w:eastAsia="仿宋" w:hAnsi="仿宋" w:cs="仿宋" w:hint="eastAsia"/>
          <w:sz w:val="32"/>
          <w:szCs w:val="32"/>
        </w:rPr>
        <w:t>街镇</w:t>
      </w:r>
      <w:r w:rsidR="00A319AB" w:rsidRPr="00A319AB">
        <w:rPr>
          <w:rFonts w:ascii="仿宋" w:eastAsia="仿宋" w:hAnsi="仿宋" w:cs="仿宋" w:hint="eastAsia"/>
          <w:sz w:val="32"/>
          <w:szCs w:val="32"/>
        </w:rPr>
        <w:t>逐步推广</w:t>
      </w:r>
      <w:r w:rsidRPr="00A319AB">
        <w:rPr>
          <w:rFonts w:ascii="仿宋" w:eastAsia="仿宋" w:hAnsi="仿宋" w:cs="仿宋" w:hint="eastAsia"/>
          <w:sz w:val="32"/>
          <w:szCs w:val="32"/>
        </w:rPr>
        <w:t>“数字家园”示范社区</w:t>
      </w:r>
      <w:r w:rsidR="00A319AB" w:rsidRPr="00A319AB">
        <w:rPr>
          <w:rFonts w:ascii="仿宋" w:eastAsia="仿宋" w:hAnsi="仿宋" w:cs="仿宋" w:hint="eastAsia"/>
          <w:sz w:val="32"/>
          <w:szCs w:val="32"/>
        </w:rPr>
        <w:t>建设，</w:t>
      </w:r>
      <w:r>
        <w:rPr>
          <w:rFonts w:ascii="仿宋" w:eastAsia="仿宋" w:hAnsi="仿宋" w:cs="仿宋" w:hint="eastAsia"/>
          <w:sz w:val="32"/>
          <w:szCs w:val="32"/>
        </w:rPr>
        <w:t>到2023年，通过大数据赋能、智能感知设备敷设推进、物业服务直通车推广应用逐步复制覆盖闵行全区100个住宅小区。围绕居民在社区的各类需求，聚焦物业管理、小区安防、为老服务、环境治理、垃圾分类等高频急难事项，合理布设智能终端，将各项服务延伸至“家门口”。建立社区动态维度画像，全方位多维度体现社区运行情况，实现物业小区数字化、服务过程数字化、服务监管数字化。（牵头单位：区房管局、区民政局、区绿容局、各街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（五）建设智慧安居示范点</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color w:val="000000" w:themeColor="text1"/>
          <w:sz w:val="32"/>
          <w:szCs w:val="32"/>
        </w:rPr>
        <w:t>选1至2处租赁住房项目探索智慧安居示范点建设，依</w:t>
      </w:r>
      <w:r>
        <w:rPr>
          <w:rFonts w:ascii="仿宋" w:eastAsia="仿宋" w:hAnsi="仿宋" w:cs="仿宋" w:hint="eastAsia"/>
          <w:sz w:val="32"/>
          <w:szCs w:val="32"/>
        </w:rPr>
        <w:t>托数字家园基础平台、闵行区租赁住房平台、随申办人才公寓选房，构建智慧安居管理服务体系。以高效安全运营为前提，提升安防设施设备智能化水平，实现租住服务全流程、运营管理高效率、延伸服务可拓展，打造示范性智慧安居公寓。通过物联网、智能化配套、智慧家居、智慧客服等坚实的技术来实现租赁住房数字化转型升级，给租客带来安全、舒适、便利的智慧化生活场景。（牵头单位：区房管局、</w:t>
      </w:r>
      <w:proofErr w:type="gramStart"/>
      <w:r>
        <w:rPr>
          <w:rFonts w:ascii="仿宋" w:eastAsia="仿宋" w:hAnsi="仿宋" w:cs="仿宋" w:hint="eastAsia"/>
          <w:sz w:val="32"/>
          <w:szCs w:val="32"/>
        </w:rPr>
        <w:t>闵</w:t>
      </w:r>
      <w:proofErr w:type="gramEnd"/>
      <w:r>
        <w:rPr>
          <w:rFonts w:ascii="仿宋" w:eastAsia="仿宋" w:hAnsi="仿宋" w:cs="仿宋" w:hint="eastAsia"/>
          <w:sz w:val="32"/>
          <w:szCs w:val="32"/>
        </w:rPr>
        <w:t>房集团）</w:t>
      </w:r>
    </w:p>
    <w:p w:rsidR="00E10684" w:rsidRDefault="004817FF">
      <w:pPr>
        <w:spacing w:line="54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四、创造品质生活，提升数字民生服务渗透深度</w:t>
      </w:r>
    </w:p>
    <w:p w:rsidR="00E10684" w:rsidRDefault="004817FF">
      <w:pPr>
        <w:spacing w:line="540" w:lineRule="exact"/>
        <w:ind w:firstLineChars="200" w:firstLine="643"/>
        <w:outlineLvl w:val="2"/>
        <w:rPr>
          <w:rFonts w:ascii="宋体" w:hAnsi="宋体" w:cs="宋体"/>
          <w:b/>
          <w:bCs/>
          <w:sz w:val="32"/>
          <w:szCs w:val="32"/>
        </w:rPr>
      </w:pPr>
      <w:r>
        <w:rPr>
          <w:rFonts w:ascii="楷体_GB2312" w:eastAsia="楷体_GB2312" w:hAnsi="楷体_GB2312" w:cs="楷体_GB2312" w:hint="eastAsia"/>
          <w:b/>
          <w:sz w:val="32"/>
          <w:szCs w:val="32"/>
        </w:rPr>
        <w:t>（</w:t>
      </w:r>
      <w:r>
        <w:rPr>
          <w:rFonts w:ascii="宋体" w:hAnsi="宋体" w:cs="宋体" w:hint="eastAsia"/>
          <w:b/>
          <w:bCs/>
          <w:sz w:val="32"/>
          <w:szCs w:val="32"/>
        </w:rPr>
        <w:t>一）推进快捷停车助通畅</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t>推进“快捷停车助通畅”示范场景建设，优化停车预约、无感支付、错峰共享、智慧停车场等便利化服务。拓展统一支付、错峰签约、车位预约等停车数字化服务,在具备条件的医院、商</w:t>
      </w:r>
      <w:r>
        <w:rPr>
          <w:rFonts w:ascii="仿宋" w:eastAsia="仿宋" w:hAnsi="仿宋" w:cs="仿宋" w:hint="eastAsia"/>
          <w:sz w:val="32"/>
          <w:szCs w:val="32"/>
        </w:rPr>
        <w:lastRenderedPageBreak/>
        <w:t>圈、交通枢纽等重点区域进行试点，推进便捷停车示范场景建设。探索推进智慧停车场建设，</w:t>
      </w:r>
      <w:proofErr w:type="gramStart"/>
      <w:r>
        <w:rPr>
          <w:rFonts w:ascii="仿宋" w:eastAsia="仿宋" w:hAnsi="仿宋" w:cs="仿宋" w:hint="eastAsia"/>
          <w:sz w:val="32"/>
          <w:szCs w:val="32"/>
        </w:rPr>
        <w:t>优化全</w:t>
      </w:r>
      <w:proofErr w:type="gramEnd"/>
      <w:r>
        <w:rPr>
          <w:rFonts w:ascii="仿宋" w:eastAsia="仿宋" w:hAnsi="仿宋" w:cs="仿宋" w:hint="eastAsia"/>
          <w:sz w:val="32"/>
          <w:szCs w:val="32"/>
        </w:rPr>
        <w:t>流程智慧停车服务，</w:t>
      </w:r>
      <w:proofErr w:type="gramStart"/>
      <w:r>
        <w:rPr>
          <w:rFonts w:ascii="仿宋" w:eastAsia="仿宋" w:hAnsi="仿宋" w:cs="仿宋" w:hint="eastAsia"/>
          <w:sz w:val="32"/>
          <w:szCs w:val="32"/>
        </w:rPr>
        <w:t>完善线</w:t>
      </w:r>
      <w:proofErr w:type="gramEnd"/>
      <w:r>
        <w:rPr>
          <w:rFonts w:ascii="仿宋" w:eastAsia="仿宋" w:hAnsi="仿宋" w:cs="仿宋" w:hint="eastAsia"/>
          <w:sz w:val="32"/>
          <w:szCs w:val="32"/>
        </w:rPr>
        <w:t>上停车实时服务，将公共停车场（库）信息接入上海公共停车信息平台，实现停车信息实时查询、费用在线支付等功能。至2023年实现“上海停车APP”便捷停车服务在区内具备条件的医院、商团、交通枢纽等重点区域的覆盖。将公共停车场(库)信息接入上海公共停车信息平台,实现公共停车场(库)接入“上海停车APP ”的电子支付功能和停车共享的电子签约功能。在具备条件的收费道路停车泊位推广加装高位视频监控设备,实现道路停车智能化管理服务。（牵头单位：区交通委）</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（二）提升交通管理智能化</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围绕市民高效便捷出行需求，推动交通设施智能化，构建数字交通新生态、新格局。在区内公交站点推广布设电子站牌，推广公交到站信息实时预报服务，到2023年，区域内电子站牌实现核心重点区域全覆盖。配合市推进“智能出行即服务”示范场景建设，探索政企联合机制,融合地图服务、公交到站、一键扬招、共享单车等既有出行服务系统,推进一站式出行服务系统建设,实现行前、行中、行后等出行环节的全流程覆盖，优化出行前信息查询、出行中服务实现、出行后支付等各环节的交通出行服务，实现公交车辆调度智能化、停车资源可视化、出行服务便捷化。开展精细化数据分析和应用，实现道路交通拥堵溯源，开展地面交叉口信号控制效果诊断与优化。（牵头单位：区交通委、区公安分局、各街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（三）引领文化旅游新风尚</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促进</w:t>
      </w:r>
      <w:proofErr w:type="gramStart"/>
      <w:r>
        <w:rPr>
          <w:rFonts w:ascii="仿宋" w:eastAsia="仿宋" w:hAnsi="仿宋" w:cs="仿宋" w:hint="eastAsia"/>
          <w:sz w:val="32"/>
          <w:szCs w:val="32"/>
        </w:rPr>
        <w:t>文旅各</w:t>
      </w:r>
      <w:proofErr w:type="gramEnd"/>
      <w:r>
        <w:rPr>
          <w:rFonts w:ascii="仿宋" w:eastAsia="仿宋" w:hAnsi="仿宋" w:cs="仿宋" w:hint="eastAsia"/>
          <w:sz w:val="32"/>
          <w:szCs w:val="32"/>
        </w:rPr>
        <w:t>环节数据融通、赋能，为市民游客提供便捷、高效</w:t>
      </w:r>
      <w:proofErr w:type="gramStart"/>
      <w:r>
        <w:rPr>
          <w:rFonts w:ascii="仿宋" w:eastAsia="仿宋" w:hAnsi="仿宋" w:cs="仿宋" w:hint="eastAsia"/>
          <w:sz w:val="32"/>
          <w:szCs w:val="32"/>
        </w:rPr>
        <w:t>的文旅服务</w:t>
      </w:r>
      <w:proofErr w:type="gramEnd"/>
      <w:r>
        <w:rPr>
          <w:rFonts w:ascii="仿宋" w:eastAsia="仿宋" w:hAnsi="仿宋" w:cs="仿宋" w:hint="eastAsia"/>
          <w:sz w:val="32"/>
          <w:szCs w:val="32"/>
        </w:rPr>
        <w:t>。通过市、区、镇（街道）、居村四级公共文化资源</w:t>
      </w:r>
      <w:proofErr w:type="gramStart"/>
      <w:r>
        <w:rPr>
          <w:rFonts w:ascii="仿宋" w:eastAsia="仿宋" w:hAnsi="仿宋" w:cs="仿宋" w:hint="eastAsia"/>
          <w:sz w:val="32"/>
          <w:szCs w:val="32"/>
        </w:rPr>
        <w:t>配送线上点单</w:t>
      </w:r>
      <w:proofErr w:type="gramEnd"/>
      <w:r>
        <w:rPr>
          <w:rFonts w:ascii="仿宋" w:eastAsia="仿宋" w:hAnsi="仿宋" w:cs="仿宋" w:hint="eastAsia"/>
          <w:sz w:val="32"/>
          <w:szCs w:val="32"/>
        </w:rPr>
        <w:t>+执行模式，打造智能便捷的公共文化服务体系。</w:t>
      </w:r>
      <w:r w:rsidRPr="00020CC3">
        <w:rPr>
          <w:rFonts w:ascii="仿宋" w:eastAsia="仿宋" w:hAnsi="仿宋" w:cs="仿宋" w:hint="eastAsia"/>
          <w:sz w:val="32"/>
          <w:szCs w:val="32"/>
        </w:rPr>
        <w:t>推动闵行博物馆探索虚拟参观与真实场景相结合的全新网上漫游模式。</w:t>
      </w:r>
      <w:r>
        <w:rPr>
          <w:rFonts w:ascii="仿宋" w:eastAsia="仿宋" w:hAnsi="仿宋" w:cs="仿宋" w:hint="eastAsia"/>
          <w:sz w:val="32"/>
          <w:szCs w:val="32"/>
        </w:rPr>
        <w:t>以“全闵预约”为载体，提供通用预约场景和个性化预约场景，使公共资源能够精准有效地输送到社区群众身边，到2023年实现区属场馆的在线预约和个性化选择。打造旅游数字化标杆场景，在七宝古镇开展景区数字化建设，布设人机交互系统，为旅客提供智能咨询、服务引导，搭建智能化旅客信息管理平台，对旅客流量、人群密度进行数据化管理，实现古镇客流检测预警。（牵头单位：区文化旅游局、区融媒体中心、七宝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（四）丰富数字消费新业态</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t>主动顺应消费需求升级趋势，促进线下</w:t>
      </w:r>
      <w:proofErr w:type="gramStart"/>
      <w:r>
        <w:rPr>
          <w:rFonts w:ascii="仿宋" w:eastAsia="仿宋" w:hAnsi="仿宋" w:cs="仿宋" w:hint="eastAsia"/>
          <w:sz w:val="32"/>
          <w:szCs w:val="32"/>
        </w:rPr>
        <w:t>零售线</w:t>
      </w:r>
      <w:proofErr w:type="gramEnd"/>
      <w:r>
        <w:rPr>
          <w:rFonts w:ascii="仿宋" w:eastAsia="仿宋" w:hAnsi="仿宋" w:cs="仿宋" w:hint="eastAsia"/>
          <w:sz w:val="32"/>
          <w:szCs w:val="32"/>
        </w:rPr>
        <w:t>上化、生活服务便捷化。以虹桥商务区商圈和南方商圈为重点，建设示范性数字商街商圈，聚焦精准营销、虚拟导购、AR互动、无</w:t>
      </w:r>
      <w:proofErr w:type="gramStart"/>
      <w:r>
        <w:rPr>
          <w:rFonts w:ascii="仿宋" w:eastAsia="仿宋" w:hAnsi="仿宋" w:cs="仿宋" w:hint="eastAsia"/>
          <w:sz w:val="32"/>
          <w:szCs w:val="32"/>
        </w:rPr>
        <w:t>感支付</w:t>
      </w:r>
      <w:proofErr w:type="gramEnd"/>
      <w:r>
        <w:rPr>
          <w:rFonts w:ascii="仿宋" w:eastAsia="仿宋" w:hAnsi="仿宋" w:cs="仿宋" w:hint="eastAsia"/>
          <w:sz w:val="32"/>
          <w:szCs w:val="32"/>
        </w:rPr>
        <w:t>等方面，推广</w:t>
      </w:r>
      <w:proofErr w:type="gramStart"/>
      <w:r>
        <w:rPr>
          <w:rFonts w:ascii="仿宋" w:eastAsia="仿宋" w:hAnsi="仿宋" w:cs="仿宋" w:hint="eastAsia"/>
          <w:sz w:val="32"/>
          <w:szCs w:val="32"/>
        </w:rPr>
        <w:t>一</w:t>
      </w:r>
      <w:proofErr w:type="gramEnd"/>
      <w:r>
        <w:rPr>
          <w:rFonts w:ascii="仿宋" w:eastAsia="仿宋" w:hAnsi="仿宋" w:cs="仿宋" w:hint="eastAsia"/>
          <w:sz w:val="32"/>
          <w:szCs w:val="32"/>
        </w:rPr>
        <w:t>批示范性应用场景。推动各商业主体与互联网巨头、科技型企业合作，加快各大商圈中传统美食街、夜市街区、商业街、商场等内容数字化升级，拓展基于数据的精准化、个性化服务，优化提升一站式商</w:t>
      </w:r>
      <w:proofErr w:type="gramStart"/>
      <w:r>
        <w:rPr>
          <w:rFonts w:ascii="仿宋" w:eastAsia="仿宋" w:hAnsi="仿宋" w:cs="仿宋" w:hint="eastAsia"/>
          <w:sz w:val="32"/>
          <w:szCs w:val="32"/>
        </w:rPr>
        <w:t>圈综合</w:t>
      </w:r>
      <w:proofErr w:type="gramEnd"/>
      <w:r>
        <w:rPr>
          <w:rFonts w:ascii="仿宋" w:eastAsia="仿宋" w:hAnsi="仿宋" w:cs="仿宋" w:hint="eastAsia"/>
          <w:sz w:val="32"/>
          <w:szCs w:val="32"/>
        </w:rPr>
        <w:t>服务能力。推动打造数字化的本地生活服务,推进智慧早餐、智慧菜场等场景建设。（牵头单位：区经委、各街镇）</w:t>
      </w:r>
    </w:p>
    <w:p w:rsidR="00E10684" w:rsidRDefault="004817FF">
      <w:pPr>
        <w:spacing w:line="54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五、关注特殊群体，拓展数字民生服务覆盖广度</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（一）实现银发关爱无障碍</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聚焦银发关爱、数字鸿沟弥合，让数字化、智能化服务惠及</w:t>
      </w:r>
      <w:r>
        <w:rPr>
          <w:rFonts w:ascii="仿宋" w:eastAsia="仿宋" w:hAnsi="仿宋" w:cs="仿宋" w:hint="eastAsia"/>
          <w:sz w:val="32"/>
          <w:szCs w:val="32"/>
        </w:rPr>
        <w:lastRenderedPageBreak/>
        <w:t>更多群体。打造至少1所涵盖日常管理、安全监护、健康监测等功能的智慧养老院，通过数字化提升养老</w:t>
      </w:r>
      <w:proofErr w:type="gramStart"/>
      <w:r>
        <w:rPr>
          <w:rFonts w:ascii="仿宋" w:eastAsia="仿宋" w:hAnsi="仿宋" w:cs="仿宋" w:hint="eastAsia"/>
          <w:sz w:val="32"/>
          <w:szCs w:val="32"/>
        </w:rPr>
        <w:t>服务触达性</w:t>
      </w:r>
      <w:proofErr w:type="gramEnd"/>
      <w:r>
        <w:rPr>
          <w:rFonts w:ascii="仿宋" w:eastAsia="仿宋" w:hAnsi="仿宋" w:cs="仿宋" w:hint="eastAsia"/>
          <w:sz w:val="32"/>
          <w:szCs w:val="32"/>
        </w:rPr>
        <w:t>和精准度，推进养老机构与医疗结构数据互通。面向高龄、失能、独居、低收入等老人，通过部署传感设备和智能产品，加强与家庭医生、</w:t>
      </w:r>
      <w:r>
        <w:rPr>
          <w:rFonts w:ascii="仿宋" w:eastAsia="仿宋" w:hAnsi="仿宋" w:cs="仿宋" w:hint="eastAsia"/>
          <w:color w:val="000000" w:themeColor="text1"/>
          <w:sz w:val="32"/>
          <w:szCs w:val="32"/>
        </w:rPr>
        <w:t>养老机构、社区服务联动。优化数字无障碍环境，面向老年人和残障人士推进相关数字产品和服务的适应性改造，简化特殊群体公共服务事项办事流程，同时持续建设标准统一、内容完备的知识库，提高线上客服智能化水平，依托社区事务中心、居委会等机构提升线下帮办服务能力，提升各类公共服务的“数字无障碍”水平。（牵头单位：区民政局、区科委、区卫健委、区残联、各街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（二）提升社会保障服务力</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以基础社会保障需求为重点，用数字化手段构筑多层次社会保障体系。推进各类救助事项整合，聚合民政、卫健、</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保、人社、残联等相关政策数据和居民基础数据，通过智能分析弱势群体的需求，实现救助领域“政策找人”。基于对社会保障进一步优化服务的诉求，以个人数字精准画像为基础，实现社会保障服务便民化。建设人力资源共享服务平台，实现信息推送、业务受理、政策审核、资金发放等全环节领域的线上办理，提高便捷度。（牵头单位：区</w:t>
      </w:r>
      <w:proofErr w:type="gramStart"/>
      <w:r>
        <w:rPr>
          <w:rFonts w:ascii="仿宋" w:eastAsia="仿宋" w:hAnsi="仿宋" w:cs="仿宋" w:hint="eastAsia"/>
          <w:sz w:val="32"/>
          <w:szCs w:val="32"/>
        </w:rPr>
        <w:t>人社局</w:t>
      </w:r>
      <w:proofErr w:type="gramEnd"/>
      <w:r>
        <w:rPr>
          <w:rFonts w:ascii="仿宋" w:eastAsia="仿宋" w:hAnsi="仿宋" w:cs="仿宋" w:hint="eastAsia"/>
          <w:sz w:val="32"/>
          <w:szCs w:val="32"/>
        </w:rPr>
        <w:t>、区卫健委、区</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保局、区民政局、区科委、区残联）</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（三）推进精准高效的就业服务</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加强个人全链条就业数据整合，打造数字就业档案，深化“数字化＋人社”应用场景建设，为劳动者和用人单位提供基于大数</w:t>
      </w:r>
      <w:r>
        <w:rPr>
          <w:rFonts w:ascii="仿宋" w:eastAsia="仿宋" w:hAnsi="仿宋" w:cs="仿宋" w:hint="eastAsia"/>
          <w:sz w:val="32"/>
          <w:szCs w:val="32"/>
        </w:rPr>
        <w:lastRenderedPageBreak/>
        <w:t>据分析</w:t>
      </w:r>
      <w:proofErr w:type="gramStart"/>
      <w:r>
        <w:rPr>
          <w:rFonts w:ascii="仿宋" w:eastAsia="仿宋" w:hAnsi="仿宋" w:cs="仿宋" w:hint="eastAsia"/>
          <w:sz w:val="32"/>
          <w:szCs w:val="32"/>
        </w:rPr>
        <w:t>的人岗匹配</w:t>
      </w:r>
      <w:proofErr w:type="gramEnd"/>
      <w:r>
        <w:rPr>
          <w:rFonts w:ascii="仿宋" w:eastAsia="仿宋" w:hAnsi="仿宋" w:cs="仿宋" w:hint="eastAsia"/>
          <w:sz w:val="32"/>
          <w:szCs w:val="32"/>
        </w:rPr>
        <w:t>，有效提升签约率。积极推进人力资源共享服务平台建设，完善顶层设计，利用远程视频、人工智能、移动APP、区块链等技术，在</w:t>
      </w:r>
      <w:proofErr w:type="gramStart"/>
      <w:r>
        <w:rPr>
          <w:rFonts w:ascii="仿宋" w:eastAsia="仿宋" w:hAnsi="仿宋" w:cs="仿宋" w:hint="eastAsia"/>
          <w:sz w:val="32"/>
          <w:szCs w:val="32"/>
        </w:rPr>
        <w:t>现有人社在线</w:t>
      </w:r>
      <w:proofErr w:type="gramEnd"/>
      <w:r>
        <w:rPr>
          <w:rFonts w:ascii="仿宋" w:eastAsia="仿宋" w:hAnsi="仿宋" w:cs="仿宋" w:hint="eastAsia"/>
          <w:sz w:val="32"/>
          <w:szCs w:val="32"/>
        </w:rPr>
        <w:t>服务功能的基础上，实现求职就业、人事人才等一站</w:t>
      </w:r>
      <w:proofErr w:type="gramStart"/>
      <w:r>
        <w:rPr>
          <w:rFonts w:ascii="仿宋" w:eastAsia="仿宋" w:hAnsi="仿宋" w:cs="仿宋" w:hint="eastAsia"/>
          <w:sz w:val="32"/>
          <w:szCs w:val="32"/>
        </w:rPr>
        <w:t>式人社线</w:t>
      </w:r>
      <w:proofErr w:type="gramEnd"/>
      <w:r>
        <w:rPr>
          <w:rFonts w:ascii="仿宋" w:eastAsia="仿宋" w:hAnsi="仿宋" w:cs="仿宋" w:hint="eastAsia"/>
          <w:sz w:val="32"/>
          <w:szCs w:val="32"/>
        </w:rPr>
        <w:t>上服务功能，打通</w:t>
      </w:r>
      <w:proofErr w:type="gramStart"/>
      <w:r>
        <w:rPr>
          <w:rFonts w:ascii="仿宋" w:eastAsia="仿宋" w:hAnsi="仿宋" w:cs="仿宋" w:hint="eastAsia"/>
          <w:sz w:val="32"/>
          <w:szCs w:val="32"/>
        </w:rPr>
        <w:t>人社业务</w:t>
      </w:r>
      <w:proofErr w:type="gramEnd"/>
      <w:r>
        <w:rPr>
          <w:rFonts w:ascii="仿宋" w:eastAsia="仿宋" w:hAnsi="仿宋" w:cs="仿宋" w:hint="eastAsia"/>
          <w:sz w:val="32"/>
          <w:szCs w:val="32"/>
        </w:rPr>
        <w:t>的一网</w:t>
      </w:r>
      <w:proofErr w:type="gramStart"/>
      <w:r>
        <w:rPr>
          <w:rFonts w:ascii="仿宋" w:eastAsia="仿宋" w:hAnsi="仿宋" w:cs="仿宋" w:hint="eastAsia"/>
          <w:sz w:val="32"/>
          <w:szCs w:val="32"/>
        </w:rPr>
        <w:t>通办入口</w:t>
      </w:r>
      <w:proofErr w:type="gramEnd"/>
      <w:r>
        <w:rPr>
          <w:rFonts w:ascii="仿宋" w:eastAsia="仿宋" w:hAnsi="仿宋" w:cs="仿宋" w:hint="eastAsia"/>
          <w:sz w:val="32"/>
          <w:szCs w:val="32"/>
        </w:rPr>
        <w:t>，促进各维</w:t>
      </w:r>
      <w:proofErr w:type="gramStart"/>
      <w:r>
        <w:rPr>
          <w:rFonts w:ascii="仿宋" w:eastAsia="仿宋" w:hAnsi="仿宋" w:cs="仿宋" w:hint="eastAsia"/>
          <w:sz w:val="32"/>
          <w:szCs w:val="32"/>
        </w:rPr>
        <w:t>度数据</w:t>
      </w:r>
      <w:proofErr w:type="gramEnd"/>
      <w:r>
        <w:rPr>
          <w:rFonts w:ascii="仿宋" w:eastAsia="仿宋" w:hAnsi="仿宋" w:cs="仿宋" w:hint="eastAsia"/>
          <w:sz w:val="32"/>
          <w:szCs w:val="32"/>
        </w:rPr>
        <w:t>互联互通，数据自动校验匹配，实现就业供需精准匹配、人才保障服务线上办等服务，逐步提高网上办结率，</w:t>
      </w:r>
      <w:proofErr w:type="gramStart"/>
      <w:r>
        <w:rPr>
          <w:rFonts w:ascii="仿宋" w:eastAsia="仿宋" w:hAnsi="仿宋" w:cs="仿宋" w:hint="eastAsia"/>
          <w:sz w:val="32"/>
          <w:szCs w:val="32"/>
        </w:rPr>
        <w:t>切实响应</w:t>
      </w:r>
      <w:proofErr w:type="gramEnd"/>
      <w:r>
        <w:rPr>
          <w:rFonts w:ascii="仿宋" w:eastAsia="仿宋" w:hAnsi="仿宋" w:cs="仿宋" w:hint="eastAsia"/>
          <w:sz w:val="32"/>
          <w:szCs w:val="32"/>
        </w:rPr>
        <w:t>民生需求，积极</w:t>
      </w:r>
      <w:proofErr w:type="gramStart"/>
      <w:r>
        <w:rPr>
          <w:rFonts w:ascii="仿宋" w:eastAsia="仿宋" w:hAnsi="仿宋" w:cs="仿宋" w:hint="eastAsia"/>
          <w:sz w:val="32"/>
          <w:szCs w:val="32"/>
        </w:rPr>
        <w:t>打造人社智慧</w:t>
      </w:r>
      <w:proofErr w:type="gramEnd"/>
      <w:r>
        <w:rPr>
          <w:rFonts w:ascii="仿宋" w:eastAsia="仿宋" w:hAnsi="仿宋" w:cs="仿宋" w:hint="eastAsia"/>
          <w:sz w:val="32"/>
          <w:szCs w:val="32"/>
        </w:rPr>
        <w:t>服务新高地。依法保障灵活就业人员相关权益，支持建立灵活就业服务平台。鼓励发展基于知识传播、经验分享的创新平台，为创业者提供低成本、便利化、全要素、开放式的综合创业服务。（牵头单位：区</w:t>
      </w:r>
      <w:proofErr w:type="gramStart"/>
      <w:r>
        <w:rPr>
          <w:rFonts w:ascii="仿宋" w:eastAsia="仿宋" w:hAnsi="仿宋" w:cs="仿宋" w:hint="eastAsia"/>
          <w:sz w:val="32"/>
          <w:szCs w:val="32"/>
        </w:rPr>
        <w:t>人社局</w:t>
      </w:r>
      <w:proofErr w:type="gramEnd"/>
      <w:r>
        <w:rPr>
          <w:rFonts w:ascii="仿宋" w:eastAsia="仿宋" w:hAnsi="仿宋" w:cs="仿宋" w:hint="eastAsia"/>
          <w:sz w:val="32"/>
          <w:szCs w:val="32"/>
        </w:rPr>
        <w:t xml:space="preserve">、区行政服务中心） </w:t>
      </w:r>
    </w:p>
    <w:p w:rsidR="00E10684" w:rsidRDefault="004817FF">
      <w:pPr>
        <w:spacing w:line="540" w:lineRule="exact"/>
        <w:ind w:firstLineChars="200" w:firstLine="640"/>
        <w:outlineLvl w:val="1"/>
        <w:rPr>
          <w:rFonts w:ascii="黑体" w:eastAsia="黑体" w:hAnsi="黑体" w:cs="黑体"/>
          <w:sz w:val="32"/>
          <w:szCs w:val="32"/>
        </w:rPr>
      </w:pPr>
      <w:r>
        <w:rPr>
          <w:rFonts w:ascii="黑体" w:eastAsia="黑体" w:hAnsi="黑体" w:cs="黑体" w:hint="eastAsia"/>
          <w:sz w:val="32"/>
          <w:szCs w:val="32"/>
        </w:rPr>
        <w:t>六、完善数字化</w:t>
      </w:r>
      <w:proofErr w:type="gramStart"/>
      <w:r>
        <w:rPr>
          <w:rFonts w:ascii="黑体" w:eastAsia="黑体" w:hAnsi="黑体" w:cs="黑体" w:hint="eastAsia"/>
          <w:sz w:val="32"/>
          <w:szCs w:val="32"/>
        </w:rPr>
        <w:t>转型保障</w:t>
      </w:r>
      <w:proofErr w:type="gramEnd"/>
      <w:r>
        <w:rPr>
          <w:rFonts w:ascii="黑体" w:eastAsia="黑体" w:hAnsi="黑体" w:cs="黑体" w:hint="eastAsia"/>
          <w:sz w:val="32"/>
          <w:szCs w:val="32"/>
        </w:rPr>
        <w:t>举措</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（一）加强组织领导和统筹协调</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充分发挥闵行区城市数字化转型工作领导小组综合决策和统筹协调职能，面向生活数字化转型重大项目、重点场景、共性问题组建工作专班，跟踪督办各部门民生服务保障相关工作,及时跟进梳理市民需求、民生服务难点痛点、特殊人群权益诉求，协调工作资源，总结工作经验，定期沟通交流。各部门落实“管行业也要管行业数字化”要求，拟定符合自身实践和职能定位的生活数字化行动方案，明确各项任务和时间节点，倒排工期。各街镇结合特色完善民生保障配套措施，推动生活数字化转型政策举措和示范场景在部分区域建立试点，率先突破，形成示范。(责任部门:各部门、各街镇)</w:t>
      </w:r>
    </w:p>
    <w:p w:rsidR="00E10684" w:rsidRDefault="004817FF">
      <w:pPr>
        <w:spacing w:line="540" w:lineRule="exact"/>
        <w:ind w:firstLineChars="200" w:firstLine="643"/>
        <w:outlineLvl w:val="2"/>
        <w:rPr>
          <w:rFonts w:ascii="宋体" w:hAnsi="宋体" w:cs="宋体"/>
          <w:b/>
          <w:bCs/>
          <w:sz w:val="32"/>
          <w:szCs w:val="32"/>
        </w:rPr>
      </w:pPr>
      <w:r>
        <w:rPr>
          <w:rFonts w:ascii="楷体_GB2312" w:eastAsia="楷体_GB2312" w:hAnsi="楷体_GB2312" w:cs="楷体_GB2312" w:hint="eastAsia"/>
          <w:b/>
          <w:sz w:val="32"/>
          <w:szCs w:val="32"/>
        </w:rPr>
        <w:t>（</w:t>
      </w:r>
      <w:r>
        <w:rPr>
          <w:rFonts w:ascii="宋体" w:hAnsi="宋体" w:cs="宋体" w:hint="eastAsia"/>
          <w:b/>
          <w:bCs/>
          <w:sz w:val="32"/>
          <w:szCs w:val="32"/>
        </w:rPr>
        <w:t>二）强化生活数字化政策供给</w:t>
      </w:r>
    </w:p>
    <w:p w:rsidR="00E10684" w:rsidRDefault="004817FF">
      <w:pPr>
        <w:spacing w:line="560" w:lineRule="exact"/>
        <w:ind w:firstLineChars="200" w:firstLine="640"/>
        <w:rPr>
          <w:rFonts w:ascii="仿宋_GB2312" w:eastAsia="仿宋_GB2312" w:hAnsi="仿宋_GB2312" w:cs="仿宋_GB2312"/>
          <w:sz w:val="32"/>
          <w:szCs w:val="32"/>
        </w:rPr>
      </w:pPr>
      <w:r>
        <w:rPr>
          <w:rFonts w:ascii="仿宋" w:eastAsia="仿宋" w:hAnsi="仿宋" w:cs="仿宋" w:hint="eastAsia"/>
          <w:sz w:val="32"/>
          <w:szCs w:val="32"/>
        </w:rPr>
        <w:lastRenderedPageBreak/>
        <w:t>聚焦生活数字化转型在制度规范、激励举措、经费投入、数据共享等重点领域的急难问题，优化数字化转型政策环境。生活服务行业主管部门加快出台分类精准的扶持政策，消除转型过程中的政策性门槛。强化财政资金对数字化转型的倾斜和保障，统筹利用好各级各</w:t>
      </w:r>
      <w:proofErr w:type="gramStart"/>
      <w:r>
        <w:rPr>
          <w:rFonts w:ascii="仿宋" w:eastAsia="仿宋" w:hAnsi="仿宋" w:cs="仿宋" w:hint="eastAsia"/>
          <w:sz w:val="32"/>
          <w:szCs w:val="32"/>
        </w:rPr>
        <w:t>类财政</w:t>
      </w:r>
      <w:proofErr w:type="gramEnd"/>
      <w:r>
        <w:rPr>
          <w:rFonts w:ascii="仿宋" w:eastAsia="仿宋" w:hAnsi="仿宋" w:cs="仿宋" w:hint="eastAsia"/>
          <w:sz w:val="32"/>
          <w:szCs w:val="32"/>
        </w:rPr>
        <w:t>专项，加大对重点转型任务的资金投入力度。通过场景开放、需求对接、项目支持等方式，鼓励市场主体、高校、科研机构等参与生活数字化建设，引导相关领军企业、优秀团队落户闵行，形成示范效应。（牵头部门：</w:t>
      </w:r>
      <w:proofErr w:type="gramStart"/>
      <w:r>
        <w:rPr>
          <w:rFonts w:ascii="仿宋" w:eastAsia="仿宋" w:hAnsi="仿宋" w:cs="仿宋" w:hint="eastAsia"/>
          <w:sz w:val="32"/>
          <w:szCs w:val="32"/>
        </w:rPr>
        <w:t>区发改委</w:t>
      </w:r>
      <w:proofErr w:type="gramEnd"/>
      <w:r>
        <w:rPr>
          <w:rFonts w:ascii="仿宋" w:eastAsia="仿宋" w:hAnsi="仿宋" w:cs="仿宋" w:hint="eastAsia"/>
          <w:sz w:val="32"/>
          <w:szCs w:val="32"/>
        </w:rPr>
        <w:t>、区财政局、各街镇）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（三）建立场景“揭榜挂帅”建设机制</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建立“揭榜挂帅”机制，鼓励市场主体积极参与，大力引进培育</w:t>
      </w:r>
      <w:r>
        <w:rPr>
          <w:rFonts w:ascii="仿宋" w:eastAsia="仿宋" w:hAnsi="仿宋" w:cs="仿宋" w:hint="eastAsia"/>
          <w:color w:val="000000" w:themeColor="text1"/>
          <w:sz w:val="32"/>
          <w:szCs w:val="32"/>
        </w:rPr>
        <w:t>数字化转型集成商。</w:t>
      </w:r>
      <w:r>
        <w:rPr>
          <w:rFonts w:ascii="仿宋" w:eastAsia="仿宋" w:hAnsi="仿宋" w:cs="仿宋" w:hint="eastAsia"/>
          <w:sz w:val="32"/>
          <w:szCs w:val="32"/>
        </w:rPr>
        <w:t>依托数字化转型典型场景，支持开展产</w:t>
      </w:r>
      <w:proofErr w:type="gramStart"/>
      <w:r>
        <w:rPr>
          <w:rFonts w:ascii="仿宋" w:eastAsia="仿宋" w:hAnsi="仿宋" w:cs="仿宋" w:hint="eastAsia"/>
          <w:sz w:val="32"/>
          <w:szCs w:val="32"/>
        </w:rPr>
        <w:t>研</w:t>
      </w:r>
      <w:proofErr w:type="gramEnd"/>
      <w:r>
        <w:rPr>
          <w:rFonts w:ascii="仿宋" w:eastAsia="仿宋" w:hAnsi="仿宋" w:cs="仿宋" w:hint="eastAsia"/>
          <w:sz w:val="32"/>
          <w:szCs w:val="32"/>
        </w:rPr>
        <w:t>对接、创新赛事、实训营等活动，引导市场主体参与数字化转型项目建设和场景运营。以政府财政资金和引导基金为支点，带动社会资本全面参与城市数字化转型，支持各行业数字化转型标杆场景建设和数据运营服务商发展。完善数据共享应用场景授权机制，建立公共数据开放和数据资源有效流动规范，将场景和数据开放作为</w:t>
      </w:r>
      <w:proofErr w:type="gramStart"/>
      <w:r>
        <w:rPr>
          <w:rFonts w:ascii="仿宋" w:eastAsia="仿宋" w:hAnsi="仿宋" w:cs="仿宋" w:hint="eastAsia"/>
          <w:sz w:val="32"/>
          <w:szCs w:val="32"/>
        </w:rPr>
        <w:t>育商招商</w:t>
      </w:r>
      <w:proofErr w:type="gramEnd"/>
      <w:r>
        <w:rPr>
          <w:rFonts w:ascii="仿宋" w:eastAsia="仿宋" w:hAnsi="仿宋" w:cs="仿宋" w:hint="eastAsia"/>
          <w:sz w:val="32"/>
          <w:szCs w:val="32"/>
        </w:rPr>
        <w:t>的重要力量，鼓励市场力量参与数字化转型建设。（牵头单位：区科委、各街镇）</w:t>
      </w:r>
    </w:p>
    <w:p w:rsidR="00E10684" w:rsidRDefault="004817FF">
      <w:pPr>
        <w:spacing w:line="540" w:lineRule="exact"/>
        <w:ind w:firstLineChars="200" w:firstLine="643"/>
        <w:outlineLvl w:val="2"/>
        <w:rPr>
          <w:rFonts w:ascii="宋体" w:hAnsi="宋体" w:cs="宋体"/>
          <w:b/>
          <w:bCs/>
          <w:sz w:val="32"/>
          <w:szCs w:val="32"/>
        </w:rPr>
      </w:pPr>
      <w:r>
        <w:rPr>
          <w:rFonts w:ascii="宋体" w:hAnsi="宋体" w:cs="宋体" w:hint="eastAsia"/>
          <w:b/>
          <w:bCs/>
          <w:sz w:val="32"/>
          <w:szCs w:val="32"/>
        </w:rPr>
        <w:t>（四）加强人才培养和技能培训</w:t>
      </w: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实施积极开放的数字化转型人才政策，加大数字化转型高层次、复合型、专业型人才培养和引进力度。支持各政府部门和国有企事业单位试点“首席数字官”制度，突破传统制度等瓶颈。广泛开展数字化转型技术技能培训，推广生活数字化领域专业培</w:t>
      </w:r>
      <w:r>
        <w:rPr>
          <w:rFonts w:ascii="仿宋" w:eastAsia="仿宋" w:hAnsi="仿宋" w:cs="仿宋" w:hint="eastAsia"/>
          <w:sz w:val="32"/>
          <w:szCs w:val="32"/>
        </w:rPr>
        <w:lastRenderedPageBreak/>
        <w:t>训项目，支持院校、企事业单位开设新专业、新岗位。面向生活数字化转型孕育的新技能、新职业，鼓励企业和社会培训评价组织开展数</w:t>
      </w:r>
      <w:r>
        <w:rPr>
          <w:rFonts w:ascii="仿宋" w:eastAsia="仿宋" w:hAnsi="仿宋" w:cs="仿宋" w:hint="eastAsia"/>
          <w:color w:val="000000" w:themeColor="text1"/>
          <w:sz w:val="32"/>
          <w:szCs w:val="32"/>
        </w:rPr>
        <w:t>字技能类职业技能等级认定，推进市民数字化技能培训。（牵头单位：区</w:t>
      </w:r>
      <w:proofErr w:type="gramStart"/>
      <w:r>
        <w:rPr>
          <w:rFonts w:ascii="仿宋" w:eastAsia="仿宋" w:hAnsi="仿宋" w:cs="仿宋" w:hint="eastAsia"/>
          <w:color w:val="000000" w:themeColor="text1"/>
          <w:sz w:val="32"/>
          <w:szCs w:val="32"/>
        </w:rPr>
        <w:t>人社局</w:t>
      </w:r>
      <w:proofErr w:type="gramEnd"/>
      <w:r>
        <w:rPr>
          <w:rFonts w:ascii="仿宋" w:eastAsia="仿宋" w:hAnsi="仿宋" w:cs="仿宋" w:hint="eastAsia"/>
          <w:color w:val="000000" w:themeColor="text1"/>
          <w:sz w:val="32"/>
          <w:szCs w:val="32"/>
        </w:rPr>
        <w:t>、区科委）</w:t>
      </w:r>
    </w:p>
    <w:p w:rsidR="00E10684" w:rsidRDefault="00E10684">
      <w:pPr>
        <w:spacing w:line="560" w:lineRule="exact"/>
        <w:ind w:firstLineChars="200" w:firstLine="640"/>
        <w:rPr>
          <w:rFonts w:ascii="仿宋" w:eastAsia="仿宋" w:hAnsi="仿宋" w:cs="仿宋"/>
          <w:sz w:val="32"/>
          <w:szCs w:val="32"/>
        </w:rPr>
      </w:pPr>
    </w:p>
    <w:p w:rsidR="00E10684" w:rsidRDefault="004817FF">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附件：闵行区生活数字化转型应用场景清单</w:t>
      </w:r>
    </w:p>
    <w:p w:rsidR="00E10684" w:rsidRDefault="00E10684">
      <w:pPr>
        <w:spacing w:line="560" w:lineRule="exact"/>
        <w:ind w:firstLineChars="200" w:firstLine="640"/>
        <w:rPr>
          <w:rFonts w:ascii="仿宋" w:eastAsia="仿宋" w:hAnsi="仿宋" w:cs="仿宋"/>
          <w:sz w:val="32"/>
          <w:szCs w:val="32"/>
        </w:rPr>
      </w:pPr>
    </w:p>
    <w:p w:rsidR="00E10684" w:rsidRDefault="004817FF">
      <w:pPr>
        <w:spacing w:line="560" w:lineRule="exact"/>
        <w:ind w:firstLineChars="200" w:firstLine="640"/>
        <w:jc w:val="right"/>
        <w:rPr>
          <w:rFonts w:ascii="仿宋" w:eastAsia="仿宋" w:hAnsi="仿宋" w:cs="仿宋"/>
          <w:sz w:val="32"/>
          <w:szCs w:val="32"/>
        </w:rPr>
      </w:pPr>
      <w:r>
        <w:rPr>
          <w:rFonts w:ascii="仿宋" w:eastAsia="仿宋" w:hAnsi="仿宋" w:cs="仿宋" w:hint="eastAsia"/>
          <w:sz w:val="32"/>
          <w:szCs w:val="32"/>
        </w:rPr>
        <w:t>闵行区城市数字化转型工作领导小组办公室</w:t>
      </w:r>
    </w:p>
    <w:p w:rsidR="00E10684" w:rsidRDefault="004817FF">
      <w:pPr>
        <w:spacing w:line="560" w:lineRule="exact"/>
        <w:ind w:firstLineChars="200" w:firstLine="640"/>
        <w:jc w:val="center"/>
        <w:rPr>
          <w:rFonts w:ascii="仿宋" w:eastAsia="仿宋" w:hAnsi="仿宋" w:cs="仿宋"/>
          <w:sz w:val="32"/>
          <w:szCs w:val="32"/>
        </w:rPr>
        <w:sectPr w:rsidR="00E10684">
          <w:footerReference w:type="default" r:id="rId7"/>
          <w:pgSz w:w="11906" w:h="16838"/>
          <w:pgMar w:top="1474" w:right="1531" w:bottom="1474" w:left="1531" w:header="851" w:footer="992" w:gutter="0"/>
          <w:pgNumType w:fmt="numberInDash" w:start="1"/>
          <w:cols w:space="720"/>
          <w:docGrid w:type="lines" w:linePitch="312"/>
        </w:sectPr>
      </w:pPr>
      <w:r>
        <w:rPr>
          <w:rFonts w:ascii="仿宋" w:eastAsia="仿宋" w:hAnsi="仿宋" w:cs="仿宋" w:hint="eastAsia"/>
          <w:sz w:val="32"/>
          <w:szCs w:val="32"/>
        </w:rPr>
        <w:t xml:space="preserve">                  2022年8月8日</w:t>
      </w:r>
    </w:p>
    <w:p w:rsidR="00E10684" w:rsidRDefault="004817FF">
      <w:pPr>
        <w:spacing w:line="560" w:lineRule="exact"/>
        <w:rPr>
          <w:rFonts w:ascii="黑体" w:eastAsia="黑体" w:hAnsi="黑体" w:cs="黑体"/>
          <w:sz w:val="32"/>
          <w:szCs w:val="32"/>
        </w:rPr>
      </w:pPr>
      <w:r>
        <w:rPr>
          <w:rFonts w:ascii="黑体" w:eastAsia="黑体" w:hAnsi="黑体" w:cs="黑体" w:hint="eastAsia"/>
          <w:sz w:val="32"/>
          <w:szCs w:val="32"/>
        </w:rPr>
        <w:lastRenderedPageBreak/>
        <w:t>附件</w:t>
      </w:r>
    </w:p>
    <w:p w:rsidR="00E10684" w:rsidRDefault="004817FF">
      <w:pPr>
        <w:spacing w:afterLines="50" w:after="156" w:line="560" w:lineRule="exact"/>
        <w:jc w:val="center"/>
        <w:rPr>
          <w:rFonts w:ascii="方正小标宋简体" w:eastAsia="方正小标宋简体" w:hAnsi="方正小标宋简体" w:cs="方正小标宋简体"/>
          <w:sz w:val="32"/>
          <w:szCs w:val="36"/>
        </w:rPr>
      </w:pPr>
      <w:r>
        <w:rPr>
          <w:rFonts w:ascii="方正小标宋简体" w:eastAsia="方正小标宋简体" w:hAnsi="方正小标宋简体" w:cs="方正小标宋简体" w:hint="eastAsia"/>
          <w:sz w:val="32"/>
          <w:szCs w:val="36"/>
        </w:rPr>
        <w:t>闵行区生活数字化转型应用场景清单</w:t>
      </w:r>
    </w:p>
    <w:tbl>
      <w:tblPr>
        <w:tblW w:w="14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2523"/>
        <w:gridCol w:w="8643"/>
        <w:gridCol w:w="2126"/>
      </w:tblGrid>
      <w:tr w:rsidR="00E10684" w:rsidTr="00C255FF">
        <w:trPr>
          <w:trHeight w:val="413"/>
          <w:jc w:val="center"/>
        </w:trPr>
        <w:tc>
          <w:tcPr>
            <w:tcW w:w="878" w:type="dxa"/>
            <w:vAlign w:val="center"/>
          </w:tcPr>
          <w:p w:rsidR="00E10684" w:rsidRDefault="004817FF">
            <w:pPr>
              <w:widowControl/>
              <w:spacing w:line="540" w:lineRule="exact"/>
              <w:jc w:val="center"/>
              <w:textAlignment w:val="center"/>
              <w:rPr>
                <w:rFonts w:ascii="黑体" w:eastAsia="黑体" w:hAnsi="黑体" w:cs="黑体"/>
                <w:sz w:val="28"/>
                <w:szCs w:val="28"/>
              </w:rPr>
            </w:pPr>
            <w:r>
              <w:rPr>
                <w:rFonts w:ascii="黑体" w:eastAsia="黑体" w:hAnsi="黑体" w:cs="黑体" w:hint="eastAsia"/>
                <w:sz w:val="28"/>
                <w:szCs w:val="28"/>
              </w:rPr>
              <w:t>序号</w:t>
            </w:r>
          </w:p>
        </w:tc>
        <w:tc>
          <w:tcPr>
            <w:tcW w:w="2523" w:type="dxa"/>
            <w:vAlign w:val="center"/>
          </w:tcPr>
          <w:p w:rsidR="00E10684" w:rsidRDefault="004817FF">
            <w:pPr>
              <w:widowControl/>
              <w:spacing w:line="540" w:lineRule="exact"/>
              <w:jc w:val="center"/>
              <w:textAlignment w:val="center"/>
              <w:rPr>
                <w:rFonts w:ascii="黑体" w:eastAsia="黑体" w:hAnsi="黑体" w:cs="黑体"/>
                <w:color w:val="000000"/>
                <w:kern w:val="0"/>
                <w:sz w:val="28"/>
                <w:szCs w:val="28"/>
                <w:lang w:bidi="ar"/>
              </w:rPr>
            </w:pPr>
            <w:r>
              <w:rPr>
                <w:rFonts w:ascii="黑体" w:eastAsia="黑体" w:hAnsi="黑体" w:cs="黑体" w:hint="eastAsia"/>
                <w:color w:val="000000"/>
                <w:kern w:val="0"/>
                <w:sz w:val="28"/>
                <w:szCs w:val="28"/>
                <w:lang w:bidi="ar"/>
              </w:rPr>
              <w:t>场景名称</w:t>
            </w:r>
          </w:p>
        </w:tc>
        <w:tc>
          <w:tcPr>
            <w:tcW w:w="8643" w:type="dxa"/>
            <w:vAlign w:val="center"/>
          </w:tcPr>
          <w:p w:rsidR="00E10684" w:rsidRDefault="004817FF">
            <w:pPr>
              <w:widowControl/>
              <w:spacing w:line="540" w:lineRule="exact"/>
              <w:jc w:val="center"/>
              <w:textAlignment w:val="center"/>
              <w:rPr>
                <w:rFonts w:ascii="黑体" w:eastAsia="黑体" w:hAnsi="黑体" w:cs="黑体"/>
                <w:color w:val="000000"/>
                <w:kern w:val="0"/>
                <w:sz w:val="28"/>
                <w:szCs w:val="28"/>
                <w:lang w:bidi="ar"/>
              </w:rPr>
            </w:pPr>
            <w:r>
              <w:rPr>
                <w:rFonts w:ascii="黑体" w:eastAsia="黑体" w:hAnsi="黑体" w:cs="黑体" w:hint="eastAsia"/>
                <w:color w:val="000000"/>
                <w:kern w:val="0"/>
                <w:sz w:val="28"/>
                <w:szCs w:val="28"/>
                <w:lang w:bidi="ar"/>
              </w:rPr>
              <w:t>主要内容</w:t>
            </w:r>
          </w:p>
        </w:tc>
        <w:tc>
          <w:tcPr>
            <w:tcW w:w="2126" w:type="dxa"/>
            <w:vAlign w:val="center"/>
          </w:tcPr>
          <w:p w:rsidR="00E10684" w:rsidRDefault="004817FF">
            <w:pPr>
              <w:widowControl/>
              <w:spacing w:line="540" w:lineRule="exact"/>
              <w:jc w:val="center"/>
              <w:textAlignment w:val="center"/>
              <w:rPr>
                <w:rFonts w:ascii="黑体" w:eastAsia="黑体" w:hAnsi="黑体" w:cs="黑体"/>
                <w:color w:val="000000"/>
                <w:kern w:val="0"/>
                <w:sz w:val="28"/>
                <w:szCs w:val="28"/>
                <w:lang w:bidi="ar"/>
              </w:rPr>
            </w:pPr>
            <w:r>
              <w:rPr>
                <w:rFonts w:ascii="黑体" w:eastAsia="黑体" w:hAnsi="黑体" w:cs="黑体" w:hint="eastAsia"/>
                <w:color w:val="000000"/>
                <w:kern w:val="0"/>
                <w:sz w:val="28"/>
                <w:szCs w:val="28"/>
                <w:lang w:bidi="ar"/>
              </w:rPr>
              <w:t>牵头单位</w:t>
            </w:r>
          </w:p>
        </w:tc>
      </w:tr>
      <w:tr w:rsidR="00E10684" w:rsidTr="00C255FF">
        <w:trPr>
          <w:trHeight w:val="797"/>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1</w:t>
            </w:r>
          </w:p>
        </w:tc>
        <w:tc>
          <w:tcPr>
            <w:tcW w:w="252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数字疫情防控网</w:t>
            </w:r>
          </w:p>
          <w:p w:rsidR="00E10684" w:rsidRDefault="00E10684">
            <w:pPr>
              <w:spacing w:line="540" w:lineRule="exact"/>
              <w:jc w:val="center"/>
              <w:rPr>
                <w:rFonts w:ascii="仿宋" w:eastAsia="仿宋" w:hAnsi="仿宋" w:cs="仿宋"/>
                <w:sz w:val="32"/>
                <w:szCs w:val="32"/>
              </w:rPr>
            </w:pPr>
          </w:p>
        </w:tc>
        <w:tc>
          <w:tcPr>
            <w:tcW w:w="8643" w:type="dxa"/>
            <w:vAlign w:val="center"/>
          </w:tcPr>
          <w:p w:rsidR="00E10684" w:rsidRDefault="004817FF" w:rsidP="00B800C7">
            <w:pPr>
              <w:spacing w:line="540" w:lineRule="exact"/>
              <w:rPr>
                <w:rFonts w:ascii="仿宋" w:eastAsia="仿宋" w:hAnsi="仿宋" w:cs="仿宋"/>
                <w:sz w:val="32"/>
                <w:szCs w:val="32"/>
              </w:rPr>
            </w:pPr>
            <w:r>
              <w:rPr>
                <w:rFonts w:ascii="仿宋" w:eastAsia="仿宋" w:hAnsi="仿宋" w:cs="仿宋" w:hint="eastAsia"/>
                <w:sz w:val="32"/>
                <w:szCs w:val="32"/>
              </w:rPr>
              <w:t>推动“场所码”、“数字哨兵”等数字化防疫设施的</w:t>
            </w:r>
            <w:proofErr w:type="gramStart"/>
            <w:r>
              <w:rPr>
                <w:rFonts w:ascii="仿宋" w:eastAsia="仿宋" w:hAnsi="仿宋" w:cs="仿宋" w:hint="eastAsia"/>
                <w:sz w:val="32"/>
                <w:szCs w:val="32"/>
              </w:rPr>
              <w:t>应部尽部</w:t>
            </w:r>
            <w:proofErr w:type="gramEnd"/>
            <w:r>
              <w:rPr>
                <w:rFonts w:ascii="仿宋" w:eastAsia="仿宋" w:hAnsi="仿宋" w:cs="仿宋" w:hint="eastAsia"/>
                <w:sz w:val="32"/>
                <w:szCs w:val="32"/>
              </w:rPr>
              <w:t>，依托大数据平台进一步拓展医疗公共数据归集的准确性、完整性、时效性，提升数据支撑能力。完成常态化疫情防控管理系统建设和应用，开展人员排查、流调风控、疫苗接种等领域场景建设，形成全时空疫情防控网络。</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区卫健委、区科委</w:t>
            </w:r>
          </w:p>
        </w:tc>
      </w:tr>
      <w:tr w:rsidR="00E10684" w:rsidTr="00C255FF">
        <w:trPr>
          <w:trHeight w:val="2324"/>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2</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便捷就医综合体</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2022年探索便捷就医2.0场景，建设智能分诊导诊、医疗收费电子票据、智能诊后管理、基于区块链技术的中药代煎配送等应用场景。以“闵行捷</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”为基础，推动以患者为中心的就医流程再造，到2023年实现区属公立医院便捷就医服务全覆盖。</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区卫健委、区</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保局</w:t>
            </w:r>
          </w:p>
        </w:tc>
      </w:tr>
      <w:tr w:rsidR="00E10684" w:rsidTr="00B800C7">
        <w:trPr>
          <w:trHeight w:val="2974"/>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lastRenderedPageBreak/>
              <w:t>3</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智慧教育示范区</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2022年开展“免申即享”“随申码•学生”融合应用、电子证照引用等创新试点。以蔷薇小学、华理科</w:t>
            </w:r>
            <w:proofErr w:type="gramStart"/>
            <w:r>
              <w:rPr>
                <w:rFonts w:ascii="仿宋" w:eastAsia="仿宋" w:hAnsi="仿宋" w:cs="仿宋" w:hint="eastAsia"/>
                <w:sz w:val="32"/>
                <w:szCs w:val="32"/>
              </w:rPr>
              <w:t>高等为</w:t>
            </w:r>
            <w:proofErr w:type="gramEnd"/>
            <w:r>
              <w:rPr>
                <w:rFonts w:ascii="仿宋" w:eastAsia="仿宋" w:hAnsi="仿宋" w:cs="仿宋" w:hint="eastAsia"/>
                <w:sz w:val="32"/>
                <w:szCs w:val="32"/>
              </w:rPr>
              <w:t>试点，到2022年建设至少4所数字赋能示范校，到2023年建设8所数字赋能示范校。推动教育服务的云-端应用，到2023年建成覆盖所有师生的基础信息库和成长数据库。</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区教育局、区行政服务中心</w:t>
            </w:r>
          </w:p>
        </w:tc>
      </w:tr>
      <w:tr w:rsidR="00E10684" w:rsidTr="00C255FF">
        <w:trPr>
          <w:trHeight w:val="2268"/>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4</w:t>
            </w:r>
          </w:p>
        </w:tc>
        <w:tc>
          <w:tcPr>
            <w:tcW w:w="252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“数字家园”试点工程</w:t>
            </w:r>
          </w:p>
        </w:tc>
        <w:tc>
          <w:tcPr>
            <w:tcW w:w="8643" w:type="dxa"/>
            <w:vAlign w:val="center"/>
          </w:tcPr>
          <w:p w:rsidR="00E10684" w:rsidRDefault="004817FF" w:rsidP="00B800C7">
            <w:pPr>
              <w:spacing w:line="540" w:lineRule="exact"/>
              <w:rPr>
                <w:rFonts w:ascii="仿宋" w:eastAsia="仿宋" w:hAnsi="仿宋" w:cs="仿宋"/>
                <w:sz w:val="32"/>
                <w:szCs w:val="32"/>
              </w:rPr>
            </w:pPr>
            <w:r>
              <w:rPr>
                <w:rFonts w:ascii="仿宋" w:eastAsia="仿宋" w:hAnsi="仿宋" w:cs="仿宋" w:hint="eastAsia"/>
                <w:sz w:val="32"/>
                <w:szCs w:val="32"/>
              </w:rPr>
              <w:t>搭建由社区级物业服务、街镇级物业管理、区级物业监管三级应用平台和物业服务直通车移动</w:t>
            </w:r>
            <w:proofErr w:type="gramStart"/>
            <w:r>
              <w:rPr>
                <w:rFonts w:ascii="仿宋" w:eastAsia="仿宋" w:hAnsi="仿宋" w:cs="仿宋" w:hint="eastAsia"/>
                <w:sz w:val="32"/>
                <w:szCs w:val="32"/>
              </w:rPr>
              <w:t>端组成</w:t>
            </w:r>
            <w:proofErr w:type="gramEnd"/>
            <w:r>
              <w:rPr>
                <w:rFonts w:ascii="仿宋" w:eastAsia="仿宋" w:hAnsi="仿宋" w:cs="仿宋" w:hint="eastAsia"/>
                <w:sz w:val="32"/>
                <w:szCs w:val="32"/>
              </w:rPr>
              <w:t>的“数字家园”1.0</w:t>
            </w:r>
            <w:r w:rsidR="00B800C7">
              <w:rPr>
                <w:rFonts w:ascii="仿宋" w:eastAsia="仿宋" w:hAnsi="仿宋" w:cs="仿宋" w:hint="eastAsia"/>
                <w:sz w:val="32"/>
                <w:szCs w:val="32"/>
              </w:rPr>
              <w:t>基础平台</w:t>
            </w:r>
            <w:r>
              <w:rPr>
                <w:rFonts w:ascii="仿宋" w:eastAsia="仿宋" w:hAnsi="仿宋" w:cs="仿宋" w:hint="eastAsia"/>
                <w:sz w:val="32"/>
                <w:szCs w:val="32"/>
              </w:rPr>
              <w:t>，</w:t>
            </w:r>
            <w:r w:rsidR="00A319AB" w:rsidRPr="00A319AB">
              <w:rPr>
                <w:rFonts w:ascii="仿宋" w:eastAsia="仿宋" w:hAnsi="仿宋" w:cs="仿宋" w:hint="eastAsia"/>
                <w:sz w:val="32"/>
                <w:szCs w:val="32"/>
              </w:rPr>
              <w:t>在各街镇逐步推广“数字家园”示范社区建设</w:t>
            </w:r>
            <w:r w:rsidR="00A319AB">
              <w:rPr>
                <w:rFonts w:ascii="仿宋" w:eastAsia="仿宋" w:hAnsi="仿宋" w:cs="仿宋" w:hint="eastAsia"/>
                <w:sz w:val="32"/>
                <w:szCs w:val="32"/>
              </w:rPr>
              <w:t>，</w:t>
            </w:r>
            <w:r>
              <w:rPr>
                <w:rFonts w:ascii="仿宋" w:eastAsia="仿宋" w:hAnsi="仿宋" w:cs="仿宋" w:hint="eastAsia"/>
                <w:sz w:val="32"/>
                <w:szCs w:val="32"/>
              </w:rPr>
              <w:t>到2023年覆盖全区100个住宅小区。</w:t>
            </w:r>
            <w:bookmarkStart w:id="0" w:name="_GoBack"/>
            <w:bookmarkEnd w:id="0"/>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区房管局、各街镇</w:t>
            </w:r>
          </w:p>
        </w:tc>
      </w:tr>
      <w:tr w:rsidR="00E10684" w:rsidTr="00B800C7">
        <w:trPr>
          <w:trHeight w:val="2506"/>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5</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kern w:val="0"/>
                <w:sz w:val="32"/>
                <w:szCs w:val="32"/>
                <w:lang w:bidi="ar"/>
              </w:rPr>
              <w:t>智慧安居示范点</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依托数字家园基础平台、闵行区租赁住房平台、随申办人才公寓选房，打造租住服务全流程、运营管理高效率、延伸服务可拓展的示范性智慧安居公寓</w:t>
            </w:r>
            <w:r>
              <w:rPr>
                <w:rFonts w:ascii="仿宋" w:eastAsia="仿宋" w:hAnsi="仿宋" w:cs="仿宋" w:hint="eastAsia"/>
                <w:color w:val="000000" w:themeColor="text1"/>
                <w:sz w:val="32"/>
                <w:szCs w:val="32"/>
              </w:rPr>
              <w:t>，2022年建设1处智慧安居示范点，</w:t>
            </w:r>
            <w:r>
              <w:rPr>
                <w:rFonts w:ascii="仿宋" w:eastAsia="仿宋" w:hAnsi="仿宋" w:cs="仿宋" w:hint="eastAsia"/>
                <w:sz w:val="32"/>
                <w:szCs w:val="32"/>
              </w:rPr>
              <w:t>2023年推动复制推广。</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区房管局、</w:t>
            </w:r>
            <w:proofErr w:type="gramStart"/>
            <w:r>
              <w:rPr>
                <w:rFonts w:ascii="仿宋" w:eastAsia="仿宋" w:hAnsi="仿宋" w:cs="仿宋" w:hint="eastAsia"/>
                <w:sz w:val="32"/>
                <w:szCs w:val="32"/>
              </w:rPr>
              <w:t>闵</w:t>
            </w:r>
            <w:proofErr w:type="gramEnd"/>
            <w:r>
              <w:rPr>
                <w:rFonts w:ascii="仿宋" w:eastAsia="仿宋" w:hAnsi="仿宋" w:cs="仿宋" w:hint="eastAsia"/>
                <w:sz w:val="32"/>
                <w:szCs w:val="32"/>
              </w:rPr>
              <w:t>房集团</w:t>
            </w:r>
          </w:p>
        </w:tc>
      </w:tr>
      <w:tr w:rsidR="00E10684" w:rsidTr="00C255FF">
        <w:trPr>
          <w:trHeight w:val="2324"/>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lastRenderedPageBreak/>
              <w:t>6</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快捷停车助通畅</w:t>
            </w:r>
          </w:p>
        </w:tc>
        <w:tc>
          <w:tcPr>
            <w:tcW w:w="8643" w:type="dxa"/>
            <w:vAlign w:val="center"/>
          </w:tcPr>
          <w:p w:rsidR="00E10684" w:rsidRDefault="004817FF">
            <w:pPr>
              <w:rPr>
                <w:rFonts w:ascii="仿宋" w:eastAsia="仿宋" w:hAnsi="仿宋" w:cs="仿宋"/>
                <w:sz w:val="32"/>
                <w:szCs w:val="32"/>
              </w:rPr>
            </w:pPr>
            <w:r>
              <w:rPr>
                <w:rFonts w:ascii="仿宋" w:eastAsia="仿宋" w:hAnsi="仿宋" w:cs="仿宋" w:hint="eastAsia"/>
                <w:sz w:val="32"/>
                <w:szCs w:val="32"/>
              </w:rPr>
              <w:t>至2023年实现“上海停车App”便捷停车服务在区内具备条件的医院、商圈、交通枢纽等重点区域的覆盖。将公共停车场(库)信息接入上海公共停车信息平台,完成向市级“上海停车App”接入公共停车场(库)的电子支付功能和停车共享的电子签约功能。</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区交通委</w:t>
            </w:r>
          </w:p>
        </w:tc>
      </w:tr>
      <w:tr w:rsidR="00E10684" w:rsidTr="00B800C7">
        <w:trPr>
          <w:trHeight w:val="1955"/>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7</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交通管理智能化</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2022年配合市推进“智能出行即服务”示范场景建设，推进一站式出行服务系统建设。推广公交到站信息实时预报服务，到2023年实现核心重点区域电子站牌全覆盖。</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区交通委、各街镇</w:t>
            </w:r>
          </w:p>
        </w:tc>
      </w:tr>
      <w:tr w:rsidR="00E10684" w:rsidTr="00B800C7">
        <w:trPr>
          <w:trHeight w:val="2408"/>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8</w:t>
            </w:r>
          </w:p>
        </w:tc>
        <w:tc>
          <w:tcPr>
            <w:tcW w:w="2523" w:type="dxa"/>
            <w:vAlign w:val="center"/>
          </w:tcPr>
          <w:p w:rsidR="00E10684" w:rsidRDefault="004817FF">
            <w:pPr>
              <w:spacing w:line="540" w:lineRule="exact"/>
              <w:jc w:val="center"/>
              <w:rPr>
                <w:rFonts w:ascii="仿宋" w:eastAsia="仿宋" w:hAnsi="仿宋" w:cs="仿宋"/>
                <w:sz w:val="32"/>
                <w:szCs w:val="32"/>
              </w:rPr>
            </w:pPr>
            <w:proofErr w:type="gramStart"/>
            <w:r>
              <w:rPr>
                <w:rFonts w:ascii="仿宋" w:eastAsia="仿宋" w:hAnsi="仿宋" w:cs="仿宋" w:hint="eastAsia"/>
                <w:sz w:val="32"/>
                <w:szCs w:val="32"/>
              </w:rPr>
              <w:t>文旅服务</w:t>
            </w:r>
            <w:proofErr w:type="gramEnd"/>
            <w:r>
              <w:rPr>
                <w:rFonts w:ascii="仿宋" w:eastAsia="仿宋" w:hAnsi="仿宋" w:cs="仿宋" w:hint="eastAsia"/>
                <w:sz w:val="32"/>
                <w:szCs w:val="32"/>
              </w:rPr>
              <w:t>新体验</w:t>
            </w:r>
          </w:p>
        </w:tc>
        <w:tc>
          <w:tcPr>
            <w:tcW w:w="8643" w:type="dxa"/>
            <w:vAlign w:val="center"/>
          </w:tcPr>
          <w:p w:rsidR="00E10684" w:rsidRDefault="00B800C7">
            <w:pPr>
              <w:spacing w:line="540" w:lineRule="exact"/>
              <w:rPr>
                <w:rFonts w:ascii="仿宋" w:eastAsia="仿宋" w:hAnsi="仿宋" w:cs="仿宋"/>
                <w:sz w:val="32"/>
                <w:szCs w:val="32"/>
              </w:rPr>
            </w:pPr>
            <w:r w:rsidRPr="00B800C7">
              <w:rPr>
                <w:rFonts w:ascii="仿宋" w:eastAsia="仿宋" w:hAnsi="仿宋" w:cs="仿宋" w:hint="eastAsia"/>
                <w:color w:val="000000" w:themeColor="text1"/>
                <w:sz w:val="32"/>
                <w:szCs w:val="32"/>
              </w:rPr>
              <w:t>推动闵行博物馆探索虚拟参观与真实场景相结合的全新网上漫游模式。</w:t>
            </w:r>
            <w:r w:rsidR="004817FF">
              <w:rPr>
                <w:rFonts w:ascii="仿宋" w:eastAsia="仿宋" w:hAnsi="仿宋" w:cs="仿宋" w:hint="eastAsia"/>
                <w:color w:val="000000" w:themeColor="text1"/>
                <w:sz w:val="32"/>
                <w:szCs w:val="32"/>
              </w:rPr>
              <w:t>以“全闵预约”为载体，实现区属场馆的在线预约和个性化选择，到2022年完成30家，到2023年完成50家。</w:t>
            </w:r>
          </w:p>
        </w:tc>
        <w:tc>
          <w:tcPr>
            <w:tcW w:w="2126" w:type="dxa"/>
            <w:vAlign w:val="center"/>
          </w:tcPr>
          <w:p w:rsidR="00E10684" w:rsidRDefault="004817FF" w:rsidP="00B800C7">
            <w:pPr>
              <w:spacing w:line="540" w:lineRule="exact"/>
              <w:jc w:val="left"/>
              <w:rPr>
                <w:rFonts w:ascii="仿宋" w:eastAsia="仿宋" w:hAnsi="仿宋" w:cs="仿宋"/>
                <w:sz w:val="32"/>
                <w:szCs w:val="32"/>
              </w:rPr>
            </w:pPr>
            <w:r>
              <w:rPr>
                <w:rFonts w:ascii="仿宋" w:eastAsia="仿宋" w:hAnsi="仿宋" w:cs="仿宋" w:hint="eastAsia"/>
                <w:sz w:val="32"/>
                <w:szCs w:val="32"/>
              </w:rPr>
              <w:t>区文化旅游局、区融媒体中心</w:t>
            </w:r>
          </w:p>
        </w:tc>
      </w:tr>
      <w:tr w:rsidR="00E10684" w:rsidTr="00B800C7">
        <w:trPr>
          <w:trHeight w:val="1840"/>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lastRenderedPageBreak/>
              <w:t>9</w:t>
            </w:r>
          </w:p>
        </w:tc>
        <w:tc>
          <w:tcPr>
            <w:tcW w:w="252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kern w:val="0"/>
                <w:sz w:val="32"/>
                <w:szCs w:val="32"/>
                <w:lang w:bidi="ar"/>
              </w:rPr>
              <w:t>七宝古镇数字景区</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布设人机交互系统，为旅客提供智能咨询、服务引导，搭建智能化旅客信息管理平台，对旅客流量、人群密度进行数据化管理，实现古镇客流检测预警，2022年完成旅游数字化标杆场景打造。</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区文化旅游局、七宝镇</w:t>
            </w:r>
          </w:p>
        </w:tc>
      </w:tr>
      <w:tr w:rsidR="00E10684" w:rsidTr="00B800C7">
        <w:trPr>
          <w:trHeight w:val="1831"/>
          <w:jc w:val="center"/>
        </w:trPr>
        <w:tc>
          <w:tcPr>
            <w:tcW w:w="878"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10</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数字商圈无忧购</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以虹桥商务区商圈和南方商圈为重点，</w:t>
            </w:r>
            <w:proofErr w:type="gramStart"/>
            <w:r>
              <w:rPr>
                <w:rFonts w:ascii="仿宋" w:eastAsia="仿宋" w:hAnsi="仿宋" w:cs="仿宋" w:hint="eastAsia"/>
                <w:sz w:val="32"/>
                <w:szCs w:val="32"/>
              </w:rPr>
              <w:t>推进商圈开展</w:t>
            </w:r>
            <w:proofErr w:type="gramEnd"/>
            <w:r>
              <w:rPr>
                <w:rFonts w:ascii="仿宋" w:eastAsia="仿宋" w:hAnsi="仿宋" w:cs="仿宋" w:hint="eastAsia"/>
                <w:sz w:val="32"/>
                <w:szCs w:val="32"/>
              </w:rPr>
              <w:t>AR/VR等数字技术应用，实现精准营销、虚拟导购、智能购物、无</w:t>
            </w:r>
            <w:proofErr w:type="gramStart"/>
            <w:r>
              <w:rPr>
                <w:rFonts w:ascii="仿宋" w:eastAsia="仿宋" w:hAnsi="仿宋" w:cs="仿宋" w:hint="eastAsia"/>
                <w:sz w:val="32"/>
                <w:szCs w:val="32"/>
              </w:rPr>
              <w:t>感支付</w:t>
            </w:r>
            <w:proofErr w:type="gramEnd"/>
            <w:r>
              <w:rPr>
                <w:rFonts w:ascii="仿宋" w:eastAsia="仿宋" w:hAnsi="仿宋" w:cs="仿宋" w:hint="eastAsia"/>
                <w:sz w:val="32"/>
                <w:szCs w:val="32"/>
              </w:rPr>
              <w:t>等</w:t>
            </w:r>
            <w:r>
              <w:rPr>
                <w:rFonts w:ascii="仿宋" w:eastAsia="仿宋" w:hAnsi="仿宋" w:cs="仿宋" w:hint="eastAsia"/>
                <w:color w:val="000000" w:themeColor="text1"/>
                <w:sz w:val="32"/>
                <w:szCs w:val="32"/>
              </w:rPr>
              <w:t>功能，2022年建设1个具有全国示范引领作用的数字商街商圈。</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区经委</w:t>
            </w:r>
          </w:p>
        </w:tc>
      </w:tr>
      <w:tr w:rsidR="00E10684" w:rsidTr="00C255FF">
        <w:trPr>
          <w:trHeight w:val="2324"/>
          <w:jc w:val="center"/>
        </w:trPr>
        <w:tc>
          <w:tcPr>
            <w:tcW w:w="878" w:type="dxa"/>
            <w:vAlign w:val="center"/>
          </w:tcPr>
          <w:p w:rsidR="00E10684" w:rsidRDefault="004817FF" w:rsidP="00CF4F17">
            <w:pPr>
              <w:spacing w:line="540" w:lineRule="exact"/>
              <w:jc w:val="center"/>
              <w:rPr>
                <w:rFonts w:ascii="仿宋" w:eastAsia="仿宋" w:hAnsi="仿宋" w:cs="仿宋"/>
                <w:sz w:val="32"/>
                <w:szCs w:val="32"/>
              </w:rPr>
            </w:pPr>
            <w:r>
              <w:rPr>
                <w:rFonts w:ascii="仿宋" w:eastAsia="仿宋" w:hAnsi="仿宋" w:cs="仿宋" w:hint="eastAsia"/>
                <w:sz w:val="32"/>
                <w:szCs w:val="32"/>
              </w:rPr>
              <w:t>1</w:t>
            </w:r>
            <w:r w:rsidR="00CF4F17">
              <w:rPr>
                <w:rFonts w:ascii="仿宋" w:eastAsia="仿宋" w:hAnsi="仿宋" w:cs="仿宋"/>
                <w:sz w:val="32"/>
                <w:szCs w:val="32"/>
              </w:rPr>
              <w:t>1</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社会救助贴心达</w:t>
            </w:r>
          </w:p>
        </w:tc>
        <w:tc>
          <w:tcPr>
            <w:tcW w:w="8643" w:type="dxa"/>
            <w:vAlign w:val="center"/>
          </w:tcPr>
          <w:p w:rsidR="00E10684" w:rsidRDefault="004817FF" w:rsidP="00B800C7">
            <w:pPr>
              <w:spacing w:line="540" w:lineRule="exact"/>
              <w:rPr>
                <w:rFonts w:ascii="仿宋" w:eastAsia="仿宋" w:hAnsi="仿宋" w:cs="仿宋"/>
                <w:sz w:val="32"/>
                <w:szCs w:val="32"/>
              </w:rPr>
            </w:pPr>
            <w:r>
              <w:rPr>
                <w:rFonts w:ascii="仿宋" w:eastAsia="仿宋" w:hAnsi="仿宋" w:cs="仿宋" w:hint="eastAsia"/>
                <w:sz w:val="32"/>
                <w:szCs w:val="32"/>
              </w:rPr>
              <w:t>聚合民政、卫健、</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保、人社、残联等相关政策数据和居民基础数据，以个人数字精准画像为基础，推进社会救助、社会福利、特殊补贴等精准发放，实现社会保障服务便民化。</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t>区民政局、区人社局、区卫健委、区</w:t>
            </w:r>
            <w:proofErr w:type="gramStart"/>
            <w:r>
              <w:rPr>
                <w:rFonts w:ascii="仿宋" w:eastAsia="仿宋" w:hAnsi="仿宋" w:cs="仿宋" w:hint="eastAsia"/>
                <w:sz w:val="32"/>
                <w:szCs w:val="32"/>
              </w:rPr>
              <w:t>医</w:t>
            </w:r>
            <w:proofErr w:type="gramEnd"/>
            <w:r>
              <w:rPr>
                <w:rFonts w:ascii="仿宋" w:eastAsia="仿宋" w:hAnsi="仿宋" w:cs="仿宋" w:hint="eastAsia"/>
                <w:sz w:val="32"/>
                <w:szCs w:val="32"/>
              </w:rPr>
              <w:t>保局、区残联</w:t>
            </w:r>
          </w:p>
        </w:tc>
      </w:tr>
      <w:tr w:rsidR="00E10684" w:rsidTr="00C255FF">
        <w:trPr>
          <w:trHeight w:val="706"/>
          <w:jc w:val="center"/>
        </w:trPr>
        <w:tc>
          <w:tcPr>
            <w:tcW w:w="878" w:type="dxa"/>
            <w:vAlign w:val="center"/>
          </w:tcPr>
          <w:p w:rsidR="00E10684" w:rsidRDefault="004817FF" w:rsidP="00CF4F17">
            <w:pPr>
              <w:spacing w:line="540" w:lineRule="exact"/>
              <w:jc w:val="center"/>
              <w:rPr>
                <w:rFonts w:ascii="仿宋" w:eastAsia="仿宋" w:hAnsi="仿宋" w:cs="仿宋"/>
                <w:sz w:val="32"/>
                <w:szCs w:val="32"/>
              </w:rPr>
            </w:pPr>
            <w:r>
              <w:rPr>
                <w:rFonts w:ascii="仿宋" w:eastAsia="仿宋" w:hAnsi="仿宋" w:cs="仿宋" w:hint="eastAsia"/>
                <w:sz w:val="32"/>
                <w:szCs w:val="32"/>
              </w:rPr>
              <w:t>1</w:t>
            </w:r>
            <w:r w:rsidR="00CF4F17">
              <w:rPr>
                <w:rFonts w:ascii="仿宋" w:eastAsia="仿宋" w:hAnsi="仿宋" w:cs="仿宋"/>
                <w:sz w:val="32"/>
                <w:szCs w:val="32"/>
              </w:rPr>
              <w:t>2</w:t>
            </w:r>
          </w:p>
        </w:tc>
        <w:tc>
          <w:tcPr>
            <w:tcW w:w="2523" w:type="dxa"/>
            <w:vAlign w:val="center"/>
          </w:tcPr>
          <w:p w:rsidR="00E10684" w:rsidRDefault="004817FF">
            <w:pPr>
              <w:spacing w:line="540" w:lineRule="exact"/>
              <w:jc w:val="center"/>
              <w:rPr>
                <w:rFonts w:ascii="仿宋" w:eastAsia="仿宋" w:hAnsi="仿宋" w:cs="仿宋"/>
                <w:sz w:val="32"/>
                <w:szCs w:val="32"/>
              </w:rPr>
            </w:pPr>
            <w:r>
              <w:rPr>
                <w:rFonts w:ascii="仿宋" w:eastAsia="仿宋" w:hAnsi="仿宋" w:cs="仿宋" w:hint="eastAsia"/>
                <w:sz w:val="32"/>
                <w:szCs w:val="32"/>
              </w:rPr>
              <w:t>就业服务无缝联</w:t>
            </w:r>
          </w:p>
        </w:tc>
        <w:tc>
          <w:tcPr>
            <w:tcW w:w="8643" w:type="dxa"/>
            <w:vAlign w:val="center"/>
          </w:tcPr>
          <w:p w:rsidR="00E10684" w:rsidRDefault="004817FF">
            <w:pPr>
              <w:spacing w:line="540" w:lineRule="exact"/>
              <w:rPr>
                <w:rFonts w:ascii="仿宋" w:eastAsia="仿宋" w:hAnsi="仿宋" w:cs="仿宋"/>
                <w:sz w:val="32"/>
                <w:szCs w:val="32"/>
              </w:rPr>
            </w:pPr>
            <w:r>
              <w:rPr>
                <w:rFonts w:ascii="仿宋" w:eastAsia="仿宋" w:hAnsi="仿宋" w:cs="仿宋" w:hint="eastAsia"/>
                <w:sz w:val="32"/>
                <w:szCs w:val="32"/>
              </w:rPr>
              <w:t>推进人力资源共享服务平台建设，实现就业供需精准匹配、人才保障服务线上办。2022年完成平台搭建，实现企业个人就业需求匹配及产业</w:t>
            </w:r>
            <w:proofErr w:type="gramStart"/>
            <w:r>
              <w:rPr>
                <w:rFonts w:ascii="仿宋" w:eastAsia="仿宋" w:hAnsi="仿宋" w:cs="仿宋" w:hint="eastAsia"/>
                <w:sz w:val="32"/>
                <w:szCs w:val="32"/>
              </w:rPr>
              <w:t>园服务商需求</w:t>
            </w:r>
            <w:proofErr w:type="gramEnd"/>
            <w:r>
              <w:rPr>
                <w:rFonts w:ascii="仿宋" w:eastAsia="仿宋" w:hAnsi="仿宋" w:cs="仿宋" w:hint="eastAsia"/>
                <w:sz w:val="32"/>
                <w:szCs w:val="32"/>
              </w:rPr>
              <w:t>对接等功能，2023年完成</w:t>
            </w:r>
            <w:r>
              <w:rPr>
                <w:rFonts w:ascii="仿宋" w:eastAsia="仿宋" w:hAnsi="仿宋" w:cs="仿宋" w:hint="eastAsia"/>
                <w:sz w:val="32"/>
                <w:szCs w:val="32"/>
              </w:rPr>
              <w:lastRenderedPageBreak/>
              <w:t>社会保障、劳动维权、行政效能等模块建设。</w:t>
            </w:r>
          </w:p>
        </w:tc>
        <w:tc>
          <w:tcPr>
            <w:tcW w:w="2126" w:type="dxa"/>
            <w:vAlign w:val="center"/>
          </w:tcPr>
          <w:p w:rsidR="00E10684" w:rsidRDefault="004817FF">
            <w:pPr>
              <w:spacing w:line="540" w:lineRule="exact"/>
              <w:jc w:val="left"/>
              <w:rPr>
                <w:rFonts w:ascii="仿宋" w:eastAsia="仿宋" w:hAnsi="仿宋" w:cs="仿宋"/>
                <w:sz w:val="32"/>
                <w:szCs w:val="32"/>
              </w:rPr>
            </w:pPr>
            <w:r>
              <w:rPr>
                <w:rFonts w:ascii="仿宋" w:eastAsia="仿宋" w:hAnsi="仿宋" w:cs="仿宋" w:hint="eastAsia"/>
                <w:sz w:val="32"/>
                <w:szCs w:val="32"/>
              </w:rPr>
              <w:lastRenderedPageBreak/>
              <w:t>区人社局、区行政服务中心</w:t>
            </w:r>
          </w:p>
        </w:tc>
      </w:tr>
    </w:tbl>
    <w:p w:rsidR="00E10684" w:rsidRDefault="00E10684">
      <w:pPr>
        <w:spacing w:line="560" w:lineRule="exact"/>
        <w:rPr>
          <w:rFonts w:ascii="仿宋" w:eastAsia="仿宋" w:hAnsi="仿宋" w:cs="仿宋"/>
          <w:sz w:val="32"/>
          <w:szCs w:val="32"/>
        </w:rPr>
      </w:pPr>
    </w:p>
    <w:sectPr w:rsidR="00E10684">
      <w:pgSz w:w="16838" w:h="11906" w:orient="landscape"/>
      <w:pgMar w:top="1531" w:right="1474" w:bottom="1531" w:left="1474" w:header="851" w:footer="992" w:gutter="0"/>
      <w:pgNumType w:fmt="numberInDash"/>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3002" w:rsidRDefault="003F3002">
      <w:r>
        <w:separator/>
      </w:r>
    </w:p>
  </w:endnote>
  <w:endnote w:type="continuationSeparator" w:id="0">
    <w:p w:rsidR="003F3002" w:rsidRDefault="003F3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方正小标宋简体">
    <w:altName w:val="方正粗黑宋简体"/>
    <w:charset w:val="86"/>
    <w:family w:val="auto"/>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0" w:usb1="00000000" w:usb2="00000000" w:usb3="00000000" w:csb0="00040000" w:csb1="00000000"/>
  </w:font>
  <w:font w:name="楷体_GB2312">
    <w:altName w:val="楷体"/>
    <w:charset w:val="86"/>
    <w:family w:val="modern"/>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3456641"/>
    </w:sdtPr>
    <w:sdtEndPr/>
    <w:sdtContent>
      <w:p w:rsidR="00E10684" w:rsidRDefault="004817FF">
        <w:pPr>
          <w:pStyle w:val="a5"/>
          <w:jc w:val="center"/>
        </w:pPr>
        <w:r>
          <w:fldChar w:fldCharType="begin"/>
        </w:r>
        <w:r>
          <w:instrText>PAGE   \* MERGEFORMAT</w:instrText>
        </w:r>
        <w:r>
          <w:fldChar w:fldCharType="separate"/>
        </w:r>
        <w:r w:rsidR="00A319AB" w:rsidRPr="00A319AB">
          <w:rPr>
            <w:noProof/>
            <w:lang w:val="zh-CN"/>
          </w:rPr>
          <w:t>-</w:t>
        </w:r>
        <w:r w:rsidR="00A319AB">
          <w:rPr>
            <w:noProof/>
          </w:rPr>
          <w:t xml:space="preserve"> 16 -</w:t>
        </w:r>
        <w:r>
          <w:fldChar w:fldCharType="end"/>
        </w:r>
      </w:p>
    </w:sdtContent>
  </w:sdt>
  <w:p w:rsidR="00E10684" w:rsidRDefault="00E1068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3002" w:rsidRDefault="003F3002">
      <w:r>
        <w:separator/>
      </w:r>
    </w:p>
  </w:footnote>
  <w:footnote w:type="continuationSeparator" w:id="0">
    <w:p w:rsidR="003F3002" w:rsidRDefault="003F30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48E8"/>
    <w:rsid w:val="8FA5A509"/>
    <w:rsid w:val="9AF53100"/>
    <w:rsid w:val="9BFD5350"/>
    <w:rsid w:val="9E7FE78A"/>
    <w:rsid w:val="9EBB3393"/>
    <w:rsid w:val="9FFD830E"/>
    <w:rsid w:val="A5EC9A5E"/>
    <w:rsid w:val="AAED64B4"/>
    <w:rsid w:val="ABE2EAC9"/>
    <w:rsid w:val="ACF7D57A"/>
    <w:rsid w:val="B0DB26E6"/>
    <w:rsid w:val="B1FEA7AB"/>
    <w:rsid w:val="B2B42F1D"/>
    <w:rsid w:val="B7D3CD61"/>
    <w:rsid w:val="B99F5BB5"/>
    <w:rsid w:val="BA7719CA"/>
    <w:rsid w:val="BAEF5363"/>
    <w:rsid w:val="BCBD2C6B"/>
    <w:rsid w:val="BDB7E6AF"/>
    <w:rsid w:val="BDED5058"/>
    <w:rsid w:val="BE7C316B"/>
    <w:rsid w:val="BED77845"/>
    <w:rsid w:val="BEDF0B43"/>
    <w:rsid w:val="BEF75EAB"/>
    <w:rsid w:val="BF5C4BE2"/>
    <w:rsid w:val="BF799A54"/>
    <w:rsid w:val="BFEFF6E6"/>
    <w:rsid w:val="CA92F4BC"/>
    <w:rsid w:val="CCEB34CE"/>
    <w:rsid w:val="CF3BF9B5"/>
    <w:rsid w:val="CF961CF5"/>
    <w:rsid w:val="CFD8FF3C"/>
    <w:rsid w:val="CFFFA795"/>
    <w:rsid w:val="D16F47F8"/>
    <w:rsid w:val="D3EB108D"/>
    <w:rsid w:val="D6F98486"/>
    <w:rsid w:val="D7BF5395"/>
    <w:rsid w:val="D7DDAF49"/>
    <w:rsid w:val="D97F0285"/>
    <w:rsid w:val="DAFDEBEF"/>
    <w:rsid w:val="DBE6C1C7"/>
    <w:rsid w:val="DDB16630"/>
    <w:rsid w:val="DDF38699"/>
    <w:rsid w:val="DDF83CA2"/>
    <w:rsid w:val="DE734644"/>
    <w:rsid w:val="DEFF1392"/>
    <w:rsid w:val="DF3EEB7D"/>
    <w:rsid w:val="DF979C8F"/>
    <w:rsid w:val="DFB2F4B9"/>
    <w:rsid w:val="DFBD4793"/>
    <w:rsid w:val="DFDD6247"/>
    <w:rsid w:val="E28EE668"/>
    <w:rsid w:val="E2EA0EE1"/>
    <w:rsid w:val="E3778B81"/>
    <w:rsid w:val="E3FA6AF7"/>
    <w:rsid w:val="E53F2348"/>
    <w:rsid w:val="E67D222D"/>
    <w:rsid w:val="E6FF8610"/>
    <w:rsid w:val="E74ECA0D"/>
    <w:rsid w:val="E7BF4EE4"/>
    <w:rsid w:val="EA82E028"/>
    <w:rsid w:val="EAFDB2F8"/>
    <w:rsid w:val="ED1F2FFB"/>
    <w:rsid w:val="EDF7B99B"/>
    <w:rsid w:val="EECF7E09"/>
    <w:rsid w:val="EF770C06"/>
    <w:rsid w:val="EF958878"/>
    <w:rsid w:val="EFAF0738"/>
    <w:rsid w:val="EFB78CE3"/>
    <w:rsid w:val="EFBCC380"/>
    <w:rsid w:val="EFD1255B"/>
    <w:rsid w:val="EFD38078"/>
    <w:rsid w:val="EFD73C77"/>
    <w:rsid w:val="EFDF6C6F"/>
    <w:rsid w:val="EFEF1CDB"/>
    <w:rsid w:val="EFFA83A1"/>
    <w:rsid w:val="EFFEF2CE"/>
    <w:rsid w:val="EFFF227D"/>
    <w:rsid w:val="F3624213"/>
    <w:rsid w:val="F3B7BD89"/>
    <w:rsid w:val="F4BACED5"/>
    <w:rsid w:val="F5DABB3C"/>
    <w:rsid w:val="F5FB0484"/>
    <w:rsid w:val="F6B664DB"/>
    <w:rsid w:val="F6EDE66E"/>
    <w:rsid w:val="F6FA612C"/>
    <w:rsid w:val="F74F60BF"/>
    <w:rsid w:val="F7751AEF"/>
    <w:rsid w:val="F7773F83"/>
    <w:rsid w:val="F77E13EE"/>
    <w:rsid w:val="F7AF63FA"/>
    <w:rsid w:val="F7EC367D"/>
    <w:rsid w:val="F7EFE435"/>
    <w:rsid w:val="F95F24B5"/>
    <w:rsid w:val="F9E63574"/>
    <w:rsid w:val="F9EBBCC2"/>
    <w:rsid w:val="F9EF7BA8"/>
    <w:rsid w:val="F9F7D218"/>
    <w:rsid w:val="F9FFF28F"/>
    <w:rsid w:val="FA7F533B"/>
    <w:rsid w:val="FAFB382C"/>
    <w:rsid w:val="FB7FA4DC"/>
    <w:rsid w:val="FBC789CB"/>
    <w:rsid w:val="FBF71857"/>
    <w:rsid w:val="FBF71C2A"/>
    <w:rsid w:val="FBFD0F54"/>
    <w:rsid w:val="FBFD476E"/>
    <w:rsid w:val="FBFFA1BA"/>
    <w:rsid w:val="FBFFB725"/>
    <w:rsid w:val="FC47F8DD"/>
    <w:rsid w:val="FC7BE4EB"/>
    <w:rsid w:val="FD6F873A"/>
    <w:rsid w:val="FD7F9E17"/>
    <w:rsid w:val="FD89B113"/>
    <w:rsid w:val="FD9DEE80"/>
    <w:rsid w:val="FD9EC152"/>
    <w:rsid w:val="FDEBB855"/>
    <w:rsid w:val="FDF54CCB"/>
    <w:rsid w:val="FDFD61E6"/>
    <w:rsid w:val="FDFFA3F1"/>
    <w:rsid w:val="FE1F03DD"/>
    <w:rsid w:val="FE7F2E3C"/>
    <w:rsid w:val="FE7FB0A1"/>
    <w:rsid w:val="FE9E9CBB"/>
    <w:rsid w:val="FEABC58E"/>
    <w:rsid w:val="FEBBDAB3"/>
    <w:rsid w:val="FEDFEEA0"/>
    <w:rsid w:val="FEEBF1FA"/>
    <w:rsid w:val="FEFF2669"/>
    <w:rsid w:val="FEFF2DC1"/>
    <w:rsid w:val="FF0A8F98"/>
    <w:rsid w:val="FF75DB87"/>
    <w:rsid w:val="FF79C1AE"/>
    <w:rsid w:val="FF7E78D3"/>
    <w:rsid w:val="FF7F12D1"/>
    <w:rsid w:val="FFAF90D0"/>
    <w:rsid w:val="FFB7DF93"/>
    <w:rsid w:val="FFBFABDB"/>
    <w:rsid w:val="FFD2C020"/>
    <w:rsid w:val="FFD6448C"/>
    <w:rsid w:val="FFDB3DDD"/>
    <w:rsid w:val="FFDF9FC7"/>
    <w:rsid w:val="FFDFE175"/>
    <w:rsid w:val="FFE75961"/>
    <w:rsid w:val="FFE7D4FC"/>
    <w:rsid w:val="FFEFA5BF"/>
    <w:rsid w:val="FFF60D2B"/>
    <w:rsid w:val="FFF701CD"/>
    <w:rsid w:val="FFFC99A1"/>
    <w:rsid w:val="FFFDBB4A"/>
    <w:rsid w:val="FFFF3FC3"/>
    <w:rsid w:val="FFFFA4BA"/>
    <w:rsid w:val="00006F19"/>
    <w:rsid w:val="00014418"/>
    <w:rsid w:val="00014887"/>
    <w:rsid w:val="00020CC3"/>
    <w:rsid w:val="00023806"/>
    <w:rsid w:val="00042C1E"/>
    <w:rsid w:val="00057A7B"/>
    <w:rsid w:val="00063ADA"/>
    <w:rsid w:val="00071600"/>
    <w:rsid w:val="00074988"/>
    <w:rsid w:val="00083BC5"/>
    <w:rsid w:val="000923EF"/>
    <w:rsid w:val="000B5CC1"/>
    <w:rsid w:val="0012690B"/>
    <w:rsid w:val="00130DA3"/>
    <w:rsid w:val="00144F30"/>
    <w:rsid w:val="0015250A"/>
    <w:rsid w:val="00152FE2"/>
    <w:rsid w:val="001864D1"/>
    <w:rsid w:val="001B0575"/>
    <w:rsid w:val="002345CD"/>
    <w:rsid w:val="002355E7"/>
    <w:rsid w:val="00267167"/>
    <w:rsid w:val="00296DA0"/>
    <w:rsid w:val="002A11A8"/>
    <w:rsid w:val="002D0A46"/>
    <w:rsid w:val="002D37A0"/>
    <w:rsid w:val="002F0A82"/>
    <w:rsid w:val="0030735A"/>
    <w:rsid w:val="003128F4"/>
    <w:rsid w:val="0031623C"/>
    <w:rsid w:val="00324B8F"/>
    <w:rsid w:val="00364011"/>
    <w:rsid w:val="00372FD8"/>
    <w:rsid w:val="0038713B"/>
    <w:rsid w:val="003C22C8"/>
    <w:rsid w:val="003D25C2"/>
    <w:rsid w:val="003E055B"/>
    <w:rsid w:val="003F3002"/>
    <w:rsid w:val="00411D02"/>
    <w:rsid w:val="004817FF"/>
    <w:rsid w:val="00483BF9"/>
    <w:rsid w:val="004B3E15"/>
    <w:rsid w:val="004F75A3"/>
    <w:rsid w:val="00504BDD"/>
    <w:rsid w:val="0055452E"/>
    <w:rsid w:val="00566FAE"/>
    <w:rsid w:val="00575F95"/>
    <w:rsid w:val="00580BFA"/>
    <w:rsid w:val="0058647B"/>
    <w:rsid w:val="005E42AD"/>
    <w:rsid w:val="005F19D7"/>
    <w:rsid w:val="00601789"/>
    <w:rsid w:val="00626ACA"/>
    <w:rsid w:val="006365F7"/>
    <w:rsid w:val="006B036C"/>
    <w:rsid w:val="006C13BA"/>
    <w:rsid w:val="006E378A"/>
    <w:rsid w:val="006F75CB"/>
    <w:rsid w:val="00704FB7"/>
    <w:rsid w:val="00725138"/>
    <w:rsid w:val="00753977"/>
    <w:rsid w:val="00790E27"/>
    <w:rsid w:val="007C1074"/>
    <w:rsid w:val="00800962"/>
    <w:rsid w:val="00802E78"/>
    <w:rsid w:val="0086069C"/>
    <w:rsid w:val="00861823"/>
    <w:rsid w:val="00870E78"/>
    <w:rsid w:val="00877B97"/>
    <w:rsid w:val="00897254"/>
    <w:rsid w:val="008A24EA"/>
    <w:rsid w:val="008D16A9"/>
    <w:rsid w:val="008D1BD0"/>
    <w:rsid w:val="008D7D9D"/>
    <w:rsid w:val="008F15F6"/>
    <w:rsid w:val="00917ACE"/>
    <w:rsid w:val="00974ABF"/>
    <w:rsid w:val="00982647"/>
    <w:rsid w:val="00987ABF"/>
    <w:rsid w:val="00996ABC"/>
    <w:rsid w:val="00996DA6"/>
    <w:rsid w:val="009A7C7B"/>
    <w:rsid w:val="009B1297"/>
    <w:rsid w:val="00A043F2"/>
    <w:rsid w:val="00A133C7"/>
    <w:rsid w:val="00A144A9"/>
    <w:rsid w:val="00A319AB"/>
    <w:rsid w:val="00A342BF"/>
    <w:rsid w:val="00AA0F76"/>
    <w:rsid w:val="00AA3B50"/>
    <w:rsid w:val="00AF11F2"/>
    <w:rsid w:val="00B06C78"/>
    <w:rsid w:val="00B101C2"/>
    <w:rsid w:val="00B32972"/>
    <w:rsid w:val="00B40CD2"/>
    <w:rsid w:val="00B4327F"/>
    <w:rsid w:val="00B54AF1"/>
    <w:rsid w:val="00B800C7"/>
    <w:rsid w:val="00B80CC1"/>
    <w:rsid w:val="00B84025"/>
    <w:rsid w:val="00BC1236"/>
    <w:rsid w:val="00BF42DA"/>
    <w:rsid w:val="00C17E63"/>
    <w:rsid w:val="00C255FF"/>
    <w:rsid w:val="00C312CE"/>
    <w:rsid w:val="00C42EA6"/>
    <w:rsid w:val="00C442AD"/>
    <w:rsid w:val="00C529A7"/>
    <w:rsid w:val="00C77F81"/>
    <w:rsid w:val="00C94855"/>
    <w:rsid w:val="00C95D83"/>
    <w:rsid w:val="00CA3F1E"/>
    <w:rsid w:val="00CD1B1D"/>
    <w:rsid w:val="00CF4F17"/>
    <w:rsid w:val="00CF51A2"/>
    <w:rsid w:val="00D168C1"/>
    <w:rsid w:val="00D34B18"/>
    <w:rsid w:val="00D43A86"/>
    <w:rsid w:val="00D445F1"/>
    <w:rsid w:val="00D548E8"/>
    <w:rsid w:val="00D62C96"/>
    <w:rsid w:val="00DF0C00"/>
    <w:rsid w:val="00E10684"/>
    <w:rsid w:val="00E55B34"/>
    <w:rsid w:val="00E85803"/>
    <w:rsid w:val="00EB1F90"/>
    <w:rsid w:val="00EE73DE"/>
    <w:rsid w:val="00EF201D"/>
    <w:rsid w:val="00F04A28"/>
    <w:rsid w:val="00F052F1"/>
    <w:rsid w:val="00F32976"/>
    <w:rsid w:val="00F42502"/>
    <w:rsid w:val="00FD417E"/>
    <w:rsid w:val="00FE023C"/>
    <w:rsid w:val="13FD5A55"/>
    <w:rsid w:val="15ABE598"/>
    <w:rsid w:val="177B69B9"/>
    <w:rsid w:val="17B55253"/>
    <w:rsid w:val="17EE49FB"/>
    <w:rsid w:val="1DBD9B30"/>
    <w:rsid w:val="1FFF640D"/>
    <w:rsid w:val="27D286E3"/>
    <w:rsid w:val="27EAACCC"/>
    <w:rsid w:val="27FF7EAF"/>
    <w:rsid w:val="2D50DCEA"/>
    <w:rsid w:val="2E5BE081"/>
    <w:rsid w:val="36AF7992"/>
    <w:rsid w:val="376BA020"/>
    <w:rsid w:val="37BB5AC0"/>
    <w:rsid w:val="37F1F311"/>
    <w:rsid w:val="39FB4510"/>
    <w:rsid w:val="3B7E5CAF"/>
    <w:rsid w:val="3BEE42FE"/>
    <w:rsid w:val="3BFF9B3D"/>
    <w:rsid w:val="3BFFAA89"/>
    <w:rsid w:val="3CF6DF1D"/>
    <w:rsid w:val="3DB70CAE"/>
    <w:rsid w:val="3E366BFD"/>
    <w:rsid w:val="3EAB0813"/>
    <w:rsid w:val="3F6F4D6B"/>
    <w:rsid w:val="3F9F2E25"/>
    <w:rsid w:val="3FBAD250"/>
    <w:rsid w:val="3FBE4AC8"/>
    <w:rsid w:val="3FBE732B"/>
    <w:rsid w:val="3FC25EFC"/>
    <w:rsid w:val="3FDE853D"/>
    <w:rsid w:val="3FF64979"/>
    <w:rsid w:val="3FFF3C73"/>
    <w:rsid w:val="45B78666"/>
    <w:rsid w:val="475E1AD5"/>
    <w:rsid w:val="4777ED87"/>
    <w:rsid w:val="4BCB3EC6"/>
    <w:rsid w:val="4BCC35F0"/>
    <w:rsid w:val="4DFB2FAF"/>
    <w:rsid w:val="4DFF6299"/>
    <w:rsid w:val="4EF7FFA0"/>
    <w:rsid w:val="4F7D92DE"/>
    <w:rsid w:val="4F9B708F"/>
    <w:rsid w:val="4FFECB78"/>
    <w:rsid w:val="54FF8D1E"/>
    <w:rsid w:val="57BE0261"/>
    <w:rsid w:val="57FD5DFE"/>
    <w:rsid w:val="5AB3A20E"/>
    <w:rsid w:val="5BDF681C"/>
    <w:rsid w:val="5D3BE0D1"/>
    <w:rsid w:val="5D7FE0C7"/>
    <w:rsid w:val="5DBD652A"/>
    <w:rsid w:val="5F7B4C05"/>
    <w:rsid w:val="5F9BD04F"/>
    <w:rsid w:val="5FBF7DEC"/>
    <w:rsid w:val="63AC3A39"/>
    <w:rsid w:val="675122E5"/>
    <w:rsid w:val="67EFBAA1"/>
    <w:rsid w:val="67FCC47F"/>
    <w:rsid w:val="68FC68E0"/>
    <w:rsid w:val="69BFA3A0"/>
    <w:rsid w:val="6A9C4324"/>
    <w:rsid w:val="6AF32411"/>
    <w:rsid w:val="6B3EFDC5"/>
    <w:rsid w:val="6CB70C33"/>
    <w:rsid w:val="6D3FE764"/>
    <w:rsid w:val="6D9B6431"/>
    <w:rsid w:val="6DA93A6B"/>
    <w:rsid w:val="6EF1502C"/>
    <w:rsid w:val="6F23430C"/>
    <w:rsid w:val="6F371D73"/>
    <w:rsid w:val="6F5C1B5F"/>
    <w:rsid w:val="6F5D0AED"/>
    <w:rsid w:val="6FECCE6C"/>
    <w:rsid w:val="6FF7D480"/>
    <w:rsid w:val="6FFFE000"/>
    <w:rsid w:val="70A57354"/>
    <w:rsid w:val="70DE6AFF"/>
    <w:rsid w:val="71BF83AD"/>
    <w:rsid w:val="71F7D1DD"/>
    <w:rsid w:val="73F77C57"/>
    <w:rsid w:val="74B6AB89"/>
    <w:rsid w:val="75F01842"/>
    <w:rsid w:val="75FF703D"/>
    <w:rsid w:val="7671EB67"/>
    <w:rsid w:val="76EB672A"/>
    <w:rsid w:val="775D044E"/>
    <w:rsid w:val="77BE53FB"/>
    <w:rsid w:val="77DEEEDB"/>
    <w:rsid w:val="77F65532"/>
    <w:rsid w:val="77F76510"/>
    <w:rsid w:val="7853B744"/>
    <w:rsid w:val="79FB91D1"/>
    <w:rsid w:val="7A8C4D2C"/>
    <w:rsid w:val="7AD466A9"/>
    <w:rsid w:val="7AF50B6E"/>
    <w:rsid w:val="7B231325"/>
    <w:rsid w:val="7B6BE320"/>
    <w:rsid w:val="7B7B21B8"/>
    <w:rsid w:val="7BB73596"/>
    <w:rsid w:val="7BBF9140"/>
    <w:rsid w:val="7BDF46E7"/>
    <w:rsid w:val="7BFDDB35"/>
    <w:rsid w:val="7BFF2409"/>
    <w:rsid w:val="7CBB319B"/>
    <w:rsid w:val="7CD94FC5"/>
    <w:rsid w:val="7CE93377"/>
    <w:rsid w:val="7CF9E535"/>
    <w:rsid w:val="7D7E55B8"/>
    <w:rsid w:val="7D7F007F"/>
    <w:rsid w:val="7D856F1E"/>
    <w:rsid w:val="7DBC2602"/>
    <w:rsid w:val="7DDBC47E"/>
    <w:rsid w:val="7DDFE08C"/>
    <w:rsid w:val="7DFBDAE1"/>
    <w:rsid w:val="7DFDD6E8"/>
    <w:rsid w:val="7DFE42F6"/>
    <w:rsid w:val="7DFFB1E7"/>
    <w:rsid w:val="7E57C6F7"/>
    <w:rsid w:val="7EBD055D"/>
    <w:rsid w:val="7EDE589B"/>
    <w:rsid w:val="7F2E22A3"/>
    <w:rsid w:val="7F39EEBA"/>
    <w:rsid w:val="7F5EF37A"/>
    <w:rsid w:val="7F9D79C3"/>
    <w:rsid w:val="7F9EB375"/>
    <w:rsid w:val="7FAF2537"/>
    <w:rsid w:val="7FAF63A4"/>
    <w:rsid w:val="7FBBF991"/>
    <w:rsid w:val="7FBEB4A3"/>
    <w:rsid w:val="7FBFAF47"/>
    <w:rsid w:val="7FCD0E07"/>
    <w:rsid w:val="7FDE54E9"/>
    <w:rsid w:val="7FDFCDA9"/>
    <w:rsid w:val="7FDFDA36"/>
    <w:rsid w:val="7FEE482B"/>
    <w:rsid w:val="7FF3CC2E"/>
    <w:rsid w:val="7FF6CE70"/>
    <w:rsid w:val="7FFFA55C"/>
    <w:rsid w:val="7FFFDE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76E1FF8-BE2F-4A1D-B089-A8AA1AF81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pPr>
      <w:jc w:val="left"/>
    </w:pPr>
  </w:style>
  <w:style w:type="paragraph" w:styleId="a4">
    <w:name w:val="Balloon Text"/>
    <w:basedOn w:val="a"/>
    <w:link w:val="Char0"/>
    <w:qFormat/>
    <w:rPr>
      <w:sz w:val="18"/>
      <w:szCs w:val="18"/>
    </w:rPr>
  </w:style>
  <w:style w:type="paragraph" w:styleId="a5">
    <w:name w:val="footer"/>
    <w:basedOn w:val="a"/>
    <w:link w:val="Char1"/>
    <w:uiPriority w:val="99"/>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annotation subject"/>
    <w:basedOn w:val="a3"/>
    <w:next w:val="a3"/>
    <w:link w:val="Char2"/>
    <w:qFormat/>
    <w:rPr>
      <w:b/>
      <w:bCs/>
    </w:rPr>
  </w:style>
  <w:style w:type="table" w:styleId="a8">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qFormat/>
    <w:rPr>
      <w:sz w:val="21"/>
      <w:szCs w:val="21"/>
    </w:rPr>
  </w:style>
  <w:style w:type="character" w:customStyle="1" w:styleId="Char0">
    <w:name w:val="批注框文本 Char"/>
    <w:link w:val="a4"/>
    <w:qFormat/>
    <w:rPr>
      <w:rFonts w:ascii="Calibri" w:hAnsi="Calibri"/>
      <w:kern w:val="2"/>
      <w:sz w:val="18"/>
      <w:szCs w:val="18"/>
    </w:rPr>
  </w:style>
  <w:style w:type="character" w:customStyle="1" w:styleId="Char">
    <w:name w:val="批注文字 Char"/>
    <w:link w:val="a3"/>
    <w:qFormat/>
    <w:rPr>
      <w:rFonts w:ascii="Calibri" w:hAnsi="Calibri"/>
      <w:kern w:val="2"/>
      <w:sz w:val="21"/>
      <w:szCs w:val="24"/>
    </w:rPr>
  </w:style>
  <w:style w:type="character" w:customStyle="1" w:styleId="Char2">
    <w:name w:val="批注主题 Char"/>
    <w:link w:val="a7"/>
    <w:qFormat/>
    <w:rPr>
      <w:rFonts w:ascii="Calibri" w:hAnsi="Calibri"/>
      <w:b/>
      <w:bCs/>
      <w:kern w:val="2"/>
      <w:sz w:val="21"/>
      <w:szCs w:val="24"/>
    </w:rPr>
  </w:style>
  <w:style w:type="character" w:customStyle="1" w:styleId="Char1">
    <w:name w:val="页脚 Char"/>
    <w:basedOn w:val="a0"/>
    <w:link w:val="a5"/>
    <w:uiPriority w:val="99"/>
    <w:qFormat/>
    <w:rPr>
      <w:rFonts w:ascii="Calibri" w:hAnsi="Calibri"/>
      <w:kern w:val="2"/>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18</Pages>
  <Words>1343</Words>
  <Characters>7661</Characters>
  <Application>Microsoft Office Word</Application>
  <DocSecurity>0</DocSecurity>
  <Lines>63</Lines>
  <Paragraphs>17</Paragraphs>
  <ScaleCrop>false</ScaleCrop>
  <Company>Microsoft</Company>
  <LinksUpToDate>false</LinksUpToDate>
  <CharactersWithSpaces>8987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MHQ</cp:lastModifiedBy>
  <cp:revision>29</cp:revision>
  <cp:lastPrinted>2022-03-07T16:18:00Z</cp:lastPrinted>
  <dcterms:created xsi:type="dcterms:W3CDTF">2022-03-03T13:11:00Z</dcterms:created>
  <dcterms:modified xsi:type="dcterms:W3CDTF">2022-10-25T09:38:00Z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2052-11.8.2.10422</vt:lpwstr>
  </property>
  <property fmtid="{D5CDD505-2E9C-101B-9397-08002B2CF9AE}" pid="3" name="ICV">
    <vt:lpwstr>2A3EC1BAD80948C890B7E32CDF921AC4</vt:lpwstr>
  </property>
</Properties>
</file>