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60" w:lineRule="exact"/>
        <w:jc w:val="left"/>
        <w:rPr>
          <w:rFonts w:ascii="黑体" w:hAnsi="黑体" w:eastAsia="黑体"/>
          <w:sz w:val="32"/>
          <w:szCs w:val="30"/>
        </w:rPr>
      </w:pPr>
    </w:p>
    <w:p>
      <w:pPr>
        <w:widowControl/>
        <w:adjustRightInd w:val="0"/>
        <w:snapToGrid w:val="0"/>
        <w:spacing w:line="560" w:lineRule="exact"/>
        <w:jc w:val="center"/>
        <w:rPr>
          <w:rFonts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闵行区2023—2025年农民相对集中居住三年</w:t>
      </w:r>
    </w:p>
    <w:p>
      <w:pPr>
        <w:widowControl/>
        <w:adjustRightInd w:val="0"/>
        <w:snapToGrid w:val="0"/>
        <w:spacing w:line="560" w:lineRule="exact"/>
        <w:jc w:val="center"/>
        <w:rPr>
          <w:rFonts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行动计划和2023年项目实施计划</w:t>
      </w:r>
    </w:p>
    <w:p>
      <w:pPr>
        <w:overflowPunct w:val="0"/>
        <w:spacing w:line="560" w:lineRule="exact"/>
        <w:jc w:val="center"/>
        <w:rPr>
          <w:rFonts w:ascii="楷体_GB2312" w:eastAsia="楷体_GB2312"/>
          <w:sz w:val="30"/>
          <w:szCs w:val="30"/>
        </w:rPr>
      </w:pPr>
      <w:r>
        <w:rPr>
          <w:rFonts w:hint="eastAsia" w:ascii="楷体_GB2312" w:eastAsia="楷体_GB2312"/>
          <w:sz w:val="30"/>
          <w:szCs w:val="30"/>
        </w:rPr>
        <w:t>（</w:t>
      </w:r>
      <w:bookmarkStart w:id="0" w:name="_GoBack"/>
      <w:r>
        <w:rPr>
          <w:rFonts w:hint="eastAsia" w:ascii="楷体_GB2312" w:eastAsia="楷体_GB2312"/>
          <w:sz w:val="30"/>
          <w:szCs w:val="30"/>
        </w:rPr>
        <w:t>征求意见稿</w:t>
      </w:r>
      <w:bookmarkEnd w:id="0"/>
      <w:r>
        <w:rPr>
          <w:rFonts w:hint="eastAsia" w:ascii="楷体_GB2312" w:eastAsia="楷体_GB2312"/>
          <w:sz w:val="30"/>
          <w:szCs w:val="30"/>
        </w:rPr>
        <w:t>）</w:t>
      </w:r>
    </w:p>
    <w:p>
      <w:pPr>
        <w:widowControl/>
        <w:adjustRightInd w:val="0"/>
        <w:snapToGrid w:val="0"/>
        <w:spacing w:line="560" w:lineRule="exact"/>
        <w:jc w:val="center"/>
        <w:rPr>
          <w:rFonts w:ascii="方正小标宋简体" w:hAnsi="仿宋" w:eastAsia="方正小标宋简体"/>
          <w:sz w:val="36"/>
          <w:szCs w:val="36"/>
        </w:rPr>
      </w:pP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一、闵行区农村基本情况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闵行区现有9镇4街道1个工业区，114个行政村，根据2017年农村地籍调查更新数据，全区农户约2.7万户，宅基地面积536.40公顷，其中城市开发边界外83个行政村（67个跨开发边界、16个完全在开发边界外），涉及现状农户约1.9万，宅基地面积约390公顷。基于2017年农村地籍调查更新数据，开发边界外扣除近几年因减量化、农民集中居住等原因减少的宅基地后，有59个村尚有农户（1.6万户），涉及2.1万宗宅基地，宅基地总面积300公顷。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根据2035区总规，闵行乡村地区规划保留行政村7个（永丰村、光继村、汇中村、汇东村、汇南村、同心村、民主村），保护行政村3个（彭渡村、正义村、革新村）。10个村农村居民点用地规模为160公顷，规划总户数为3895户。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二、闵行区“三高两区”、零星分散户、危旧农房的存量情况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“三高两区”地区农户对改善生产生活条件的需求很迫切，是农民集中居住工作的重点对象。“十四五”时期，根据街镇上报的具有潜力的农户共6462户，其中三高两区涉及394户，危旧房涉及6035户，10户以下零星分散涉及33户。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闵行区内高压线影响范围（500kV：约6km，220kV：约60km），主要分布在浦锦街道、吴泾镇；高速公路红线两侧50米影响统计，全区仅沪蓉高速和申嘉湖高速影响范围内有宅基地分布；按高铁50米影响范围统计，全区高铁影响范围内有宅基地的仅东西联络线。</w:t>
      </w:r>
    </w:p>
    <w:p>
      <w:pPr>
        <w:widowControl/>
        <w:adjustRightInd w:val="0"/>
        <w:snapToGrid w:val="0"/>
        <w:spacing w:line="560" w:lineRule="exact"/>
        <w:jc w:val="center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表1  闵行区农村“三高两区”、危旧房、零星分散户情况汇总表</w:t>
      </w:r>
    </w:p>
    <w:tbl>
      <w:tblPr>
        <w:tblStyle w:val="9"/>
        <w:tblW w:w="4635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20"/>
        <w:gridCol w:w="3053"/>
        <w:gridCol w:w="10"/>
        <w:gridCol w:w="281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5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b/>
                <w:bCs/>
                <w:color w:val="000000"/>
                <w:kern w:val="0"/>
                <w:sz w:val="30"/>
                <w:szCs w:val="30"/>
              </w:rPr>
              <w:t>街镇</w:t>
            </w:r>
          </w:p>
        </w:tc>
        <w:tc>
          <w:tcPr>
            <w:tcW w:w="181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b/>
                <w:bCs/>
                <w:color w:val="000000"/>
                <w:kern w:val="0"/>
                <w:sz w:val="30"/>
                <w:szCs w:val="30"/>
              </w:rPr>
              <w:t>类型</w:t>
            </w:r>
          </w:p>
        </w:tc>
        <w:tc>
          <w:tcPr>
            <w:tcW w:w="1679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b/>
                <w:bCs/>
                <w:color w:val="000000"/>
                <w:kern w:val="0"/>
                <w:sz w:val="30"/>
                <w:szCs w:val="30"/>
              </w:rPr>
              <w:t>存量户数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5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浦江镇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三高两区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零星分散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危旧房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5824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浦锦街道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三高两区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188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零星分散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危旧房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吴泾镇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三高两区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206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零星分散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危旧房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颛桥镇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三高两区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零星分散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危旧房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199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梅陇镇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三高两区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零星分散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危旧房</w:t>
            </w:r>
          </w:p>
        </w:tc>
        <w:tc>
          <w:tcPr>
            <w:tcW w:w="1679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马桥镇</w:t>
            </w:r>
          </w:p>
        </w:tc>
        <w:tc>
          <w:tcPr>
            <w:tcW w:w="18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三高两区</w:t>
            </w:r>
          </w:p>
        </w:tc>
        <w:tc>
          <w:tcPr>
            <w:tcW w:w="167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零星分散</w:t>
            </w:r>
          </w:p>
        </w:tc>
        <w:tc>
          <w:tcPr>
            <w:tcW w:w="1680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危旧房</w:t>
            </w:r>
          </w:p>
        </w:tc>
        <w:tc>
          <w:tcPr>
            <w:tcW w:w="1682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华漕镇</w:t>
            </w:r>
          </w:p>
        </w:tc>
        <w:tc>
          <w:tcPr>
            <w:tcW w:w="181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三高两区</w:t>
            </w:r>
          </w:p>
        </w:tc>
        <w:tc>
          <w:tcPr>
            <w:tcW w:w="1682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零星分散</w:t>
            </w:r>
          </w:p>
        </w:tc>
        <w:tc>
          <w:tcPr>
            <w:tcW w:w="1682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500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危旧房</w:t>
            </w:r>
          </w:p>
        </w:tc>
        <w:tc>
          <w:tcPr>
            <w:tcW w:w="1682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2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合计</w:t>
            </w:r>
          </w:p>
        </w:tc>
        <w:tc>
          <w:tcPr>
            <w:tcW w:w="167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30"/>
                <w:szCs w:val="30"/>
              </w:rPr>
              <w:t>6462</w:t>
            </w:r>
          </w:p>
        </w:tc>
      </w:tr>
    </w:tbl>
    <w:p>
      <w:pPr>
        <w:adjustRightInd w:val="0"/>
        <w:snapToGrid w:val="0"/>
        <w:spacing w:line="560" w:lineRule="exact"/>
        <w:ind w:firstLine="600" w:firstLineChars="200"/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三、2019—2022年项目情况分析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楷体_GB2312" w:hAnsi="楷体_GB2312" w:eastAsia="楷体_GB2312" w:cs="楷体_GB2312"/>
          <w:sz w:val="30"/>
          <w:szCs w:val="30"/>
        </w:rPr>
      </w:pPr>
      <w:r>
        <w:rPr>
          <w:rFonts w:hint="eastAsia" w:ascii="楷体_GB2312" w:hAnsi="楷体_GB2312" w:eastAsia="楷体_GB2312" w:cs="楷体_GB2312"/>
          <w:sz w:val="30"/>
          <w:szCs w:val="30"/>
        </w:rPr>
        <w:t>（一）历年完成情况统计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经梳理，2019—2022年闵行区共开展11个农民相对集中居住项目实施方案（其中6个已获得市级批复），方案户数共计3014户，含分户210户，可计权证户数2804户。</w:t>
      </w:r>
    </w:p>
    <w:p>
      <w:pPr>
        <w:adjustRightInd w:val="0"/>
        <w:snapToGrid w:val="0"/>
        <w:spacing w:line="560" w:lineRule="exact"/>
        <w:jc w:val="center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表2  2019—2022年闵行区农民相对集中居住项目完成情况</w:t>
      </w:r>
    </w:p>
    <w:tbl>
      <w:tblPr>
        <w:tblStyle w:val="9"/>
        <w:tblW w:w="478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6"/>
        <w:gridCol w:w="1873"/>
        <w:gridCol w:w="2267"/>
        <w:gridCol w:w="22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06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30"/>
                <w:szCs w:val="30"/>
              </w:rPr>
              <w:t>年份</w:t>
            </w: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30"/>
                <w:szCs w:val="30"/>
              </w:rPr>
              <w:t>街镇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30"/>
                <w:szCs w:val="30"/>
              </w:rPr>
              <w:t>方案户数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30"/>
                <w:szCs w:val="30"/>
              </w:rPr>
              <w:t>可计权证数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306" w:type="pct"/>
            <w:vMerge w:val="restar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2019</w:t>
            </w:r>
            <w:r>
              <w:rPr>
                <w:rFonts w:hint="eastAsia" w:ascii="仿宋_GB2312" w:hAnsi="宋体" w:eastAsia="仿宋_GB2312" w:cs="Times New Roman"/>
                <w:color w:val="000000"/>
                <w:kern w:val="0"/>
                <w:sz w:val="30"/>
                <w:szCs w:val="30"/>
              </w:rPr>
              <w:t>年</w:t>
            </w: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浦江镇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195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195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306" w:type="pct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马桥镇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266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250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306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2020</w:t>
            </w:r>
            <w:r>
              <w:rPr>
                <w:rFonts w:hint="eastAsia" w:ascii="仿宋_GB2312" w:hAnsi="宋体" w:eastAsia="仿宋_GB2312" w:cs="Times New Roman"/>
                <w:color w:val="000000"/>
                <w:kern w:val="0"/>
                <w:sz w:val="30"/>
                <w:szCs w:val="30"/>
              </w:rPr>
              <w:t>年</w:t>
            </w: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马桥镇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519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448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40" w:hRule="atLeast"/>
          <w:jc w:val="center"/>
        </w:trPr>
        <w:tc>
          <w:tcPr>
            <w:tcW w:w="1306" w:type="pct"/>
            <w:vMerge w:val="restar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2021</w:t>
            </w:r>
            <w:r>
              <w:rPr>
                <w:rFonts w:hint="eastAsia" w:ascii="仿宋_GB2312" w:hAnsi="宋体" w:eastAsia="仿宋_GB2312" w:cs="Times New Roman"/>
                <w:color w:val="000000"/>
                <w:kern w:val="0"/>
                <w:sz w:val="30"/>
                <w:szCs w:val="30"/>
              </w:rPr>
              <w:t>年</w:t>
            </w: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浦江镇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561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529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306" w:type="pct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梅陇镇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79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306" w:type="pct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浦锦街道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481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456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40" w:hRule="atLeast"/>
          <w:jc w:val="center"/>
        </w:trPr>
        <w:tc>
          <w:tcPr>
            <w:tcW w:w="1306" w:type="pct"/>
            <w:vMerge w:val="restar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2022</w:t>
            </w:r>
            <w:r>
              <w:rPr>
                <w:rFonts w:hint="eastAsia" w:ascii="仿宋_GB2312" w:hAnsi="宋体" w:eastAsia="仿宋_GB2312" w:cs="Times New Roman"/>
                <w:color w:val="000000"/>
                <w:kern w:val="0"/>
                <w:sz w:val="30"/>
                <w:szCs w:val="30"/>
              </w:rPr>
              <w:t>年</w:t>
            </w: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浦江镇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219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212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306" w:type="pct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梅陇镇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65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306" w:type="pct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马桥镇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121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306" w:type="pct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颛桥镇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105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306" w:type="pct"/>
            <w:vMerge w:val="continue"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078" w:type="pct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浦锦街道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403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373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385" w:type="pct"/>
            <w:gridSpan w:val="2"/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0"/>
                <w:szCs w:val="30"/>
              </w:rPr>
              <w:t>合计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3014</w:t>
            </w:r>
          </w:p>
        </w:tc>
        <w:tc>
          <w:tcPr>
            <w:tcW w:w="1307" w:type="pct"/>
            <w:shd w:val="clear" w:color="auto" w:fill="auto"/>
            <w:noWrap/>
            <w:vAlign w:val="center"/>
          </w:tcPr>
          <w:p>
            <w:pPr>
              <w:spacing w:line="42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color w:val="000000"/>
                <w:kern w:val="0"/>
                <w:sz w:val="30"/>
                <w:szCs w:val="30"/>
              </w:rPr>
              <w:t>2804</w:t>
            </w:r>
          </w:p>
        </w:tc>
      </w:tr>
    </w:tbl>
    <w:p>
      <w:pPr>
        <w:adjustRightInd w:val="0"/>
        <w:snapToGrid w:val="0"/>
        <w:spacing w:line="560" w:lineRule="exact"/>
        <w:ind w:firstLine="600" w:firstLineChars="200"/>
        <w:rPr>
          <w:rFonts w:ascii="楷体_GB2312" w:hAnsi="楷体_GB2312" w:eastAsia="楷体_GB2312" w:cs="楷体_GB2312"/>
          <w:sz w:val="30"/>
          <w:szCs w:val="30"/>
        </w:rPr>
      </w:pPr>
      <w:r>
        <w:rPr>
          <w:rFonts w:hint="eastAsia" w:ascii="楷体_GB2312" w:hAnsi="楷体_GB2312" w:eastAsia="楷体_GB2312" w:cs="楷体_GB2312"/>
          <w:sz w:val="30"/>
          <w:szCs w:val="30"/>
        </w:rPr>
        <w:t>（二）建设进度及安排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截至2022年12月中旬，2019—2022年闵行区开展的农民相对集中居住项目建设进度如下：</w:t>
      </w:r>
    </w:p>
    <w:p>
      <w:pPr>
        <w:adjustRightInd w:val="0"/>
        <w:snapToGrid w:val="0"/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2019年项目进度：浦江镇</w:t>
      </w:r>
      <w:r>
        <w:rPr>
          <w:rFonts w:hint="eastAsia" w:ascii="仿宋_GB2312" w:hAnsi="仿宋_GB2312" w:eastAsia="仿宋_GB2312" w:cs="仿宋_GB2312"/>
          <w:sz w:val="30"/>
          <w:szCs w:val="30"/>
        </w:rPr>
        <w:t>95户上楼户和107户平移户均已完成入住，入住率100%；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马桥镇</w:t>
      </w:r>
      <w:r>
        <w:rPr>
          <w:rFonts w:hint="eastAsia" w:ascii="仿宋_GB2312" w:hAnsi="仿宋_GB2312" w:eastAsia="仿宋_GB2312" w:cs="仿宋_GB2312"/>
          <w:sz w:val="30"/>
          <w:szCs w:val="30"/>
        </w:rPr>
        <w:t>228户上楼户中6户现房已入住，入住率3%，剩余222户在外过渡，期房涉及马桥镇MHC10803单元26A-08A地块，目前处于在建状态，预计于2022年底建成；38户平移户均已完成入住，入住率100%。</w:t>
      </w:r>
    </w:p>
    <w:p>
      <w:pPr>
        <w:adjustRightInd w:val="0"/>
        <w:snapToGrid w:val="0"/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2020年项目进度：马桥镇</w:t>
      </w:r>
      <w:r>
        <w:rPr>
          <w:rFonts w:hint="eastAsia" w:ascii="仿宋_GB2312" w:hAnsi="仿宋_GB2312" w:eastAsia="仿宋_GB2312" w:cs="仿宋_GB2312"/>
          <w:sz w:val="30"/>
          <w:szCs w:val="30"/>
        </w:rPr>
        <w:t>457户上楼户中8户现房已入住，入住率2%，剩余449户在外过渡，期房为2019年项目同一地块；61户平移户中已竣工验收58户，同心村已入住3户，民主村已入住53户，入住率92%；另外3户已开工建设。</w:t>
      </w:r>
    </w:p>
    <w:p>
      <w:pPr>
        <w:adjustRightInd w:val="0"/>
        <w:snapToGrid w:val="0"/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2021年项目进度：梅陇镇</w:t>
      </w:r>
      <w:r>
        <w:rPr>
          <w:rFonts w:hint="eastAsia" w:ascii="仿宋_GB2312" w:hAnsi="仿宋_GB2312" w:eastAsia="仿宋_GB2312" w:cs="仿宋_GB2312"/>
          <w:sz w:val="30"/>
          <w:szCs w:val="30"/>
        </w:rPr>
        <w:t>79户上楼户均已完成入住；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浦江镇</w:t>
      </w:r>
      <w:r>
        <w:rPr>
          <w:rFonts w:hint="eastAsia" w:ascii="仿宋_GB2312" w:hAnsi="仿宋_GB2312" w:eastAsia="仿宋_GB2312" w:cs="仿宋_GB2312"/>
          <w:sz w:val="30"/>
          <w:szCs w:val="30"/>
        </w:rPr>
        <w:t>561户上楼户中471户已完成入住，入住率84%，剩余90户原址过渡，期房涉及浦江郊野公园类集建区10街坊10-14地块，目前处于在建状态，预计于2023年初建成；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浦锦街道</w:t>
      </w:r>
      <w:r>
        <w:rPr>
          <w:rFonts w:hint="eastAsia" w:ascii="仿宋_GB2312" w:hAnsi="仿宋_GB2312" w:eastAsia="仿宋_GB2312" w:cs="仿宋_GB2312"/>
          <w:sz w:val="30"/>
          <w:szCs w:val="30"/>
        </w:rPr>
        <w:t>481户上楼户中328户已完成入住，入住率68%，剩余154户原址过渡，期房涉及浦江社区02单元（MHP0-1302）26街坊26-1地块，2022年2月取得施工许可证，预计于2024年底建成。</w:t>
      </w:r>
    </w:p>
    <w:p>
      <w:pPr>
        <w:adjustRightInd w:val="0"/>
        <w:snapToGrid w:val="0"/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2022年项目进度：浦江镇</w:t>
      </w:r>
      <w:r>
        <w:rPr>
          <w:rFonts w:hint="eastAsia" w:ascii="仿宋_GB2312" w:hAnsi="仿宋_GB2312" w:eastAsia="仿宋_GB2312" w:cs="仿宋_GB2312"/>
          <w:sz w:val="30"/>
          <w:szCs w:val="30"/>
        </w:rPr>
        <w:t>219户上楼户中，91户完成入住，目前入住率42%，其余128户中100户现房安置预计2023年初入住，全期房的28户原址过渡，期房涉及浦江郊野公园类集建区10街坊10-13地块，目前处于在建状态，预计于2023年初建成；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浦锦街道</w:t>
      </w:r>
      <w:r>
        <w:rPr>
          <w:rFonts w:hint="eastAsia" w:ascii="仿宋_GB2312" w:hAnsi="仿宋_GB2312" w:eastAsia="仿宋_GB2312" w:cs="仿宋_GB2312"/>
          <w:sz w:val="30"/>
          <w:szCs w:val="30"/>
        </w:rPr>
        <w:t>387户上楼户待2023年春节后办理入户事宜，暂时统一原址过渡，期房涉及浦江社区02单元（MHP0-1302）26街坊26-1地块，2022年2月取得施工许可证，预计于2024年底建成；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马桥镇</w:t>
      </w:r>
      <w:r>
        <w:rPr>
          <w:rFonts w:hint="eastAsia" w:ascii="仿宋_GB2312" w:hAnsi="仿宋_GB2312" w:eastAsia="仿宋_GB2312" w:cs="仿宋_GB2312"/>
          <w:sz w:val="30"/>
          <w:szCs w:val="30"/>
        </w:rPr>
        <w:t>已签约97户上楼户，期房为2019年项目同一地块，0户入住，13户平移户已开工建设；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梅陇镇</w:t>
      </w:r>
      <w:r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65户上楼户目前原址过渡，计划</w:t>
      </w:r>
      <w:r>
        <w:rPr>
          <w:rFonts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2023</w:t>
      </w:r>
      <w:r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年1月中下旬基本完成办理农户进户工作，均采用现房安置</w:t>
      </w:r>
      <w:r>
        <w:rPr>
          <w:rFonts w:hint="eastAsia" w:ascii="仿宋_GB2312" w:hAnsi="仿宋_GB2312" w:eastAsia="仿宋_GB2312" w:cs="仿宋_GB2312"/>
          <w:sz w:val="30"/>
          <w:szCs w:val="30"/>
        </w:rPr>
        <w:t>；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颛桥镇</w:t>
      </w:r>
      <w:r>
        <w:rPr>
          <w:rFonts w:hint="eastAsia" w:ascii="仿宋_GB2312" w:hAnsi="仿宋_GB2312" w:eastAsia="仿宋_GB2312" w:cs="仿宋_GB2312"/>
          <w:sz w:val="30"/>
          <w:szCs w:val="30"/>
        </w:rPr>
        <w:t>105户上楼户中74户已完成入住，入住率70%，剩余31户原址过渡，期房涉及中心生态园09-03、10-02地块，预计于2022年底建成。</w:t>
      </w:r>
    </w:p>
    <w:p>
      <w:pPr>
        <w:widowControl/>
        <w:adjustRightInd w:val="0"/>
        <w:snapToGrid w:val="0"/>
        <w:spacing w:line="560" w:lineRule="exact"/>
        <w:jc w:val="center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表3  2019—2022年闵行区农民相对集中居住项目建设进度</w:t>
      </w:r>
    </w:p>
    <w:tbl>
      <w:tblPr>
        <w:tblStyle w:val="9"/>
        <w:tblW w:w="5470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4"/>
        <w:gridCol w:w="1308"/>
        <w:gridCol w:w="837"/>
        <w:gridCol w:w="837"/>
        <w:gridCol w:w="837"/>
        <w:gridCol w:w="837"/>
        <w:gridCol w:w="837"/>
        <w:gridCol w:w="835"/>
        <w:gridCol w:w="843"/>
        <w:gridCol w:w="843"/>
        <w:gridCol w:w="91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57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项目</w:t>
            </w:r>
          </w:p>
        </w:tc>
        <w:tc>
          <w:tcPr>
            <w:tcW w:w="2531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拆旧区</w:t>
            </w:r>
          </w:p>
        </w:tc>
        <w:tc>
          <w:tcPr>
            <w:tcW w:w="131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安置区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1157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宣传动员阶段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签订协议阶段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搬迁补偿阶段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整理复垦阶段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验收</w:t>
            </w:r>
          </w:p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阶段</w:t>
            </w: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变更</w:t>
            </w:r>
          </w:p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确权</w:t>
            </w:r>
          </w:p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阶段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资料收集阶段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房源选择阶段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搬迁</w:t>
            </w:r>
          </w:p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入住</w:t>
            </w:r>
          </w:p>
          <w:p>
            <w:pPr>
              <w:widowControl/>
              <w:spacing w:line="34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b/>
                <w:bCs/>
                <w:color w:val="000000"/>
                <w:kern w:val="0"/>
                <w:sz w:val="30"/>
                <w:szCs w:val="30"/>
              </w:rPr>
              <w:t>阶段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97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2019年</w:t>
            </w:r>
          </w:p>
        </w:tc>
        <w:tc>
          <w:tcPr>
            <w:tcW w:w="6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浦江镇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9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6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马桥镇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210" w:leftChars="-100" w:right="-210" w:rightChars="-10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进行中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2020年</w:t>
            </w:r>
          </w:p>
        </w:tc>
        <w:tc>
          <w:tcPr>
            <w:tcW w:w="6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马桥镇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进行中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97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2021年</w:t>
            </w:r>
          </w:p>
        </w:tc>
        <w:tc>
          <w:tcPr>
            <w:tcW w:w="6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浦江镇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进行中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9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6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梅陇镇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9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6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浦锦街道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进行中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97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2022年</w:t>
            </w:r>
          </w:p>
        </w:tc>
        <w:tc>
          <w:tcPr>
            <w:tcW w:w="6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浦江镇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97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6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梅陇镇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97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6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马桥镇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97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6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颛桥镇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  <w:t>√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97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6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kern w:val="0"/>
                <w:sz w:val="30"/>
                <w:szCs w:val="30"/>
              </w:rPr>
              <w:t>浦锦街道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kern w:val="0"/>
                <w:sz w:val="30"/>
                <w:szCs w:val="30"/>
              </w:rPr>
              <w:t>√</w:t>
            </w: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kern w:val="0"/>
                <w:sz w:val="30"/>
                <w:szCs w:val="30"/>
              </w:rPr>
            </w:pP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kern w:val="0"/>
                <w:sz w:val="30"/>
                <w:szCs w:val="30"/>
              </w:rPr>
            </w:pPr>
          </w:p>
        </w:tc>
        <w:tc>
          <w:tcPr>
            <w:tcW w:w="4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kern w:val="0"/>
                <w:sz w:val="30"/>
                <w:szCs w:val="30"/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kern w:val="0"/>
                <w:sz w:val="30"/>
                <w:szCs w:val="30"/>
              </w:rPr>
            </w:pP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kern w:val="0"/>
                <w:sz w:val="30"/>
                <w:szCs w:val="30"/>
              </w:rPr>
              <w:t>√</w:t>
            </w:r>
          </w:p>
        </w:tc>
        <w:tc>
          <w:tcPr>
            <w:tcW w:w="4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Times New Roman" w:hAnsiTheme="minorEastAsia"/>
                <w:kern w:val="0"/>
                <w:sz w:val="30"/>
                <w:szCs w:val="30"/>
              </w:rPr>
              <w:t>√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ind w:left="-105" w:leftChars="-50" w:right="-105" w:rightChars="-50"/>
              <w:jc w:val="center"/>
              <w:rPr>
                <w:rFonts w:ascii="仿宋_GB2312" w:eastAsia="仿宋_GB2312" w:cs="Times New Roman" w:hAnsiTheme="minorEastAsia"/>
                <w:kern w:val="0"/>
                <w:sz w:val="30"/>
                <w:szCs w:val="30"/>
              </w:rPr>
            </w:pPr>
          </w:p>
        </w:tc>
      </w:tr>
    </w:tbl>
    <w:p>
      <w:pPr>
        <w:adjustRightInd w:val="0"/>
        <w:snapToGrid w:val="0"/>
        <w:spacing w:line="560" w:lineRule="exact"/>
        <w:ind w:firstLine="600" w:firstLineChars="200"/>
        <w:rPr>
          <w:rFonts w:ascii="楷体_GB2312" w:hAnsi="楷体_GB2312" w:eastAsia="楷体_GB2312" w:cs="楷体_GB2312"/>
          <w:sz w:val="30"/>
          <w:szCs w:val="30"/>
        </w:rPr>
      </w:pPr>
      <w:r>
        <w:rPr>
          <w:rFonts w:hint="eastAsia" w:ascii="楷体_GB2312" w:hAnsi="楷体_GB2312" w:eastAsia="楷体_GB2312" w:cs="楷体_GB2312"/>
          <w:sz w:val="30"/>
          <w:szCs w:val="30"/>
        </w:rPr>
        <w:t>（三）质量安全管控措施</w:t>
      </w:r>
    </w:p>
    <w:p>
      <w:pPr>
        <w:adjustRightInd w:val="0"/>
        <w:snapToGrid w:val="0"/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1.组织管控</w:t>
      </w:r>
    </w:p>
    <w:p>
      <w:pPr>
        <w:adjustRightInd w:val="0"/>
        <w:snapToGrid w:val="0"/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区级层面：</w:t>
      </w:r>
      <w:r>
        <w:rPr>
          <w:rFonts w:hint="eastAsia" w:ascii="仿宋_GB2312" w:hAnsi="仿宋_GB2312" w:eastAsia="仿宋_GB2312" w:cs="仿宋_GB2312"/>
          <w:sz w:val="30"/>
          <w:szCs w:val="30"/>
        </w:rPr>
        <w:t>成立闵行区推进农民相对集中居住工作领导小组，区政府主要领导担任组长，区分管农业农村副区长、分管建设副区长任副组长，领导小组下设办公室，办公地点设在区农业农村委，成员单位包括区委研究室、区发改委、区财政局、区农业农村委、区规划资源局、区房管局、区房屋土地征收中心（区土地储备中心）、区人社局、区医保局、区公安分局、区教育局、各相关街镇。</w:t>
      </w:r>
    </w:p>
    <w:p>
      <w:pPr>
        <w:adjustRightInd w:val="0"/>
        <w:snapToGrid w:val="0"/>
        <w:spacing w:line="560" w:lineRule="exact"/>
        <w:ind w:firstLine="602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街镇层面：</w:t>
      </w:r>
      <w:r>
        <w:rPr>
          <w:rFonts w:hint="eastAsia" w:ascii="仿宋_GB2312" w:hAnsi="仿宋_GB2312" w:eastAsia="仿宋_GB2312" w:cs="仿宋_GB2312"/>
          <w:sz w:val="30"/>
          <w:szCs w:val="30"/>
        </w:rPr>
        <w:t>在区级政策框架下，研究制定符合本镇实际的实施方案和配套政策，按照全区农民相对集中居住的任务分解目标，确定具体项目，落实安置地块，负责各自范围内农民相对集中居住具体工作的推进和落实。</w:t>
      </w:r>
    </w:p>
    <w:p>
      <w:pPr>
        <w:adjustRightInd w:val="0"/>
        <w:snapToGrid w:val="0"/>
        <w:spacing w:line="560" w:lineRule="exact"/>
        <w:ind w:firstLine="602" w:firstLineChars="200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2.保障措施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（1）工作机制方面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农民相对集中居住工作作为区委、区政府重点工作，具有较强的政策性和技术性，涉及部门众多、覆盖面较大，在实施过程中推行管理目标责任制，明确职责、细化分工，责任到人，将每项工作落实到地块和单位，并作为各级领导的政绩考核指标。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（2）严格资金管理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严格按照农民相对集中居住资金专项管理办法规定做好资金管理，根据经费预算情况，先易后难安排项目并有序推进，按照农民相对集中居住潜力评价、规划和投资规模，结合地方经济实力和自然条件的差异，有重点、分步骤、由点到面逐步开展，做到复垦一块，见效一块。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四、闵行区2023—2025年三年行动计划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根据街镇上报的“十四五”时期农民相对集中居住项目初步计划安排，浦江镇、浦锦街道、梅陇镇等街镇计划2023—2025年推进共839户农户集中居住。</w:t>
      </w:r>
    </w:p>
    <w:p>
      <w:pPr>
        <w:widowControl/>
        <w:adjustRightInd w:val="0"/>
        <w:snapToGrid w:val="0"/>
        <w:spacing w:line="560" w:lineRule="exact"/>
        <w:jc w:val="center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表4  2023—2025年闵行区农民相对集中居住三年行动计划</w:t>
      </w:r>
    </w:p>
    <w:tbl>
      <w:tblPr>
        <w:tblStyle w:val="10"/>
        <w:tblW w:w="484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7"/>
        <w:gridCol w:w="1757"/>
        <w:gridCol w:w="1757"/>
        <w:gridCol w:w="1757"/>
        <w:gridCol w:w="17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b/>
                <w:bCs/>
                <w:sz w:val="30"/>
                <w:szCs w:val="30"/>
              </w:rPr>
              <w:t>年份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b/>
                <w:bCs/>
                <w:sz w:val="30"/>
                <w:szCs w:val="30"/>
              </w:rPr>
              <w:t>三高两区（户）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b/>
                <w:bCs/>
                <w:sz w:val="30"/>
                <w:szCs w:val="30"/>
              </w:rPr>
              <w:t>零星分散（户）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b/>
                <w:bCs/>
                <w:sz w:val="30"/>
                <w:szCs w:val="30"/>
              </w:rPr>
              <w:t>危旧房</w:t>
            </w:r>
          </w:p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b/>
                <w:bCs/>
                <w:sz w:val="30"/>
                <w:szCs w:val="30"/>
              </w:rPr>
              <w:t>（户）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b/>
                <w:bCs/>
                <w:sz w:val="30"/>
                <w:szCs w:val="30"/>
              </w:rPr>
              <w:t>计划数</w:t>
            </w:r>
          </w:p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b/>
                <w:bCs/>
                <w:sz w:val="30"/>
                <w:szCs w:val="30"/>
              </w:rPr>
              <w:t>（户）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2023年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20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8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302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449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2024年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10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5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102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ascii="仿宋_GB2312" w:hAnsi="Times New Roman" w:eastAsia="仿宋_GB2312" w:cs="Times New Roman"/>
                <w:sz w:val="30"/>
                <w:szCs w:val="30"/>
              </w:rPr>
              <w:t>245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2025年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5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2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103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sz w:val="30"/>
                <w:szCs w:val="30"/>
              </w:rPr>
              <w:t>145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b/>
                <w:bCs/>
                <w:sz w:val="30"/>
                <w:szCs w:val="30"/>
              </w:rPr>
              <w:t>合计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b/>
                <w:bCs/>
                <w:sz w:val="30"/>
                <w:szCs w:val="30"/>
              </w:rPr>
              <w:t>35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b/>
                <w:bCs/>
                <w:sz w:val="30"/>
                <w:szCs w:val="30"/>
              </w:rPr>
              <w:t>15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b/>
                <w:bCs/>
                <w:sz w:val="30"/>
                <w:szCs w:val="30"/>
              </w:rPr>
              <w:t>507</w:t>
            </w:r>
          </w:p>
        </w:tc>
        <w:tc>
          <w:tcPr>
            <w:tcW w:w="1000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</w:pPr>
            <w:r>
              <w:rPr>
                <w:rFonts w:ascii="仿宋_GB2312" w:hAnsi="Times New Roman" w:eastAsia="仿宋_GB2312" w:cs="Times New Roman"/>
                <w:b/>
                <w:bCs/>
                <w:sz w:val="30"/>
                <w:szCs w:val="30"/>
              </w:rPr>
              <w:t>839</w:t>
            </w:r>
          </w:p>
        </w:tc>
      </w:tr>
    </w:tbl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五、2023年项目实施计划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根据各街镇梳理上报的2023年闵行区农民相对集中居住计划，明年计划推进449户农民集中居住，其中20户为“三高两区”范围内农户、8户为零星分散农户、302户为危旧房农户。</w:t>
      </w:r>
    </w:p>
    <w:p>
      <w:pPr>
        <w:widowControl/>
        <w:adjustRightInd w:val="0"/>
        <w:snapToGrid w:val="0"/>
        <w:spacing w:line="560" w:lineRule="exact"/>
        <w:jc w:val="center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表5  2023年闵行区农民相对集中居住项目实施计划</w:t>
      </w:r>
    </w:p>
    <w:tbl>
      <w:tblPr>
        <w:tblStyle w:val="10"/>
        <w:tblW w:w="494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306"/>
        <w:gridCol w:w="1699"/>
        <w:gridCol w:w="1701"/>
        <w:gridCol w:w="1701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73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序号</w:t>
            </w:r>
          </w:p>
        </w:tc>
        <w:tc>
          <w:tcPr>
            <w:tcW w:w="728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街镇</w:t>
            </w:r>
          </w:p>
        </w:tc>
        <w:tc>
          <w:tcPr>
            <w:tcW w:w="948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三高两区（户）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零星分散（户）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危旧房（户）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计划数（户）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73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1</w:t>
            </w:r>
          </w:p>
        </w:tc>
        <w:tc>
          <w:tcPr>
            <w:tcW w:w="728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浦江镇</w:t>
            </w:r>
          </w:p>
        </w:tc>
        <w:tc>
          <w:tcPr>
            <w:tcW w:w="948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0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0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100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73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2</w:t>
            </w:r>
          </w:p>
        </w:tc>
        <w:tc>
          <w:tcPr>
            <w:tcW w:w="728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浦锦街道</w:t>
            </w:r>
          </w:p>
        </w:tc>
        <w:tc>
          <w:tcPr>
            <w:tcW w:w="948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20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8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3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73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3</w:t>
            </w:r>
          </w:p>
        </w:tc>
        <w:tc>
          <w:tcPr>
            <w:tcW w:w="728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梅陇镇</w:t>
            </w:r>
          </w:p>
        </w:tc>
        <w:tc>
          <w:tcPr>
            <w:tcW w:w="948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0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0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0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73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4</w:t>
            </w:r>
          </w:p>
        </w:tc>
        <w:tc>
          <w:tcPr>
            <w:tcW w:w="728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颛桥镇</w:t>
            </w:r>
          </w:p>
        </w:tc>
        <w:tc>
          <w:tcPr>
            <w:tcW w:w="948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0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0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199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ind w:left="-105" w:leftChars="-50" w:right="-105" w:rightChars="-50"/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199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02" w:type="pct"/>
            <w:gridSpan w:val="2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合计</w:t>
            </w:r>
          </w:p>
        </w:tc>
        <w:tc>
          <w:tcPr>
            <w:tcW w:w="948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20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8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302</w:t>
            </w:r>
          </w:p>
        </w:tc>
        <w:tc>
          <w:tcPr>
            <w:tcW w:w="949" w:type="pct"/>
            <w:vAlign w:val="center"/>
          </w:tcPr>
          <w:p>
            <w:pPr>
              <w:adjustRightInd w:val="0"/>
              <w:spacing w:line="420" w:lineRule="exact"/>
              <w:jc w:val="center"/>
              <w:rPr>
                <w:rFonts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449</w:t>
            </w:r>
          </w:p>
        </w:tc>
      </w:tr>
    </w:tbl>
    <w:p>
      <w:pPr>
        <w:widowControl/>
        <w:adjustRightInd w:val="0"/>
        <w:snapToGrid w:val="0"/>
        <w:spacing w:line="20" w:lineRule="exact"/>
        <w:jc w:val="left"/>
        <w:rPr>
          <w:rFonts w:ascii="仿宋_GB2312" w:hAnsi="仿宋" w:eastAsia="仿宋_GB2312"/>
          <w:sz w:val="32"/>
          <w:szCs w:val="30"/>
        </w:rPr>
      </w:pPr>
    </w:p>
    <w:p>
      <w:pPr>
        <w:widowControl/>
        <w:adjustRightInd w:val="0"/>
        <w:snapToGrid w:val="0"/>
        <w:spacing w:line="20" w:lineRule="exact"/>
        <w:jc w:val="left"/>
        <w:rPr>
          <w:rFonts w:ascii="仿宋_GB2312" w:hAnsi="仿宋" w:eastAsia="仿宋_GB2312"/>
          <w:sz w:val="32"/>
          <w:szCs w:val="30"/>
        </w:rPr>
      </w:pPr>
    </w:p>
    <w:p>
      <w:pPr>
        <w:widowControl/>
        <w:adjustRightInd w:val="0"/>
        <w:snapToGrid w:val="0"/>
        <w:spacing w:line="20" w:lineRule="exact"/>
        <w:jc w:val="left"/>
        <w:rPr>
          <w:rFonts w:ascii="仿宋_GB2312" w:hAnsi="仿宋" w:eastAsia="仿宋_GB2312"/>
          <w:sz w:val="32"/>
          <w:szCs w:val="30"/>
        </w:rPr>
      </w:pPr>
      <w:r>
        <w:rPr>
          <w:rFonts w:hint="eastAsia" w:ascii="仿宋_GB2312" w:hAnsi="仿宋" w:eastAsia="仿宋_GB2312"/>
          <w:sz w:val="32"/>
          <w:szCs w:val="30"/>
        </w:rPr>
        <w:t xml:space="preserve">       </w:t>
      </w:r>
    </w:p>
    <w:p>
      <w:pPr>
        <w:widowControl/>
        <w:adjustRightInd w:val="0"/>
        <w:snapToGrid w:val="0"/>
        <w:spacing w:line="20" w:lineRule="exact"/>
        <w:ind w:right="641"/>
        <w:rPr>
          <w:rFonts w:ascii="仿宋" w:hAnsi="仿宋" w:eastAsia="仿宋" w:cs="宋体"/>
          <w:kern w:val="0"/>
          <w:sz w:val="32"/>
          <w:szCs w:val="30"/>
        </w:rPr>
      </w:pPr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2098" w:right="1474" w:bottom="1985" w:left="1588" w:header="851" w:footer="1446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02552931"/>
    </w:sdtPr>
    <w:sdtEndPr>
      <w:rPr>
        <w:rFonts w:ascii="宋体" w:hAnsi="宋体" w:eastAsia="宋体"/>
        <w:sz w:val="28"/>
        <w:szCs w:val="28"/>
      </w:rPr>
    </w:sdtEndPr>
    <w:sdtContent>
      <w:p>
        <w:pPr>
          <w:pStyle w:val="6"/>
          <w:wordWrap w:val="0"/>
          <w:jc w:val="right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  <w:lang w:val="zh-CN"/>
          </w:rPr>
          <w:t xml:space="preserve">— 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 PAGE   \* MERGEFORMAT 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7</w:t>
        </w:r>
        <w:r>
          <w:rPr>
            <w:rFonts w:ascii="宋体" w:hAnsi="宋体" w:eastAsia="宋体"/>
            <w:sz w:val="28"/>
            <w:szCs w:val="28"/>
            <w:lang w:val="zh-CN"/>
          </w:rPr>
          <w:fldChar w:fldCharType="end"/>
        </w:r>
        <w:r>
          <w:rPr>
            <w:rFonts w:ascii="宋体" w:hAnsi="宋体" w:eastAsia="宋体"/>
            <w:sz w:val="28"/>
            <w:szCs w:val="28"/>
            <w:lang w:val="zh-CN"/>
          </w:rPr>
          <w:t xml:space="preserve"> —  </w:t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 w:firstLineChars="200"/>
      <w:rPr>
        <w:rFonts w:ascii="宋体" w:hAnsi="宋体" w:eastAsia="宋体"/>
        <w:sz w:val="28"/>
        <w:szCs w:val="28"/>
      </w:rPr>
    </w:pPr>
    <w:sdt>
      <w:sdtPr>
        <w:id w:val="-325523624"/>
      </w:sdtPr>
      <w:sdtEndPr>
        <w:rPr>
          <w:rFonts w:ascii="宋体" w:hAnsi="宋体" w:eastAsia="宋体"/>
          <w:sz w:val="28"/>
          <w:szCs w:val="28"/>
        </w:rPr>
      </w:sdtEndPr>
      <w:sdtContent>
        <w:r>
          <w:rPr>
            <w:rFonts w:ascii="宋体" w:hAnsi="宋体" w:eastAsia="宋体"/>
            <w:sz w:val="28"/>
            <w:szCs w:val="28"/>
          </w:rPr>
          <w:t xml:space="preserve">— 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6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sdtContent>
    </w:sdt>
    <w:r>
      <w:rPr>
        <w:rFonts w:ascii="宋体" w:hAnsi="宋体" w:eastAsia="宋体"/>
        <w:sz w:val="28"/>
        <w:szCs w:val="28"/>
      </w:rPr>
      <w:t xml:space="preserve"> 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mirrorMargins w:val="1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Q1NmU0NjIxMGM5ZjhkMjZmZTA3YTU3MTg0ZDQwODMifQ=="/>
  </w:docVars>
  <w:rsids>
    <w:rsidRoot w:val="007626BC"/>
    <w:rsid w:val="00000A2B"/>
    <w:rsid w:val="000120B1"/>
    <w:rsid w:val="000249C1"/>
    <w:rsid w:val="00027D2E"/>
    <w:rsid w:val="00037327"/>
    <w:rsid w:val="00050255"/>
    <w:rsid w:val="00056C32"/>
    <w:rsid w:val="00063379"/>
    <w:rsid w:val="00067F46"/>
    <w:rsid w:val="00072688"/>
    <w:rsid w:val="00077F6E"/>
    <w:rsid w:val="000A589A"/>
    <w:rsid w:val="000B4FE7"/>
    <w:rsid w:val="000C5227"/>
    <w:rsid w:val="000C6DA2"/>
    <w:rsid w:val="000D72DE"/>
    <w:rsid w:val="000E45F6"/>
    <w:rsid w:val="000F42C1"/>
    <w:rsid w:val="00101A80"/>
    <w:rsid w:val="00120F08"/>
    <w:rsid w:val="00122990"/>
    <w:rsid w:val="00124C77"/>
    <w:rsid w:val="00141CB8"/>
    <w:rsid w:val="00194C7E"/>
    <w:rsid w:val="001A1132"/>
    <w:rsid w:val="001A1612"/>
    <w:rsid w:val="001B557F"/>
    <w:rsid w:val="001E2857"/>
    <w:rsid w:val="001E48E7"/>
    <w:rsid w:val="001E5686"/>
    <w:rsid w:val="001E6D7F"/>
    <w:rsid w:val="002007E7"/>
    <w:rsid w:val="00202EA4"/>
    <w:rsid w:val="00212C39"/>
    <w:rsid w:val="00221397"/>
    <w:rsid w:val="002231FE"/>
    <w:rsid w:val="00243C1A"/>
    <w:rsid w:val="002519EC"/>
    <w:rsid w:val="00253A3F"/>
    <w:rsid w:val="00274945"/>
    <w:rsid w:val="002767F9"/>
    <w:rsid w:val="0027711B"/>
    <w:rsid w:val="002778E4"/>
    <w:rsid w:val="00282E36"/>
    <w:rsid w:val="00287F33"/>
    <w:rsid w:val="00290CFE"/>
    <w:rsid w:val="002A57DF"/>
    <w:rsid w:val="002A761E"/>
    <w:rsid w:val="002D29CC"/>
    <w:rsid w:val="003160EC"/>
    <w:rsid w:val="0033258D"/>
    <w:rsid w:val="003431DB"/>
    <w:rsid w:val="003568EF"/>
    <w:rsid w:val="00356A9F"/>
    <w:rsid w:val="00356F88"/>
    <w:rsid w:val="0037731C"/>
    <w:rsid w:val="003807A0"/>
    <w:rsid w:val="00386E75"/>
    <w:rsid w:val="003A194D"/>
    <w:rsid w:val="003C0167"/>
    <w:rsid w:val="003C01DC"/>
    <w:rsid w:val="003C4790"/>
    <w:rsid w:val="003D76B1"/>
    <w:rsid w:val="003E0202"/>
    <w:rsid w:val="003E5045"/>
    <w:rsid w:val="003F42DD"/>
    <w:rsid w:val="003F4743"/>
    <w:rsid w:val="003F596B"/>
    <w:rsid w:val="004007D5"/>
    <w:rsid w:val="00404629"/>
    <w:rsid w:val="0040483A"/>
    <w:rsid w:val="00421A67"/>
    <w:rsid w:val="00422B74"/>
    <w:rsid w:val="00437061"/>
    <w:rsid w:val="00441BFE"/>
    <w:rsid w:val="004703F4"/>
    <w:rsid w:val="00471BC2"/>
    <w:rsid w:val="00485EA5"/>
    <w:rsid w:val="00486284"/>
    <w:rsid w:val="00495A79"/>
    <w:rsid w:val="004B5A31"/>
    <w:rsid w:val="004B5BFF"/>
    <w:rsid w:val="004B7612"/>
    <w:rsid w:val="004C01CD"/>
    <w:rsid w:val="004D4B30"/>
    <w:rsid w:val="004E310E"/>
    <w:rsid w:val="004E4A7A"/>
    <w:rsid w:val="004F2493"/>
    <w:rsid w:val="004F377C"/>
    <w:rsid w:val="004F7B52"/>
    <w:rsid w:val="00515410"/>
    <w:rsid w:val="00515C70"/>
    <w:rsid w:val="005522E9"/>
    <w:rsid w:val="00552750"/>
    <w:rsid w:val="0056238C"/>
    <w:rsid w:val="00571449"/>
    <w:rsid w:val="00572DB5"/>
    <w:rsid w:val="0058329F"/>
    <w:rsid w:val="005905C0"/>
    <w:rsid w:val="00591142"/>
    <w:rsid w:val="005A2A73"/>
    <w:rsid w:val="005C2247"/>
    <w:rsid w:val="005C6849"/>
    <w:rsid w:val="005C753D"/>
    <w:rsid w:val="005E33BC"/>
    <w:rsid w:val="005E4634"/>
    <w:rsid w:val="0061608F"/>
    <w:rsid w:val="00617A78"/>
    <w:rsid w:val="006349EE"/>
    <w:rsid w:val="0064393C"/>
    <w:rsid w:val="00654F7A"/>
    <w:rsid w:val="00655737"/>
    <w:rsid w:val="0066015D"/>
    <w:rsid w:val="00687606"/>
    <w:rsid w:val="006904CA"/>
    <w:rsid w:val="00690D65"/>
    <w:rsid w:val="00697A46"/>
    <w:rsid w:val="006A7E51"/>
    <w:rsid w:val="006C0D6F"/>
    <w:rsid w:val="006C206E"/>
    <w:rsid w:val="006C62DB"/>
    <w:rsid w:val="006D534B"/>
    <w:rsid w:val="006E372A"/>
    <w:rsid w:val="006F719E"/>
    <w:rsid w:val="007111FD"/>
    <w:rsid w:val="007128FA"/>
    <w:rsid w:val="00726444"/>
    <w:rsid w:val="00737620"/>
    <w:rsid w:val="00750215"/>
    <w:rsid w:val="00753AAD"/>
    <w:rsid w:val="00757F3F"/>
    <w:rsid w:val="007626BC"/>
    <w:rsid w:val="007B0813"/>
    <w:rsid w:val="007D7FB4"/>
    <w:rsid w:val="007F175C"/>
    <w:rsid w:val="007F6CD7"/>
    <w:rsid w:val="00842032"/>
    <w:rsid w:val="008509C4"/>
    <w:rsid w:val="00851AFE"/>
    <w:rsid w:val="00852959"/>
    <w:rsid w:val="00864802"/>
    <w:rsid w:val="00867242"/>
    <w:rsid w:val="00867D0B"/>
    <w:rsid w:val="0087226F"/>
    <w:rsid w:val="00875DD3"/>
    <w:rsid w:val="00881678"/>
    <w:rsid w:val="00887F03"/>
    <w:rsid w:val="00890765"/>
    <w:rsid w:val="0089082D"/>
    <w:rsid w:val="0089118B"/>
    <w:rsid w:val="0089717A"/>
    <w:rsid w:val="008A130F"/>
    <w:rsid w:val="008A2481"/>
    <w:rsid w:val="008C4F4D"/>
    <w:rsid w:val="008C7F0B"/>
    <w:rsid w:val="008D2FD6"/>
    <w:rsid w:val="008E4112"/>
    <w:rsid w:val="00906691"/>
    <w:rsid w:val="00912F05"/>
    <w:rsid w:val="009347B4"/>
    <w:rsid w:val="00935862"/>
    <w:rsid w:val="009405E8"/>
    <w:rsid w:val="00942896"/>
    <w:rsid w:val="00946528"/>
    <w:rsid w:val="00957081"/>
    <w:rsid w:val="00962D0E"/>
    <w:rsid w:val="009717F7"/>
    <w:rsid w:val="00974A14"/>
    <w:rsid w:val="0099705D"/>
    <w:rsid w:val="009A3E85"/>
    <w:rsid w:val="009B3508"/>
    <w:rsid w:val="009C2682"/>
    <w:rsid w:val="009E4E9B"/>
    <w:rsid w:val="009E593C"/>
    <w:rsid w:val="009F3D2F"/>
    <w:rsid w:val="00A2442D"/>
    <w:rsid w:val="00A25163"/>
    <w:rsid w:val="00A60BB4"/>
    <w:rsid w:val="00A9279F"/>
    <w:rsid w:val="00A944CA"/>
    <w:rsid w:val="00AA332C"/>
    <w:rsid w:val="00AA5B52"/>
    <w:rsid w:val="00AD71E7"/>
    <w:rsid w:val="00AE0074"/>
    <w:rsid w:val="00AE6C55"/>
    <w:rsid w:val="00B11451"/>
    <w:rsid w:val="00B26ECC"/>
    <w:rsid w:val="00B36A91"/>
    <w:rsid w:val="00B4008A"/>
    <w:rsid w:val="00B42622"/>
    <w:rsid w:val="00B4673F"/>
    <w:rsid w:val="00B470CE"/>
    <w:rsid w:val="00B60888"/>
    <w:rsid w:val="00B66FD7"/>
    <w:rsid w:val="00B73A9E"/>
    <w:rsid w:val="00B9490D"/>
    <w:rsid w:val="00BA4C78"/>
    <w:rsid w:val="00BB35BC"/>
    <w:rsid w:val="00BB3F17"/>
    <w:rsid w:val="00BC0150"/>
    <w:rsid w:val="00BC52AC"/>
    <w:rsid w:val="00BD43A2"/>
    <w:rsid w:val="00BD447E"/>
    <w:rsid w:val="00BD6AD7"/>
    <w:rsid w:val="00BE291C"/>
    <w:rsid w:val="00C0524A"/>
    <w:rsid w:val="00C31487"/>
    <w:rsid w:val="00C34BF0"/>
    <w:rsid w:val="00C45DD5"/>
    <w:rsid w:val="00C52059"/>
    <w:rsid w:val="00C563DD"/>
    <w:rsid w:val="00C567BB"/>
    <w:rsid w:val="00C60159"/>
    <w:rsid w:val="00CA0A71"/>
    <w:rsid w:val="00CB7E97"/>
    <w:rsid w:val="00CE0E49"/>
    <w:rsid w:val="00CE6DB3"/>
    <w:rsid w:val="00D038E6"/>
    <w:rsid w:val="00D04570"/>
    <w:rsid w:val="00D14AD8"/>
    <w:rsid w:val="00D3757B"/>
    <w:rsid w:val="00D424B0"/>
    <w:rsid w:val="00D44356"/>
    <w:rsid w:val="00D450CE"/>
    <w:rsid w:val="00D47150"/>
    <w:rsid w:val="00D64641"/>
    <w:rsid w:val="00D8168F"/>
    <w:rsid w:val="00D85CBE"/>
    <w:rsid w:val="00DB0E71"/>
    <w:rsid w:val="00DB6F35"/>
    <w:rsid w:val="00DD43D5"/>
    <w:rsid w:val="00DD689E"/>
    <w:rsid w:val="00DF266E"/>
    <w:rsid w:val="00DF3987"/>
    <w:rsid w:val="00E2401B"/>
    <w:rsid w:val="00E30145"/>
    <w:rsid w:val="00E35558"/>
    <w:rsid w:val="00E5352C"/>
    <w:rsid w:val="00E54C15"/>
    <w:rsid w:val="00E57A85"/>
    <w:rsid w:val="00E66EC8"/>
    <w:rsid w:val="00E81DF1"/>
    <w:rsid w:val="00EA21AD"/>
    <w:rsid w:val="00EA5690"/>
    <w:rsid w:val="00EB0043"/>
    <w:rsid w:val="00EB0085"/>
    <w:rsid w:val="00EB67A2"/>
    <w:rsid w:val="00EC48C6"/>
    <w:rsid w:val="00ED5F87"/>
    <w:rsid w:val="00EE0B55"/>
    <w:rsid w:val="00EE751C"/>
    <w:rsid w:val="00F1660E"/>
    <w:rsid w:val="00F20903"/>
    <w:rsid w:val="00F25EA7"/>
    <w:rsid w:val="00F328A0"/>
    <w:rsid w:val="00F468E2"/>
    <w:rsid w:val="00F61257"/>
    <w:rsid w:val="00F67752"/>
    <w:rsid w:val="00F71497"/>
    <w:rsid w:val="00F72EF5"/>
    <w:rsid w:val="00F856C2"/>
    <w:rsid w:val="00FB08AC"/>
    <w:rsid w:val="00FB0CC7"/>
    <w:rsid w:val="00FB1687"/>
    <w:rsid w:val="00FD37A9"/>
    <w:rsid w:val="00FE65F6"/>
    <w:rsid w:val="00FF4C72"/>
    <w:rsid w:val="00FF6586"/>
    <w:rsid w:val="214E1FE7"/>
    <w:rsid w:val="3DCD7BBC"/>
    <w:rsid w:val="4E3E6E45"/>
    <w:rsid w:val="59C365A8"/>
    <w:rsid w:val="5FB76405"/>
    <w:rsid w:val="749FA448"/>
    <w:rsid w:val="77FFEC10"/>
    <w:rsid w:val="7B55076E"/>
    <w:rsid w:val="7F7F8E31"/>
    <w:rsid w:val="EBBFB555"/>
    <w:rsid w:val="F68D8582"/>
    <w:rsid w:val="FEDD1C3E"/>
    <w:rsid w:val="FFEF1AB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3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9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basedOn w:val="11"/>
    <w:qFormat/>
    <w:uiPriority w:val="22"/>
    <w:rPr>
      <w:b/>
      <w:bCs/>
    </w:rPr>
  </w:style>
  <w:style w:type="character" w:customStyle="1" w:styleId="13">
    <w:name w:val="标题 2 字符"/>
    <w:basedOn w:val="11"/>
    <w:link w:val="3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4">
    <w:name w:val="apple-converted-space"/>
    <w:basedOn w:val="11"/>
    <w:qFormat/>
    <w:uiPriority w:val="0"/>
  </w:style>
  <w:style w:type="character" w:customStyle="1" w:styleId="15">
    <w:name w:val="页眉 字符"/>
    <w:basedOn w:val="11"/>
    <w:link w:val="7"/>
    <w:qFormat/>
    <w:uiPriority w:val="99"/>
    <w:rPr>
      <w:sz w:val="18"/>
      <w:szCs w:val="18"/>
    </w:rPr>
  </w:style>
  <w:style w:type="character" w:customStyle="1" w:styleId="16">
    <w:name w:val="页脚 字符"/>
    <w:basedOn w:val="11"/>
    <w:link w:val="6"/>
    <w:qFormat/>
    <w:uiPriority w:val="99"/>
    <w:rPr>
      <w:sz w:val="18"/>
      <w:szCs w:val="18"/>
    </w:rPr>
  </w:style>
  <w:style w:type="character" w:customStyle="1" w:styleId="17">
    <w:name w:val="标题 1 字符"/>
    <w:basedOn w:val="11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8">
    <w:name w:val="日期 字符"/>
    <w:basedOn w:val="11"/>
    <w:link w:val="4"/>
    <w:semiHidden/>
    <w:qFormat/>
    <w:uiPriority w:val="99"/>
  </w:style>
  <w:style w:type="character" w:customStyle="1" w:styleId="19">
    <w:name w:val="批注框文本 字符"/>
    <w:basedOn w:val="11"/>
    <w:link w:val="5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SimHei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SimSun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7</Pages>
  <Words>539</Words>
  <Characters>3076</Characters>
  <Lines>25</Lines>
  <Paragraphs>7</Paragraphs>
  <TotalTime>2</TotalTime>
  <ScaleCrop>false</ScaleCrop>
  <LinksUpToDate>false</LinksUpToDate>
  <CharactersWithSpaces>3608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2023-02-02T05:59:00Z</dcterms:created>
  <dc:creator>李怡君</dc:creator>
  <cp:lastModifiedBy>黄文倩</cp:lastModifiedBy>
  <cp:lastPrinted>2021-05-22T02:06:00Z</cp:lastPrinted>
  <dcterms:modified xsi:type="dcterms:W3CDTF">2023-08-08T07:55:25Z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1A9565248F30472E9884A60328029A04</vt:lpwstr>
  </property>
</Properties>
</file>