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48869779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〕1</w:t>
      </w:r>
      <w:r w:rsidR="00844EF5"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047E6550" w14:textId="77777777" w:rsidR="00844EF5" w:rsidRDefault="00000000" w:rsidP="00844EF5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闵行区人民政府教育督导室对</w:t>
      </w:r>
    </w:p>
    <w:p w14:paraId="6DEF27F9" w14:textId="63385E16" w:rsidR="00582569" w:rsidRDefault="00844EF5" w:rsidP="00844EF5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江川路街道</w:t>
      </w:r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社区学校督导调研意见书</w:t>
      </w:r>
      <w:proofErr w:type="gramStart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 w:rsid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2DA8241C" w:rsidR="00582569" w:rsidRDefault="00844EF5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江川路街道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社区学校：</w:t>
      </w:r>
    </w:p>
    <w:p w14:paraId="7483A1ED" w14:textId="7D4CF31B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844EF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江川路街道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0DE4B6C8" w14:textId="77777777" w:rsidR="00844EF5" w:rsidRDefault="00000000" w:rsidP="00844EF5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844EF5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江川路街道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社区学校</w:t>
      </w:r>
    </w:p>
    <w:p w14:paraId="12CB8C85" w14:textId="64258178" w:rsidR="00582569" w:rsidRDefault="002E5413" w:rsidP="00844EF5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075D8C81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844EF5">
        <w:rPr>
          <w:rFonts w:ascii="仿宋" w:eastAsia="仿宋" w:hAnsi="仿宋" w:hint="eastAsia"/>
          <w:color w:val="000000" w:themeColor="text1"/>
          <w:sz w:val="28"/>
          <w:szCs w:val="28"/>
        </w:rPr>
        <w:t>江川路街道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3517DBBF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844EF5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江川路街道</w:t>
      </w: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34E78667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21日，闵行区人民政府教育督导室组织相关部门、外聘专家和督学等组成督导团，通过听取校长汇报、巡查校园、深入课堂听课、组织问卷调查、召开座谈会、开展个别访谈和查阅资料等形式，对江川路街道社区学校开展了督导调研。</w:t>
      </w:r>
    </w:p>
    <w:p w14:paraId="311BE281" w14:textId="77777777" w:rsidR="00844EF5" w:rsidRPr="00844EF5" w:rsidRDefault="00844EF5" w:rsidP="00844EF5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844EF5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15CD3479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学校于2004年创建，设48个居</w:t>
      </w:r>
      <w:proofErr w:type="gramStart"/>
      <w:r w:rsidRPr="00844EF5">
        <w:rPr>
          <w:rFonts w:ascii="仿宋" w:eastAsia="仿宋" w:hAnsi="仿宋" w:cs="仿宋" w:hint="eastAsia"/>
          <w:sz w:val="30"/>
          <w:szCs w:val="30"/>
        </w:rPr>
        <w:t>委教学</w:t>
      </w:r>
      <w:proofErr w:type="gramEnd"/>
      <w:r w:rsidRPr="00844EF5">
        <w:rPr>
          <w:rFonts w:ascii="仿宋" w:eastAsia="仿宋" w:hAnsi="仿宋" w:cs="仿宋" w:hint="eastAsia"/>
          <w:sz w:val="30"/>
          <w:szCs w:val="30"/>
        </w:rPr>
        <w:t>点。办学近20年来，在学校治理、内涵建设、队伍建设、资源保障等方面积极努力，不断完善和提升社区教育内涵与功能，培育出“江川达人秀” 等学校特色品牌项目。先后被授予“全国职工教育培训示范点”、“市社区教育先进单位”、“市街镇社区（老年）学校内涵建设合格单位”、“市民修身行动闵行区文明礼仪培训基地”、“市公益基地”、“首届市示范性学生社区实践指导站”、历年“市五星级老年学习团队”等荣誉称号，是一所集技能培训、文化休闲教育、线上远程教育等多种教育功能于一体的综合性、社区性、开放式学校。</w:t>
      </w:r>
    </w:p>
    <w:p w14:paraId="7C62D5FA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黑体" w:eastAsia="黑体" w:hAnsi="黑体" w:cs="仿宋"/>
          <w:bCs/>
          <w:sz w:val="30"/>
          <w:szCs w:val="30"/>
        </w:rPr>
      </w:pPr>
      <w:r w:rsidRPr="00844EF5">
        <w:rPr>
          <w:rFonts w:ascii="黑体" w:eastAsia="黑体" w:hAnsi="黑体" w:hint="eastAsia"/>
          <w:bCs/>
          <w:sz w:val="30"/>
          <w:szCs w:val="30"/>
        </w:rPr>
        <w:t>二、</w:t>
      </w:r>
      <w:r w:rsidRPr="00844EF5">
        <w:rPr>
          <w:rFonts w:ascii="黑体" w:eastAsia="黑体" w:hAnsi="黑体"/>
          <w:bCs/>
          <w:sz w:val="30"/>
          <w:szCs w:val="30"/>
        </w:rPr>
        <w:t>主要</w:t>
      </w:r>
      <w:r w:rsidRPr="00844EF5">
        <w:rPr>
          <w:rFonts w:ascii="黑体" w:eastAsia="黑体" w:hAnsi="黑体" w:hint="eastAsia"/>
          <w:bCs/>
          <w:sz w:val="30"/>
          <w:szCs w:val="30"/>
        </w:rPr>
        <w:t>工作</w:t>
      </w:r>
      <w:r w:rsidRPr="00844EF5">
        <w:rPr>
          <w:rFonts w:ascii="黑体" w:eastAsia="黑体" w:hAnsi="黑体"/>
          <w:bCs/>
          <w:sz w:val="30"/>
          <w:szCs w:val="30"/>
        </w:rPr>
        <w:t>与成效</w:t>
      </w:r>
    </w:p>
    <w:p w14:paraId="76B7D7B8" w14:textId="197D9395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844EF5">
        <w:rPr>
          <w:rFonts w:ascii="楷体" w:eastAsia="楷体" w:hAnsi="楷体" w:hint="eastAsia"/>
          <w:bCs/>
          <w:sz w:val="30"/>
          <w:szCs w:val="30"/>
        </w:rPr>
        <w:t>（一）</w:t>
      </w:r>
      <w:r w:rsidRPr="00844EF5">
        <w:rPr>
          <w:rFonts w:ascii="楷体" w:eastAsia="楷体" w:hAnsi="楷体" w:cs="仿宋" w:hint="eastAsia"/>
          <w:bCs/>
          <w:sz w:val="30"/>
          <w:szCs w:val="30"/>
        </w:rPr>
        <w:t>党建引领，建章立制，内外协同，提升学校治理质量</w:t>
      </w:r>
    </w:p>
    <w:p w14:paraId="05DBB073" w14:textId="0AB4A8F3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党建引领，深度融合教育教学</w:t>
      </w:r>
    </w:p>
    <w:p w14:paraId="580CCFF7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建立健全学校党建与教育教学深度融合工作机制，定期向街道党工委、办事处汇报学校工作，充分发挥办学治校中党员领导核心作用，加强党风廉政与意识形态责任制建设，落实“一岗双责”、“四责协同”。</w:t>
      </w:r>
    </w:p>
    <w:p w14:paraId="7E932CAA" w14:textId="656BB794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建章立制，促进学校规范办学</w:t>
      </w:r>
    </w:p>
    <w:p w14:paraId="6F257236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学校制定办学章程，形成学校办学治校纲领性文件，制定学校五年发展规划。学校组织架构比较清晰，校长由街道分管教育副主任担任，教委主任兼任常务副校长。学校顶层设计有思考，有校训：“求知、充实、快乐、有为”，座右铭：“智慧学堂、香樟家园”，工作目标：让江川的老百姓“有其学、优其学、乐其学、终身学”等。</w:t>
      </w:r>
    </w:p>
    <w:p w14:paraId="0A9B7695" w14:textId="5C447295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整合资源，服务辖区居民</w:t>
      </w:r>
    </w:p>
    <w:p w14:paraId="0920FA70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与街道服务办、妇联、团工委等各部门联合，满足不同层次居民学习需求，如与学区办、工会合作，推广达人秀品牌活动。将各类课程下沉至邻里中心，社区教育融入市民“15分钟社区生活圈”。不断优化社区合作联席会议制度，建立联络员制度，形成以学校为阵地、以文化活动为载体、以居民区为基础、相关部门联合的社区教育工作合力体系。</w:t>
      </w:r>
    </w:p>
    <w:p w14:paraId="51345907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844EF5">
        <w:rPr>
          <w:rFonts w:ascii="楷体" w:eastAsia="楷体" w:hAnsi="楷体" w:cs="仿宋" w:hint="eastAsia"/>
          <w:sz w:val="30"/>
          <w:szCs w:val="30"/>
        </w:rPr>
        <w:t>（二）按需设课，强化课程与教学管理，丰富学习方式，注重科研，推进学校内涵建设</w:t>
      </w:r>
    </w:p>
    <w:p w14:paraId="6048402D" w14:textId="385EDBEB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按需设课，满足需求</w:t>
      </w:r>
    </w:p>
    <w:p w14:paraId="4ED2E7FF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每学期开设15个左右线下教学班，每周开设歌咏、沪剧、合唱、书法、舞蹈等线下教学班。每年按需新增课程，开发出《</w:t>
      </w:r>
      <w:proofErr w:type="spellStart"/>
      <w:r w:rsidRPr="00844EF5">
        <w:rPr>
          <w:rFonts w:ascii="仿宋" w:eastAsia="仿宋" w:hAnsi="仿宋" w:cs="仿宋" w:hint="eastAsia"/>
          <w:bCs/>
          <w:sz w:val="30"/>
          <w:szCs w:val="30"/>
        </w:rPr>
        <w:t>Ipad</w:t>
      </w:r>
      <w:proofErr w:type="spellEnd"/>
      <w:r w:rsidRPr="00844EF5">
        <w:rPr>
          <w:rFonts w:ascii="仿宋" w:eastAsia="仿宋" w:hAnsi="仿宋" w:cs="仿宋" w:hint="eastAsia"/>
          <w:bCs/>
          <w:sz w:val="30"/>
          <w:szCs w:val="30"/>
        </w:rPr>
        <w:t>课程教学》、《智能手机课应用》等系列主题课程，重点开发了“创意手</w:t>
      </w:r>
      <w:r w:rsidRPr="00844EF5">
        <w:rPr>
          <w:rFonts w:ascii="仿宋" w:eastAsia="仿宋" w:hAnsi="仿宋" w:cs="仿宋" w:hint="eastAsia"/>
          <w:bCs/>
          <w:sz w:val="30"/>
          <w:szCs w:val="30"/>
        </w:rPr>
        <w:lastRenderedPageBreak/>
        <w:t>工”微视频课程。发布自育课堂系列活动清单，开设线下智能手机应用课程等。</w:t>
      </w:r>
    </w:p>
    <w:p w14:paraId="0C1AFFD3" w14:textId="4CF50C64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强化课程、教学管理，保证教学效果</w:t>
      </w:r>
    </w:p>
    <w:p w14:paraId="02D5017F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制定教学管理常规，从学员报名到课堂教学管理、课程开发、教学教案撰写等都有规范要求。课程资源建设“引进和开发”两手抓，积极引进高质量课程资源，同时注重特色课程大纲和教学资源建设，在创意手作、数字助老等方面形成课程特色。制定课程开发、实施、监测、评价等机制，将优质教育资源，以双向选择、过程跟踪、结果反馈的形式配送给有需求的学习点。</w:t>
      </w:r>
    </w:p>
    <w:p w14:paraId="40A70F52" w14:textId="637807C9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学习方式多元，提高学习效率</w:t>
      </w:r>
    </w:p>
    <w:p w14:paraId="6403A0BE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线下教学外，组建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微信群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，实现师生、生生教学互动，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利用银龄课堂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、金色学堂、“学习强国”APP平台、“上海学习网”公众号、“乐学江川”公众号、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慕课等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多种平台，推动老年学员线上学习。组织学员走出去体验学习，搭建学员切磋、交流、展示、实践平台。</w:t>
      </w:r>
    </w:p>
    <w:p w14:paraId="7A3A95B3" w14:textId="4ED0A93E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注重科研，助力教育教学</w:t>
      </w:r>
    </w:p>
    <w:p w14:paraId="348DFDD2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围绕社区教育重点、热点问题开展科研工作，特别在数字化转型、助力老年人跨越数字鸿沟、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家校社协同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育人等方面有研究课题和成果。近年，立项市级重点实验项目有2项，多篇课题论文获奖。</w:t>
      </w:r>
    </w:p>
    <w:p w14:paraId="464F3CA0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844EF5">
        <w:rPr>
          <w:rFonts w:ascii="楷体" w:eastAsia="楷体" w:hAnsi="楷体" w:cs="仿宋" w:hint="eastAsia"/>
          <w:sz w:val="30"/>
          <w:szCs w:val="30"/>
        </w:rPr>
        <w:t>（三）注重师资队伍建设与培训，提升师资水平</w:t>
      </w:r>
    </w:p>
    <w:p w14:paraId="68D5B012" w14:textId="0C460005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重视师资队伍建设，提升教师归属感</w:t>
      </w:r>
    </w:p>
    <w:p w14:paraId="68D09C98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12人组成学校教师和管理队伍，队伍年龄结构合理，3位专职教师都是研究生学历，都35岁以下，教务工作外，都上专业课。兼职教师62人，教师代表访谈中感受到有很强职业幸福感和归属感，充满能者为师自豪感。</w:t>
      </w:r>
    </w:p>
    <w:p w14:paraId="26146F4D" w14:textId="404D670C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完善教师培训体系，提升教学能力</w:t>
      </w:r>
    </w:p>
    <w:p w14:paraId="78FEAF0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专职教师按时参加市、区教师专业学习和培训，“十四五”期间都完成360个培训学时，参加街镇党员学习。定期开展兼职教师座谈会，不少兼职教师从学员转为教师，有的连续10多年参加上海师大老年课程班学习，教学业务能力不断提升。</w:t>
      </w:r>
    </w:p>
    <w:p w14:paraId="5D8D28AF" w14:textId="14C4FB42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规范师资队伍制度建设，提升教育效果</w:t>
      </w:r>
    </w:p>
    <w:p w14:paraId="0B5EA1B6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重视志愿者队伍建设，制定志愿者登记建库制度，每年表彰奖励志愿者。在14个邻里中心、48个居委设学习点，社区学校统筹业务指导，建立“示范学习点”、“示范基地”、“示范学习团队”等引领机制、专职干部和各居委学习点专项督查评估和年终综合考评机制、社区优秀学员表彰与宣传引领等机制。定期召开学习点教育干部会议，年终指导各学习点做好总结工作。</w:t>
      </w:r>
    </w:p>
    <w:p w14:paraId="486E7851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844EF5">
        <w:rPr>
          <w:rFonts w:ascii="楷体" w:eastAsia="楷体" w:hAnsi="楷体" w:cs="仿宋" w:hint="eastAsia"/>
          <w:sz w:val="30"/>
          <w:szCs w:val="30"/>
        </w:rPr>
        <w:t>（四）改善办学场所，整合资源，打造智慧学习场景，保证经费，为社区办学提供资源保障</w:t>
      </w:r>
    </w:p>
    <w:p w14:paraId="510A93EA" w14:textId="740DE370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营造良好育人环境</w:t>
      </w:r>
    </w:p>
    <w:p w14:paraId="1DD965B5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学校目前虽与街道文化馆共用教学场地，空间局促，但人气足，有手作生活体验馆、多媒体教室、舞蹈房、练功房等教学场所，与文化馆共享多功能教室、文馨剧场、老闵行历史陈列馆。网络全覆盖且运行正常，活动室基础设施配置良好，楼道内文化长廊图文并茂，营造积极向上终身学习氛围。</w:t>
      </w:r>
    </w:p>
    <w:p w14:paraId="381F813C" w14:textId="19240E23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整合资源扩大供给</w:t>
      </w:r>
    </w:p>
    <w:p w14:paraId="2BADA248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与闵行四中等学校联合开展人文行走、家庭教育指导等活动，开展主题式“自育家庭课堂”项目系列活动。社校牵头，携手街道服务办、妇联等职能部门，与城市书房、钟书阁等合作创建终身教</w:t>
      </w:r>
      <w:r w:rsidRPr="00844EF5">
        <w:rPr>
          <w:rFonts w:ascii="仿宋" w:eastAsia="仿宋" w:hAnsi="仿宋" w:cs="仿宋" w:hint="eastAsia"/>
          <w:bCs/>
          <w:sz w:val="30"/>
          <w:szCs w:val="30"/>
        </w:rPr>
        <w:lastRenderedPageBreak/>
        <w:t>育学习点、社会学习点、48个居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委教学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点。与科普创新书院、川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上美集党群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服务站等多家社会组织建立多领域交流合作活动。</w:t>
      </w:r>
    </w:p>
    <w:p w14:paraId="3F376292" w14:textId="67413BF2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信息技术赋能教育</w:t>
      </w:r>
    </w:p>
    <w:p w14:paraId="4ACD60A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教师、学员注册及报名、日常教务、档案数据等实现网上管理，“江川银龄健康数字小屋”项目入选2023年市首批老年教育智慧学习场景，“欢乐e起学”智慧助老培训入选全国首批“智慧助老”优质教育培训项目，积极探索寻医问诊、网上购物、手机防诈骗等老年线上课程。</w:t>
      </w:r>
    </w:p>
    <w:p w14:paraId="4401591B" w14:textId="0A0C4C23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保证经费投入，经费使用规范</w:t>
      </w:r>
    </w:p>
    <w:p w14:paraId="02C43F5F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近几年，连续保证学校经费投入，通过重大经费支出内控制度、招投标和政府采购制度等，确保资金使用安全。</w:t>
      </w:r>
    </w:p>
    <w:p w14:paraId="3DBFDBD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sz w:val="30"/>
          <w:szCs w:val="30"/>
        </w:rPr>
      </w:pPr>
      <w:r w:rsidRPr="00844EF5">
        <w:rPr>
          <w:rFonts w:ascii="楷体" w:eastAsia="楷体" w:hAnsi="楷体" w:cs="仿宋" w:hint="eastAsia"/>
          <w:sz w:val="30"/>
          <w:szCs w:val="30"/>
        </w:rPr>
        <w:t>（五）注重项目打造，形成系列社区教育品牌项目</w:t>
      </w:r>
    </w:p>
    <w:p w14:paraId="0461365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 xml:space="preserve"> “江川达人秀”、“创意手工”、“人文行走”、“学生社区实践”等系列教育品牌项目具有江川特色，区内也有影响。品牌覆盖人群广，如“创意手工”学员包含社区居民、中小学师生、军人、残障人士、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失独家庭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等。参加人数多，如“江川综艺达人秀”一届比赛有347名选手参加，线上浏览次数高达273146次。持续时间长，如“江川好声音”大赛连续举办了十年。形式丰富，如“江川达人秀”涵盖线上、线下，包含唱歌、跳舞、乐器表演、合唱、快板、朗诵等多种形式。具有江川特色，如人文行走项目形成上海汽轮机厂、零号湾等7条具有江川特色的路线。</w:t>
      </w:r>
    </w:p>
    <w:p w14:paraId="206DE49F" w14:textId="1AE2E0BE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844EF5">
        <w:rPr>
          <w:rFonts w:ascii="黑体" w:eastAsia="黑体" w:hAnsi="黑体" w:cs="仿宋" w:hint="eastAsia"/>
          <w:sz w:val="30"/>
          <w:szCs w:val="30"/>
        </w:rPr>
        <w:t>三、</w:t>
      </w:r>
      <w:r w:rsidRPr="00844EF5">
        <w:rPr>
          <w:rFonts w:ascii="黑体" w:eastAsia="黑体" w:hAnsi="黑体" w:cs="仿宋" w:hint="eastAsia"/>
          <w:color w:val="000000" w:themeColor="text1"/>
          <w:sz w:val="30"/>
          <w:szCs w:val="30"/>
        </w:rPr>
        <w:t>存在的主要问题与改进建议</w:t>
      </w:r>
    </w:p>
    <w:p w14:paraId="32E872C4" w14:textId="77777777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楷体" w:eastAsia="楷体" w:hAnsi="楷体" w:cs="仿宋"/>
          <w:bCs/>
          <w:color w:val="000000" w:themeColor="text1"/>
          <w:sz w:val="30"/>
          <w:szCs w:val="30"/>
        </w:rPr>
      </w:pPr>
      <w:r w:rsidRPr="00844EF5">
        <w:rPr>
          <w:rFonts w:ascii="楷体" w:eastAsia="楷体" w:hAnsi="楷体" w:cs="仿宋" w:hint="eastAsia"/>
          <w:b/>
          <w:color w:val="000000" w:themeColor="text1"/>
          <w:sz w:val="30"/>
          <w:szCs w:val="30"/>
        </w:rPr>
        <w:t>（</w:t>
      </w:r>
      <w:r w:rsidRPr="00844EF5">
        <w:rPr>
          <w:rFonts w:ascii="楷体" w:eastAsia="楷体" w:hAnsi="楷体" w:cs="仿宋" w:hint="eastAsia"/>
          <w:bCs/>
          <w:color w:val="000000" w:themeColor="text1"/>
          <w:sz w:val="30"/>
          <w:szCs w:val="30"/>
        </w:rPr>
        <w:t>一）</w:t>
      </w:r>
      <w:r w:rsidRPr="00844EF5">
        <w:rPr>
          <w:rFonts w:ascii="楷体" w:eastAsia="楷体" w:hAnsi="楷体" w:cs="仿宋" w:hint="eastAsia"/>
          <w:b/>
          <w:sz w:val="30"/>
          <w:szCs w:val="30"/>
        </w:rPr>
        <w:t>管理制度需进一步完善，自主规划与发展意识与能力需进一步提升</w:t>
      </w:r>
    </w:p>
    <w:p w14:paraId="1A879C3A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lastRenderedPageBreak/>
        <w:t>目前学校制度，大多为教育教学制度，学校管理如财务、资产管理、教师管理、安全管理等制度涉及较少，现有制度不够规范，如缺少具体制定和执行时间。学校制定了“十四五”发展规划，但规划结构和内容尚不完整，缺少现状分析、重点发展项目、学校相关领域工作的设计等内容。</w:t>
      </w:r>
    </w:p>
    <w:p w14:paraId="5F811A6F" w14:textId="77777777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建议：</w:t>
      </w:r>
    </w:p>
    <w:p w14:paraId="76E00B75" w14:textId="140208B9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sz w:val="30"/>
          <w:szCs w:val="30"/>
        </w:rPr>
        <w:t>健全章程引领下的学校系列管理制度</w:t>
      </w:r>
    </w:p>
    <w:p w14:paraId="0C24805E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从党的建设、行政管理、安全管理、师资管理、课程教学管理、资产财务管理等方面分类梳理学校管理制度，逐步建立健全与办学章程相匹配的系列管理制度。建立并完善各类管理制度和立、改、废机制，不断提升学校办学水平。</w:t>
      </w:r>
    </w:p>
    <w:p w14:paraId="6F5D492C" w14:textId="26502FE5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sz w:val="30"/>
          <w:szCs w:val="30"/>
        </w:rPr>
        <w:t>提升自主规划和自主发展意识与能力</w:t>
      </w:r>
    </w:p>
    <w:p w14:paraId="68CD1192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继续梳理“让每一个江川居民在社区学校找到自己的座位”、“快乐学习”、“让每一个居民有其学、优其学、乐其学、终身学”等关键词、句，进一步明确学校办学理念与办学目标内涵；从现状分析、目标定位、重点发展项目、各领域工作、保障措施等方面，修订与调整学校“十四五”发展规划，特别要设计好重点发展项目及学校各领域工作，确定保障措施，形成分年度目标、措施与达成标识，做好规划年度自评与总结工作，推进规划有序有效落实。</w:t>
      </w:r>
    </w:p>
    <w:p w14:paraId="1E280028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</w:rPr>
      </w:pPr>
      <w:r w:rsidRPr="00844EF5">
        <w:rPr>
          <w:rFonts w:ascii="楷体" w:eastAsia="楷体" w:hAnsi="楷体" w:cs="仿宋" w:hint="eastAsia"/>
          <w:bCs/>
          <w:sz w:val="30"/>
          <w:szCs w:val="30"/>
        </w:rPr>
        <w:t>（二）课程门类需进一步丰富，特色课程开发需进一步加强，教育受众面需进一步扩大</w:t>
      </w:r>
    </w:p>
    <w:p w14:paraId="7F9ACA81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课程门类目前还不能满足街道居民日益高涨的学习需求，特色课程总体还不多，体现江川特色的课程需继续加强开发。课程开设数量2023年春季17个班（受疫情与场地限制），整体偏少，课程参</w:t>
      </w:r>
      <w:r w:rsidRPr="00844EF5">
        <w:rPr>
          <w:rFonts w:ascii="仿宋" w:eastAsia="仿宋" w:hAnsi="仿宋" w:cs="仿宋" w:hint="eastAsia"/>
          <w:sz w:val="30"/>
          <w:szCs w:val="30"/>
        </w:rPr>
        <w:lastRenderedPageBreak/>
        <w:t>与人员老年人与老面孔偏多。受众面300多位学员，人数偏少。</w:t>
      </w:r>
    </w:p>
    <w:p w14:paraId="7057BE1B" w14:textId="77777777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建议：</w:t>
      </w:r>
    </w:p>
    <w:p w14:paraId="71250CC3" w14:textId="39B4A5FC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sz w:val="30"/>
          <w:szCs w:val="30"/>
        </w:rPr>
        <w:t>丰富课程门类，进一步满足居民需求</w:t>
      </w:r>
    </w:p>
    <w:p w14:paraId="356797E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进一步扩大</w:t>
      </w:r>
      <w:proofErr w:type="gramStart"/>
      <w:r w:rsidRPr="00844EF5">
        <w:rPr>
          <w:rFonts w:ascii="仿宋" w:eastAsia="仿宋" w:hAnsi="仿宋" w:cs="仿宋" w:hint="eastAsia"/>
          <w:sz w:val="30"/>
          <w:szCs w:val="30"/>
        </w:rPr>
        <w:t>普适类课程</w:t>
      </w:r>
      <w:proofErr w:type="gramEnd"/>
      <w:r w:rsidRPr="00844EF5">
        <w:rPr>
          <w:rFonts w:ascii="仿宋" w:eastAsia="仿宋" w:hAnsi="仿宋" w:cs="仿宋" w:hint="eastAsia"/>
          <w:sz w:val="30"/>
          <w:szCs w:val="30"/>
        </w:rPr>
        <w:t>门类，在唱唱跳跳、手工制作、信息技术课程基础上增加文化素养类、健康养生类、生活技能类、时事讲堂等课程，提供更多选择。</w:t>
      </w:r>
    </w:p>
    <w:p w14:paraId="623AD3D4" w14:textId="456AF50B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sz w:val="30"/>
          <w:szCs w:val="30"/>
        </w:rPr>
        <w:t>突出特色，打造江川味道的特色课程</w:t>
      </w:r>
    </w:p>
    <w:p w14:paraId="05DD493B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在现有重点建设品牌项目如江川好声音、人文行走、社校联动自</w:t>
      </w:r>
      <w:proofErr w:type="gramStart"/>
      <w:r w:rsidRPr="00844EF5">
        <w:rPr>
          <w:rFonts w:ascii="仿宋" w:eastAsia="仿宋" w:hAnsi="仿宋" w:cs="仿宋" w:hint="eastAsia"/>
          <w:sz w:val="30"/>
          <w:szCs w:val="30"/>
        </w:rPr>
        <w:t>育家庭</w:t>
      </w:r>
      <w:proofErr w:type="gramEnd"/>
      <w:r w:rsidRPr="00844EF5">
        <w:rPr>
          <w:rFonts w:ascii="仿宋" w:eastAsia="仿宋" w:hAnsi="仿宋" w:cs="仿宋" w:hint="eastAsia"/>
          <w:sz w:val="30"/>
          <w:szCs w:val="30"/>
        </w:rPr>
        <w:t>等项目基础上，着力打造与品牌、项目匹配的系列化课程，而非仅仅是讲座、体验学习活动。特色课程还可以是基于社区内优秀师资或专业组织开发的课程，如通过江川达人秀，招募社区内达人（能人）为师，学校进行挖掘和培育，形成特色课程。</w:t>
      </w:r>
    </w:p>
    <w:p w14:paraId="154F0E6A" w14:textId="5BA1A6D5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sz w:val="30"/>
          <w:szCs w:val="30"/>
        </w:rPr>
        <w:t>.</w:t>
      </w:r>
      <w:r w:rsidRPr="00844EF5">
        <w:rPr>
          <w:rFonts w:ascii="仿宋" w:eastAsia="仿宋" w:hAnsi="仿宋" w:cs="仿宋" w:hint="eastAsia"/>
          <w:b/>
          <w:sz w:val="30"/>
          <w:szCs w:val="30"/>
        </w:rPr>
        <w:t>多</w:t>
      </w:r>
      <w:proofErr w:type="gramStart"/>
      <w:r w:rsidRPr="00844EF5">
        <w:rPr>
          <w:rFonts w:ascii="仿宋" w:eastAsia="仿宋" w:hAnsi="仿宋" w:cs="仿宋" w:hint="eastAsia"/>
          <w:b/>
          <w:sz w:val="30"/>
          <w:szCs w:val="30"/>
        </w:rPr>
        <w:t>措</w:t>
      </w:r>
      <w:proofErr w:type="gramEnd"/>
      <w:r w:rsidRPr="00844EF5">
        <w:rPr>
          <w:rFonts w:ascii="仿宋" w:eastAsia="仿宋" w:hAnsi="仿宋" w:cs="仿宋" w:hint="eastAsia"/>
          <w:b/>
          <w:sz w:val="30"/>
          <w:szCs w:val="30"/>
        </w:rPr>
        <w:t>并施，进一步扩充学员覆盖面</w:t>
      </w:r>
    </w:p>
    <w:p w14:paraId="14E8B1E8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通过提供</w:t>
      </w:r>
      <w:proofErr w:type="gramStart"/>
      <w:r w:rsidRPr="00844EF5">
        <w:rPr>
          <w:rFonts w:ascii="仿宋" w:eastAsia="仿宋" w:hAnsi="仿宋" w:cs="仿宋" w:hint="eastAsia"/>
          <w:sz w:val="30"/>
          <w:szCs w:val="30"/>
        </w:rPr>
        <w:t>更多家</w:t>
      </w:r>
      <w:proofErr w:type="gramEnd"/>
      <w:r w:rsidRPr="00844EF5">
        <w:rPr>
          <w:rFonts w:ascii="仿宋" w:eastAsia="仿宋" w:hAnsi="仿宋" w:cs="仿宋" w:hint="eastAsia"/>
          <w:sz w:val="30"/>
          <w:szCs w:val="30"/>
        </w:rPr>
        <w:t>门口学习场所、多元（面向不同人群开设课程）优质课程，更多志愿者（行业专业人士、达人秀达人、专业组织）等方式吸引更多学员。进一步扩大宣传，除“乐学江川”及简报宣传外，通过更多渠道传播终身教育理念和成果。扩大招生宣传，教学管理上设最长学习时间，让更多新学员参与社区教育。</w:t>
      </w:r>
    </w:p>
    <w:p w14:paraId="3DFDCA01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</w:rPr>
      </w:pPr>
      <w:r w:rsidRPr="00844EF5">
        <w:rPr>
          <w:rFonts w:ascii="楷体" w:eastAsia="楷体" w:hAnsi="楷体" w:cs="仿宋" w:hint="eastAsia"/>
          <w:bCs/>
          <w:sz w:val="30"/>
          <w:szCs w:val="30"/>
        </w:rPr>
        <w:t>（三）品牌项目建设需进一步加强</w:t>
      </w:r>
    </w:p>
    <w:p w14:paraId="4C3B4F18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844EF5">
        <w:rPr>
          <w:rFonts w:ascii="仿宋" w:eastAsia="仿宋" w:hAnsi="仿宋" w:cs="仿宋" w:hint="eastAsia"/>
          <w:sz w:val="30"/>
          <w:szCs w:val="30"/>
        </w:rPr>
        <w:t>“江川达人秀”等项目目前在街道及闵行区有一定影响与知名度，但品牌在开展形式、覆盖人群、艺术门类、知名度提升等方面还需进一步努力，成为市知名社区教育品牌还有很大提升空间。</w:t>
      </w:r>
    </w:p>
    <w:p w14:paraId="1A56378B" w14:textId="77777777" w:rsidR="00844EF5" w:rsidRPr="00844EF5" w:rsidRDefault="00844EF5" w:rsidP="00844EF5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/>
          <w:bCs/>
          <w:sz w:val="30"/>
          <w:szCs w:val="30"/>
        </w:rPr>
        <w:t>建议：</w:t>
      </w:r>
    </w:p>
    <w:p w14:paraId="789D9194" w14:textId="77777777" w:rsidR="00844EF5" w:rsidRPr="00844EF5" w:rsidRDefault="00844EF5" w:rsidP="00844EF5">
      <w:pPr>
        <w:spacing w:line="360" w:lineRule="auto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844EF5">
        <w:rPr>
          <w:rFonts w:ascii="仿宋" w:eastAsia="仿宋" w:hAnsi="仿宋" w:cs="仿宋" w:hint="eastAsia"/>
          <w:bCs/>
          <w:sz w:val="30"/>
          <w:szCs w:val="30"/>
        </w:rPr>
        <w:t>扩大品牌项目覆盖人群，部分项目如人文行走可在现有学生为</w:t>
      </w:r>
      <w:r w:rsidRPr="00844EF5">
        <w:rPr>
          <w:rFonts w:ascii="仿宋" w:eastAsia="仿宋" w:hAnsi="仿宋" w:cs="仿宋" w:hint="eastAsia"/>
          <w:bCs/>
          <w:sz w:val="30"/>
          <w:szCs w:val="30"/>
        </w:rPr>
        <w:lastRenderedPageBreak/>
        <w:t>主要参与人群的基础上扩大到白领、社区居民等；品牌项目建设纳入学校五年发展规划，用规划保障项目顺利开展；深化与其他品牌强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强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合作如将“江川达人秀”与“金平之夜”、“创意手工”等项目联合；继续加大品牌项目宣传与研究力度，通过简报、官微、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微信小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视频、媒体等大力宣传品牌，积极申请与品牌项目有关的课题，发表相关论文，用理论研究成果助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推品牌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实践；拓展项目范畴如“江川达人秀”可进一步挖掘各类达人，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扩充达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人覆盖面，同时，大力</w:t>
      </w:r>
      <w:proofErr w:type="gramStart"/>
      <w:r w:rsidRPr="00844EF5">
        <w:rPr>
          <w:rFonts w:ascii="仿宋" w:eastAsia="仿宋" w:hAnsi="仿宋" w:cs="仿宋" w:hint="eastAsia"/>
          <w:bCs/>
          <w:sz w:val="30"/>
          <w:szCs w:val="30"/>
        </w:rPr>
        <w:t>鼓励达</w:t>
      </w:r>
      <w:proofErr w:type="gramEnd"/>
      <w:r w:rsidRPr="00844EF5">
        <w:rPr>
          <w:rFonts w:ascii="仿宋" w:eastAsia="仿宋" w:hAnsi="仿宋" w:cs="仿宋" w:hint="eastAsia"/>
          <w:bCs/>
          <w:sz w:val="30"/>
          <w:szCs w:val="30"/>
        </w:rPr>
        <w:t>人服务社区教育如担任志愿者；进一步完善品牌项目发展保障机制，从课程设置、人员保障、经费保障、场地提供各方面保证品牌项目顺利运行。</w:t>
      </w:r>
    </w:p>
    <w:p w14:paraId="2E82747E" w14:textId="77777777" w:rsidR="00A5562B" w:rsidRPr="00844EF5" w:rsidRDefault="00A5562B" w:rsidP="00460842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A5562B" w:rsidRPr="00844EF5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D42" w14:textId="77777777" w:rsidR="00CB3856" w:rsidRDefault="00CB3856">
      <w:r>
        <w:separator/>
      </w:r>
    </w:p>
  </w:endnote>
  <w:endnote w:type="continuationSeparator" w:id="0">
    <w:p w14:paraId="6AC2EC1B" w14:textId="77777777" w:rsidR="00CB3856" w:rsidRDefault="00CB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5643" w14:textId="77777777" w:rsidR="00CB3856" w:rsidRDefault="00CB3856">
      <w:r>
        <w:separator/>
      </w:r>
    </w:p>
  </w:footnote>
  <w:footnote w:type="continuationSeparator" w:id="0">
    <w:p w14:paraId="0795953B" w14:textId="77777777" w:rsidR="00CB3856" w:rsidRDefault="00CB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4"/>
  </w:num>
  <w:num w:numId="2" w16cid:durableId="1059858820">
    <w:abstractNumId w:val="2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4EF5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3856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