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D2" w:rsidRDefault="00A028EF">
      <w:pPr>
        <w:widowControl/>
        <w:spacing w:line="384" w:lineRule="atLeast"/>
        <w:jc w:val="center"/>
        <w:rPr>
          <w:rFonts w:ascii="方正小标宋简体" w:eastAsia="方正小标宋简体" w:hAnsi="方正小标宋简体" w:cs="方正小标宋简体"/>
          <w:color w:val="000000"/>
          <w:kern w:val="0"/>
          <w:sz w:val="30"/>
          <w:szCs w:val="30"/>
        </w:rPr>
      </w:pPr>
      <w:r w:rsidRPr="00A028EF">
        <w:rPr>
          <w:rFonts w:ascii="方正小标宋简体" w:eastAsia="方正小标宋简体" w:hAnsi="方正小标宋简体" w:cs="方正小标宋简体" w:hint="eastAsia"/>
          <w:color w:val="000000"/>
          <w:kern w:val="0"/>
          <w:sz w:val="30"/>
          <w:szCs w:val="30"/>
        </w:rPr>
        <w:t>上海市闵行区教育局</w:t>
      </w:r>
      <w:r>
        <w:rPr>
          <w:rFonts w:ascii="方正小标宋简体" w:eastAsia="方正小标宋简体" w:hAnsi="方正小标宋简体" w:cs="方正小标宋简体" w:hint="eastAsia"/>
          <w:color w:val="000000"/>
          <w:kern w:val="0"/>
          <w:sz w:val="30"/>
          <w:szCs w:val="30"/>
        </w:rPr>
        <w:t>政府信息公开工作年度报告（</w:t>
      </w:r>
      <w:r>
        <w:rPr>
          <w:rFonts w:ascii="方正小标宋简体" w:eastAsia="方正小标宋简体" w:hAnsi="方正小标宋简体" w:cs="方正小标宋简体"/>
          <w:color w:val="000000"/>
          <w:kern w:val="0"/>
          <w:sz w:val="30"/>
          <w:szCs w:val="30"/>
        </w:rPr>
        <w:t>2022</w:t>
      </w:r>
      <w:r>
        <w:rPr>
          <w:rFonts w:ascii="方正小标宋简体" w:eastAsia="方正小标宋简体" w:hAnsi="方正小标宋简体" w:cs="方正小标宋简体" w:hint="eastAsia"/>
          <w:color w:val="000000"/>
          <w:kern w:val="0"/>
          <w:sz w:val="30"/>
          <w:szCs w:val="30"/>
        </w:rPr>
        <w:t>年）</w:t>
      </w:r>
    </w:p>
    <w:p w:rsidR="00E40CD2" w:rsidRPr="00E40CD2" w:rsidRDefault="00E40CD2" w:rsidP="00E40CD2">
      <w:pPr>
        <w:widowControl/>
        <w:spacing w:line="384" w:lineRule="atLeast"/>
        <w:ind w:firstLine="480"/>
        <w:rPr>
          <w:rFonts w:ascii="宋体" w:eastAsia="宋体" w:hAnsi="宋体" w:cs="宋体"/>
          <w:color w:val="000000"/>
          <w:kern w:val="0"/>
          <w:sz w:val="24"/>
          <w:szCs w:val="24"/>
        </w:rPr>
      </w:pPr>
      <w:r w:rsidRPr="00E40CD2">
        <w:rPr>
          <w:rFonts w:ascii="宋体" w:eastAsia="宋体" w:hAnsi="宋体" w:cs="宋体" w:hint="eastAsia"/>
          <w:color w:val="000000"/>
          <w:kern w:val="0"/>
          <w:sz w:val="24"/>
          <w:szCs w:val="24"/>
        </w:rPr>
        <w:t>本年度报告根据《中华人民共和国政府信息公开条例》（以下简称《条例》）和《上海市政府信息公开规定》（以下简称《规定》）要求，由上海市闵行区教育局编制。全文包括总体情况、主动公开政府信息情况、收到和处理政府信息公开申请情况</w:t>
      </w:r>
      <w:r w:rsidR="006F08BC">
        <w:rPr>
          <w:rFonts w:ascii="宋体" w:eastAsia="宋体" w:hAnsi="宋体" w:cs="宋体" w:hint="eastAsia"/>
          <w:color w:val="000000"/>
          <w:kern w:val="0"/>
          <w:sz w:val="24"/>
          <w:szCs w:val="24"/>
        </w:rPr>
        <w:t>、政府信息公开行政复议、行政诉讼情况以及存在的主要问题和改进</w:t>
      </w:r>
      <w:r w:rsidRPr="00E40CD2">
        <w:rPr>
          <w:rFonts w:ascii="宋体" w:eastAsia="宋体" w:hAnsi="宋体" w:cs="宋体" w:hint="eastAsia"/>
          <w:color w:val="000000"/>
          <w:kern w:val="0"/>
          <w:sz w:val="24"/>
          <w:szCs w:val="24"/>
        </w:rPr>
        <w:t>情况等。</w:t>
      </w:r>
    </w:p>
    <w:p w:rsidR="004954D2" w:rsidRDefault="00E40CD2" w:rsidP="00E40CD2">
      <w:pPr>
        <w:widowControl/>
        <w:spacing w:line="384" w:lineRule="atLeast"/>
        <w:ind w:firstLine="480"/>
        <w:rPr>
          <w:rFonts w:ascii="宋体" w:eastAsia="宋体" w:hAnsi="宋体" w:cs="宋体"/>
          <w:color w:val="000000"/>
          <w:kern w:val="0"/>
          <w:sz w:val="24"/>
          <w:szCs w:val="24"/>
        </w:rPr>
      </w:pPr>
      <w:r w:rsidRPr="00E40CD2">
        <w:rPr>
          <w:rFonts w:ascii="宋体" w:eastAsia="宋体" w:hAnsi="宋体" w:cs="宋体" w:hint="eastAsia"/>
          <w:color w:val="000000"/>
          <w:kern w:val="0"/>
          <w:sz w:val="24"/>
          <w:szCs w:val="24"/>
        </w:rPr>
        <w:t>本年度报告中所列数据的统计期限自202</w:t>
      </w:r>
      <w:r w:rsidR="00BF28D6">
        <w:rPr>
          <w:rFonts w:ascii="宋体" w:eastAsia="宋体" w:hAnsi="宋体" w:cs="宋体"/>
          <w:color w:val="000000"/>
          <w:kern w:val="0"/>
          <w:sz w:val="24"/>
          <w:szCs w:val="24"/>
        </w:rPr>
        <w:t>2</w:t>
      </w:r>
      <w:r w:rsidRPr="00E40CD2">
        <w:rPr>
          <w:rFonts w:ascii="宋体" w:eastAsia="宋体" w:hAnsi="宋体" w:cs="宋体" w:hint="eastAsia"/>
          <w:color w:val="000000"/>
          <w:kern w:val="0"/>
          <w:sz w:val="24"/>
          <w:szCs w:val="24"/>
        </w:rPr>
        <w:t>年1月1日起至12月31日止。如对本年度报告有疑问，请联系闵行区教育局行政办公室（电话：021-54942010，电子邮箱：jyjxx@shmh.gov.cn）。</w:t>
      </w:r>
    </w:p>
    <w:p w:rsidR="004954D2" w:rsidRDefault="00A028EF">
      <w:pPr>
        <w:widowControl/>
        <w:spacing w:line="384" w:lineRule="atLeast"/>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一、总体情况</w:t>
      </w:r>
    </w:p>
    <w:p w:rsidR="00366633" w:rsidRPr="001B2526" w:rsidRDefault="00D14580" w:rsidP="00366633">
      <w:pPr>
        <w:widowControl/>
        <w:spacing w:line="384" w:lineRule="atLeast"/>
        <w:ind w:firstLine="480"/>
        <w:rPr>
          <w:rFonts w:ascii="宋体" w:eastAsia="宋体" w:hAnsi="宋体" w:cs="宋体"/>
          <w:kern w:val="0"/>
          <w:sz w:val="24"/>
          <w:szCs w:val="24"/>
        </w:rPr>
      </w:pPr>
      <w:r w:rsidRPr="001B2526">
        <w:rPr>
          <w:rFonts w:ascii="宋体" w:eastAsia="宋体" w:hAnsi="宋体" w:cs="宋体" w:hint="eastAsia"/>
          <w:kern w:val="0"/>
          <w:sz w:val="24"/>
          <w:szCs w:val="24"/>
        </w:rPr>
        <w:t>聚焦社会公众需求，全面提升政务公开的标准化规范化水平和工作能级，切实提升公众获得感和满意度。</w:t>
      </w:r>
    </w:p>
    <w:p w:rsidR="00366633" w:rsidRPr="006568D2" w:rsidRDefault="00366633" w:rsidP="00366633">
      <w:pPr>
        <w:widowControl/>
        <w:spacing w:line="384" w:lineRule="atLeast"/>
        <w:ind w:firstLine="480"/>
        <w:rPr>
          <w:rFonts w:ascii="宋体" w:eastAsia="宋体" w:hAnsi="宋体" w:cs="宋体"/>
          <w:kern w:val="0"/>
          <w:sz w:val="24"/>
          <w:szCs w:val="24"/>
        </w:rPr>
      </w:pPr>
      <w:r w:rsidRPr="006568D2">
        <w:rPr>
          <w:rFonts w:ascii="宋体" w:eastAsia="宋体" w:hAnsi="宋体" w:cs="宋体" w:hint="eastAsia"/>
          <w:kern w:val="0"/>
          <w:sz w:val="24"/>
          <w:szCs w:val="24"/>
        </w:rPr>
        <w:t>1.主动公开工作</w:t>
      </w:r>
    </w:p>
    <w:p w:rsidR="00366633" w:rsidRPr="00366633" w:rsidRDefault="00366633" w:rsidP="00034AF4">
      <w:pPr>
        <w:widowControl/>
        <w:spacing w:line="384" w:lineRule="atLeast"/>
        <w:ind w:firstLine="480"/>
        <w:rPr>
          <w:rFonts w:ascii="宋体" w:eastAsia="宋体" w:hAnsi="宋体" w:cs="宋体"/>
          <w:color w:val="FF0000"/>
          <w:kern w:val="0"/>
          <w:sz w:val="24"/>
          <w:szCs w:val="24"/>
        </w:rPr>
      </w:pPr>
      <w:r w:rsidRPr="00ED2031">
        <w:rPr>
          <w:rFonts w:ascii="宋体" w:eastAsia="宋体" w:hAnsi="宋体" w:cs="宋体" w:hint="eastAsia"/>
          <w:kern w:val="0"/>
          <w:sz w:val="24"/>
          <w:szCs w:val="24"/>
        </w:rPr>
        <w:t>废止行政规范性文件1件，对外公开现行有效规范性文件</w:t>
      </w:r>
      <w:r w:rsidR="00047D9D" w:rsidRPr="00ED2031">
        <w:rPr>
          <w:rFonts w:ascii="宋体" w:eastAsia="宋体" w:hAnsi="宋体" w:cs="宋体"/>
          <w:kern w:val="0"/>
          <w:sz w:val="24"/>
          <w:szCs w:val="24"/>
        </w:rPr>
        <w:t>1</w:t>
      </w:r>
      <w:r w:rsidRPr="00ED2031">
        <w:rPr>
          <w:rFonts w:ascii="宋体" w:eastAsia="宋体" w:hAnsi="宋体" w:cs="宋体" w:hint="eastAsia"/>
          <w:kern w:val="0"/>
          <w:sz w:val="24"/>
          <w:szCs w:val="24"/>
        </w:rPr>
        <w:t>件。未制发行政法规、规章。</w:t>
      </w:r>
      <w:r w:rsidRPr="00A95FE5">
        <w:rPr>
          <w:rFonts w:ascii="宋体" w:eastAsia="宋体" w:hAnsi="宋体" w:cs="宋体" w:hint="eastAsia"/>
          <w:kern w:val="0"/>
          <w:sz w:val="24"/>
          <w:szCs w:val="24"/>
        </w:rPr>
        <w:t>公开机构简介、机构职能、机构设置、下属单</w:t>
      </w:r>
      <w:r w:rsidRPr="009824CA">
        <w:rPr>
          <w:rFonts w:ascii="宋体" w:eastAsia="宋体" w:hAnsi="宋体" w:cs="宋体" w:hint="eastAsia"/>
          <w:kern w:val="0"/>
          <w:sz w:val="24"/>
          <w:szCs w:val="24"/>
        </w:rPr>
        <w:t>位信息1</w:t>
      </w:r>
      <w:r w:rsidR="00A95FE5" w:rsidRPr="009824CA">
        <w:rPr>
          <w:rFonts w:ascii="宋体" w:eastAsia="宋体" w:hAnsi="宋体" w:cs="宋体"/>
          <w:kern w:val="0"/>
          <w:sz w:val="24"/>
          <w:szCs w:val="24"/>
        </w:rPr>
        <w:t>2</w:t>
      </w:r>
      <w:r w:rsidRPr="009824CA">
        <w:rPr>
          <w:rFonts w:ascii="宋体" w:eastAsia="宋体" w:hAnsi="宋体" w:cs="宋体" w:hint="eastAsia"/>
          <w:kern w:val="0"/>
          <w:sz w:val="24"/>
          <w:szCs w:val="24"/>
        </w:rPr>
        <w:t>条，领导简介、人事变动信息</w:t>
      </w:r>
      <w:r w:rsidR="009824CA" w:rsidRPr="009824CA">
        <w:rPr>
          <w:rFonts w:ascii="宋体" w:eastAsia="宋体" w:hAnsi="宋体" w:cs="宋体"/>
          <w:kern w:val="0"/>
          <w:sz w:val="24"/>
          <w:szCs w:val="24"/>
        </w:rPr>
        <w:t>65</w:t>
      </w:r>
      <w:r w:rsidRPr="009824CA">
        <w:rPr>
          <w:rFonts w:ascii="宋体" w:eastAsia="宋体" w:hAnsi="宋体" w:cs="宋体" w:hint="eastAsia"/>
          <w:kern w:val="0"/>
          <w:sz w:val="24"/>
          <w:szCs w:val="24"/>
        </w:rPr>
        <w:t>条。</w:t>
      </w:r>
      <w:r w:rsidRPr="00B41CF3">
        <w:rPr>
          <w:rFonts w:ascii="宋体" w:eastAsia="宋体" w:hAnsi="宋体" w:cs="宋体" w:hint="eastAsia"/>
          <w:kern w:val="0"/>
          <w:sz w:val="24"/>
          <w:szCs w:val="24"/>
        </w:rPr>
        <w:t>公开规划计划</w:t>
      </w:r>
      <w:r w:rsidR="00DA0856" w:rsidRPr="00B41CF3">
        <w:rPr>
          <w:rFonts w:ascii="宋体" w:eastAsia="宋体" w:hAnsi="宋体" w:cs="宋体"/>
          <w:kern w:val="0"/>
          <w:sz w:val="24"/>
          <w:szCs w:val="24"/>
        </w:rPr>
        <w:t>1</w:t>
      </w:r>
      <w:r w:rsidRPr="00B41CF3">
        <w:rPr>
          <w:rFonts w:ascii="宋体" w:eastAsia="宋体" w:hAnsi="宋体" w:cs="宋体" w:hint="eastAsia"/>
          <w:kern w:val="0"/>
          <w:sz w:val="24"/>
          <w:szCs w:val="24"/>
        </w:rPr>
        <w:t>条。公开统计数据1条。公开行政许可9项，处理决定数量</w:t>
      </w:r>
      <w:r w:rsidR="00E7798C" w:rsidRPr="00B41CF3">
        <w:rPr>
          <w:rFonts w:ascii="宋体" w:eastAsia="宋体" w:hAnsi="宋体" w:cs="宋体"/>
          <w:kern w:val="0"/>
          <w:sz w:val="24"/>
          <w:szCs w:val="24"/>
        </w:rPr>
        <w:t>1892</w:t>
      </w:r>
      <w:r w:rsidRPr="00B41CF3">
        <w:rPr>
          <w:rFonts w:ascii="宋体" w:eastAsia="宋体" w:hAnsi="宋体" w:cs="宋体" w:hint="eastAsia"/>
          <w:kern w:val="0"/>
          <w:sz w:val="24"/>
          <w:szCs w:val="24"/>
        </w:rPr>
        <w:t>条；</w:t>
      </w:r>
      <w:r w:rsidR="00E7798C" w:rsidRPr="00B41CF3">
        <w:rPr>
          <w:rFonts w:ascii="宋体" w:eastAsia="宋体" w:hAnsi="宋体" w:cs="宋体" w:hint="eastAsia"/>
          <w:kern w:val="0"/>
          <w:sz w:val="24"/>
          <w:szCs w:val="24"/>
        </w:rPr>
        <w:t>公开行政处罚19项，处理决定数量0条；</w:t>
      </w:r>
      <w:r w:rsidR="00785E52" w:rsidRPr="00B41CF3">
        <w:rPr>
          <w:rFonts w:ascii="宋体" w:eastAsia="宋体" w:hAnsi="宋体" w:cs="宋体" w:hint="eastAsia"/>
          <w:kern w:val="0"/>
          <w:sz w:val="24"/>
          <w:szCs w:val="24"/>
        </w:rPr>
        <w:t>无行政强制事项；</w:t>
      </w:r>
      <w:r w:rsidRPr="002F7CA9">
        <w:rPr>
          <w:rFonts w:ascii="宋体" w:eastAsia="宋体" w:hAnsi="宋体" w:cs="宋体" w:hint="eastAsia"/>
          <w:kern w:val="0"/>
          <w:sz w:val="24"/>
          <w:szCs w:val="24"/>
        </w:rPr>
        <w:t>其他对外管理服务事项及其办事指南96</w:t>
      </w:r>
      <w:r w:rsidR="00E7798C" w:rsidRPr="002F7CA9">
        <w:rPr>
          <w:rFonts w:ascii="宋体" w:eastAsia="宋体" w:hAnsi="宋体" w:cs="宋体" w:hint="eastAsia"/>
          <w:kern w:val="0"/>
          <w:sz w:val="24"/>
          <w:szCs w:val="24"/>
        </w:rPr>
        <w:t>项</w:t>
      </w:r>
      <w:r w:rsidRPr="002F7CA9">
        <w:rPr>
          <w:rFonts w:ascii="宋体" w:eastAsia="宋体" w:hAnsi="宋体" w:cs="宋体" w:hint="eastAsia"/>
          <w:kern w:val="0"/>
          <w:sz w:val="24"/>
          <w:szCs w:val="24"/>
        </w:rPr>
        <w:t>。</w:t>
      </w:r>
      <w:r w:rsidR="00785E52" w:rsidRPr="004D05DD">
        <w:rPr>
          <w:rFonts w:ascii="宋体" w:eastAsia="宋体" w:hAnsi="宋体" w:cs="宋体" w:hint="eastAsia"/>
          <w:kern w:val="0"/>
          <w:sz w:val="24"/>
          <w:szCs w:val="24"/>
        </w:rPr>
        <w:t>公</w:t>
      </w:r>
      <w:r w:rsidRPr="004D05DD">
        <w:rPr>
          <w:rFonts w:ascii="宋体" w:eastAsia="宋体" w:hAnsi="宋体" w:cs="宋体" w:hint="eastAsia"/>
          <w:kern w:val="0"/>
          <w:sz w:val="24"/>
          <w:szCs w:val="24"/>
        </w:rPr>
        <w:t>开财政信息97条。</w:t>
      </w:r>
      <w:r w:rsidRPr="00063025">
        <w:rPr>
          <w:rFonts w:ascii="宋体" w:eastAsia="宋体" w:hAnsi="宋体" w:cs="宋体" w:hint="eastAsia"/>
          <w:kern w:val="0"/>
          <w:sz w:val="24"/>
          <w:szCs w:val="24"/>
        </w:rPr>
        <w:t>公开行政事业性收费6项，收费金额</w:t>
      </w:r>
      <w:r w:rsidR="00540EE3" w:rsidRPr="00063025">
        <w:rPr>
          <w:rFonts w:ascii="宋体" w:eastAsia="宋体" w:hAnsi="宋体" w:cs="宋体"/>
          <w:kern w:val="0"/>
          <w:sz w:val="24"/>
          <w:szCs w:val="24"/>
        </w:rPr>
        <w:t>10073</w:t>
      </w:r>
      <w:r w:rsidRPr="00063025">
        <w:rPr>
          <w:rFonts w:ascii="宋体" w:eastAsia="宋体" w:hAnsi="宋体" w:cs="宋体" w:hint="eastAsia"/>
          <w:kern w:val="0"/>
          <w:sz w:val="24"/>
          <w:szCs w:val="24"/>
        </w:rPr>
        <w:t>万元。</w:t>
      </w:r>
      <w:r w:rsidR="00F64906" w:rsidRPr="00F64906">
        <w:rPr>
          <w:rFonts w:ascii="宋体" w:eastAsia="宋体" w:hAnsi="宋体" w:cs="宋体" w:hint="eastAsia"/>
          <w:kern w:val="0"/>
          <w:sz w:val="24"/>
          <w:szCs w:val="24"/>
        </w:rPr>
        <w:t>集中采购项目2个，中标金额为15259.88054万元</w:t>
      </w:r>
      <w:r w:rsidRPr="00F64906">
        <w:rPr>
          <w:rFonts w:ascii="宋体" w:eastAsia="宋体" w:hAnsi="宋体" w:cs="宋体" w:hint="eastAsia"/>
          <w:kern w:val="0"/>
          <w:sz w:val="24"/>
          <w:szCs w:val="24"/>
        </w:rPr>
        <w:t>。</w:t>
      </w:r>
      <w:r w:rsidRPr="004D05DD">
        <w:rPr>
          <w:rFonts w:ascii="宋体" w:eastAsia="宋体" w:hAnsi="宋体" w:cs="宋体" w:hint="eastAsia"/>
          <w:kern w:val="0"/>
          <w:sz w:val="24"/>
          <w:szCs w:val="24"/>
        </w:rPr>
        <w:t>公开重大行政决策目录、决策信息</w:t>
      </w:r>
      <w:r w:rsidR="004D05DD" w:rsidRPr="004D05DD">
        <w:rPr>
          <w:rFonts w:ascii="宋体" w:eastAsia="宋体" w:hAnsi="宋体" w:cs="宋体"/>
          <w:kern w:val="0"/>
          <w:sz w:val="24"/>
          <w:szCs w:val="24"/>
        </w:rPr>
        <w:t>2</w:t>
      </w:r>
      <w:r w:rsidRPr="004D05DD">
        <w:rPr>
          <w:rFonts w:ascii="宋体" w:eastAsia="宋体" w:hAnsi="宋体" w:cs="宋体" w:hint="eastAsia"/>
          <w:kern w:val="0"/>
          <w:sz w:val="24"/>
          <w:szCs w:val="24"/>
        </w:rPr>
        <w:t>条。</w:t>
      </w:r>
      <w:r w:rsidRPr="006568D2">
        <w:rPr>
          <w:rFonts w:ascii="宋体" w:eastAsia="宋体" w:hAnsi="宋体" w:cs="宋体" w:hint="eastAsia"/>
          <w:kern w:val="0"/>
          <w:sz w:val="24"/>
          <w:szCs w:val="24"/>
        </w:rPr>
        <w:t>公开教育重点工作信息</w:t>
      </w:r>
      <w:r w:rsidR="006568D2" w:rsidRPr="006568D2">
        <w:rPr>
          <w:rFonts w:ascii="宋体" w:eastAsia="宋体" w:hAnsi="宋体" w:cs="宋体"/>
          <w:kern w:val="0"/>
          <w:sz w:val="24"/>
          <w:szCs w:val="24"/>
        </w:rPr>
        <w:t>276</w:t>
      </w:r>
      <w:r w:rsidRPr="006568D2">
        <w:rPr>
          <w:rFonts w:ascii="宋体" w:eastAsia="宋体" w:hAnsi="宋体" w:cs="宋体" w:hint="eastAsia"/>
          <w:kern w:val="0"/>
          <w:sz w:val="24"/>
          <w:szCs w:val="24"/>
        </w:rPr>
        <w:t>条。</w:t>
      </w:r>
      <w:r w:rsidR="00034AF4" w:rsidRPr="00034AF4">
        <w:rPr>
          <w:rFonts w:ascii="宋体" w:eastAsia="宋体" w:hAnsi="宋体" w:cs="宋体" w:hint="eastAsia"/>
          <w:kern w:val="0"/>
          <w:sz w:val="24"/>
          <w:szCs w:val="24"/>
        </w:rPr>
        <w:t>主办人大代表书面意见和政协提案35件</w:t>
      </w:r>
      <w:r w:rsidR="00034AF4">
        <w:rPr>
          <w:rFonts w:ascii="宋体" w:eastAsia="宋体" w:hAnsi="宋体" w:cs="宋体" w:hint="eastAsia"/>
          <w:kern w:val="0"/>
          <w:sz w:val="24"/>
          <w:szCs w:val="24"/>
        </w:rPr>
        <w:t>，</w:t>
      </w:r>
      <w:r w:rsidR="00034AF4" w:rsidRPr="00034AF4">
        <w:rPr>
          <w:rFonts w:ascii="宋体" w:eastAsia="宋体" w:hAnsi="宋体" w:cs="宋体" w:hint="eastAsia"/>
          <w:kern w:val="0"/>
          <w:sz w:val="24"/>
          <w:szCs w:val="24"/>
        </w:rPr>
        <w:t>已结案的均全文或摘要公开</w:t>
      </w:r>
      <w:r w:rsidR="00034AF4">
        <w:rPr>
          <w:rFonts w:ascii="宋体" w:eastAsia="宋体" w:hAnsi="宋体" w:cs="宋体" w:hint="eastAsia"/>
          <w:kern w:val="0"/>
          <w:sz w:val="24"/>
          <w:szCs w:val="24"/>
        </w:rPr>
        <w:t>。</w:t>
      </w:r>
    </w:p>
    <w:p w:rsidR="00366633" w:rsidRPr="00DA4FC1" w:rsidRDefault="00366633" w:rsidP="00366633">
      <w:pPr>
        <w:widowControl/>
        <w:spacing w:line="384" w:lineRule="atLeast"/>
        <w:ind w:firstLine="480"/>
        <w:rPr>
          <w:rFonts w:ascii="宋体" w:eastAsia="宋体" w:hAnsi="宋体" w:cs="宋体"/>
          <w:kern w:val="0"/>
          <w:sz w:val="24"/>
          <w:szCs w:val="24"/>
        </w:rPr>
      </w:pPr>
      <w:r w:rsidRPr="00DA4FC1">
        <w:rPr>
          <w:rFonts w:ascii="宋体" w:eastAsia="宋体" w:hAnsi="宋体" w:cs="宋体" w:hint="eastAsia"/>
          <w:kern w:val="0"/>
          <w:sz w:val="24"/>
          <w:szCs w:val="24"/>
        </w:rPr>
        <w:t>2.依申请公开工作</w:t>
      </w:r>
    </w:p>
    <w:p w:rsidR="00366633" w:rsidRPr="00DA4FC1" w:rsidRDefault="00366633" w:rsidP="00366633">
      <w:pPr>
        <w:widowControl/>
        <w:spacing w:line="384" w:lineRule="atLeast"/>
        <w:ind w:firstLine="480"/>
        <w:rPr>
          <w:rFonts w:ascii="宋体" w:eastAsia="宋体" w:hAnsi="宋体" w:cs="宋体"/>
          <w:kern w:val="0"/>
          <w:sz w:val="24"/>
          <w:szCs w:val="24"/>
        </w:rPr>
      </w:pPr>
      <w:r w:rsidRPr="00DA4FC1">
        <w:rPr>
          <w:rFonts w:ascii="宋体" w:eastAsia="宋体" w:hAnsi="宋体" w:cs="宋体" w:hint="eastAsia"/>
          <w:kern w:val="0"/>
          <w:sz w:val="24"/>
          <w:szCs w:val="24"/>
        </w:rPr>
        <w:t>新收政府信息公开申请</w:t>
      </w:r>
      <w:r w:rsidR="00F5048F" w:rsidRPr="00DA4FC1">
        <w:rPr>
          <w:rFonts w:ascii="宋体" w:eastAsia="宋体" w:hAnsi="宋体" w:cs="宋体"/>
          <w:kern w:val="0"/>
          <w:sz w:val="24"/>
          <w:szCs w:val="24"/>
        </w:rPr>
        <w:t>9</w:t>
      </w:r>
      <w:r w:rsidRPr="00DA4FC1">
        <w:rPr>
          <w:rFonts w:ascii="宋体" w:eastAsia="宋体" w:hAnsi="宋体" w:cs="宋体" w:hint="eastAsia"/>
          <w:kern w:val="0"/>
          <w:sz w:val="24"/>
          <w:szCs w:val="24"/>
        </w:rPr>
        <w:t>件</w:t>
      </w:r>
      <w:r w:rsidR="00F5048F" w:rsidRPr="00DA4FC1">
        <w:rPr>
          <w:rFonts w:ascii="宋体" w:eastAsia="宋体" w:hAnsi="宋体" w:cs="宋体" w:hint="eastAsia"/>
          <w:kern w:val="0"/>
          <w:sz w:val="24"/>
          <w:szCs w:val="24"/>
        </w:rPr>
        <w:t>,</w:t>
      </w:r>
      <w:r w:rsidR="00F5048F" w:rsidRPr="00DA4FC1">
        <w:rPr>
          <w:rFonts w:hint="eastAsia"/>
        </w:rPr>
        <w:t xml:space="preserve"> </w:t>
      </w:r>
      <w:r w:rsidR="00F5048F" w:rsidRPr="00DA4FC1">
        <w:rPr>
          <w:rFonts w:ascii="宋体" w:eastAsia="宋体" w:hAnsi="宋体" w:cs="宋体" w:hint="eastAsia"/>
          <w:kern w:val="0"/>
          <w:sz w:val="24"/>
          <w:szCs w:val="24"/>
        </w:rPr>
        <w:t>上年结转</w:t>
      </w:r>
      <w:r w:rsidR="00F5048F" w:rsidRPr="00DA4FC1">
        <w:rPr>
          <w:rFonts w:ascii="宋体" w:eastAsia="宋体" w:hAnsi="宋体" w:cs="宋体"/>
          <w:kern w:val="0"/>
          <w:sz w:val="24"/>
          <w:szCs w:val="24"/>
        </w:rPr>
        <w:t>1</w:t>
      </w:r>
      <w:r w:rsidR="00F5048F" w:rsidRPr="00DA4FC1">
        <w:rPr>
          <w:rFonts w:ascii="宋体" w:eastAsia="宋体" w:hAnsi="宋体" w:cs="宋体" w:hint="eastAsia"/>
          <w:kern w:val="0"/>
          <w:sz w:val="24"/>
          <w:szCs w:val="24"/>
        </w:rPr>
        <w:t>件</w:t>
      </w:r>
      <w:r w:rsidRPr="00DA4FC1">
        <w:rPr>
          <w:rFonts w:ascii="宋体" w:eastAsia="宋体" w:hAnsi="宋体" w:cs="宋体" w:hint="eastAsia"/>
          <w:kern w:val="0"/>
          <w:sz w:val="24"/>
          <w:szCs w:val="24"/>
        </w:rPr>
        <w:t>。其中“予以公开”</w:t>
      </w:r>
      <w:r w:rsidR="00F5048F" w:rsidRPr="00DA4FC1">
        <w:rPr>
          <w:rFonts w:ascii="宋体" w:eastAsia="宋体" w:hAnsi="宋体" w:cs="宋体"/>
          <w:kern w:val="0"/>
          <w:sz w:val="24"/>
          <w:szCs w:val="24"/>
        </w:rPr>
        <w:t>2</w:t>
      </w:r>
      <w:r w:rsidRPr="00DA4FC1">
        <w:rPr>
          <w:rFonts w:ascii="宋体" w:eastAsia="宋体" w:hAnsi="宋体" w:cs="宋体" w:hint="eastAsia"/>
          <w:kern w:val="0"/>
          <w:sz w:val="24"/>
          <w:szCs w:val="24"/>
        </w:rPr>
        <w:t>件，“无法提供”</w:t>
      </w:r>
      <w:r w:rsidR="00F5048F" w:rsidRPr="00DA4FC1">
        <w:rPr>
          <w:rFonts w:ascii="宋体" w:eastAsia="宋体" w:hAnsi="宋体" w:cs="宋体"/>
          <w:kern w:val="0"/>
          <w:sz w:val="24"/>
          <w:szCs w:val="24"/>
        </w:rPr>
        <w:t>5</w:t>
      </w:r>
      <w:r w:rsidRPr="00DA4FC1">
        <w:rPr>
          <w:rFonts w:ascii="宋体" w:eastAsia="宋体" w:hAnsi="宋体" w:cs="宋体" w:hint="eastAsia"/>
          <w:kern w:val="0"/>
          <w:sz w:val="24"/>
          <w:szCs w:val="24"/>
        </w:rPr>
        <w:t>件，“其他处理”</w:t>
      </w:r>
      <w:r w:rsidR="00F5048F" w:rsidRPr="00DA4FC1">
        <w:rPr>
          <w:rFonts w:ascii="宋体" w:eastAsia="宋体" w:hAnsi="宋体" w:cs="宋体"/>
          <w:kern w:val="0"/>
          <w:sz w:val="24"/>
          <w:szCs w:val="24"/>
        </w:rPr>
        <w:t>3</w:t>
      </w:r>
      <w:r w:rsidR="00F5048F" w:rsidRPr="00DA4FC1">
        <w:rPr>
          <w:rFonts w:ascii="宋体" w:eastAsia="宋体" w:hAnsi="宋体" w:cs="宋体" w:hint="eastAsia"/>
          <w:kern w:val="0"/>
          <w:sz w:val="24"/>
          <w:szCs w:val="24"/>
        </w:rPr>
        <w:t>件</w:t>
      </w:r>
      <w:r w:rsidRPr="00DA4FC1">
        <w:rPr>
          <w:rFonts w:ascii="宋体" w:eastAsia="宋体" w:hAnsi="宋体" w:cs="宋体" w:hint="eastAsia"/>
          <w:kern w:val="0"/>
          <w:sz w:val="24"/>
          <w:szCs w:val="24"/>
        </w:rPr>
        <w:t>。</w:t>
      </w:r>
      <w:r w:rsidR="00EB5F60" w:rsidRPr="00DA4FC1">
        <w:rPr>
          <w:rFonts w:ascii="宋体" w:eastAsia="宋体" w:hAnsi="宋体" w:cs="宋体" w:hint="eastAsia"/>
          <w:kern w:val="0"/>
          <w:sz w:val="24"/>
          <w:szCs w:val="24"/>
        </w:rPr>
        <w:t>未发生</w:t>
      </w:r>
      <w:r w:rsidRPr="00DA4FC1">
        <w:rPr>
          <w:rFonts w:ascii="宋体" w:eastAsia="宋体" w:hAnsi="宋体" w:cs="宋体" w:hint="eastAsia"/>
          <w:kern w:val="0"/>
          <w:sz w:val="24"/>
          <w:szCs w:val="24"/>
        </w:rPr>
        <w:t>行政诉讼</w:t>
      </w:r>
      <w:r w:rsidR="00F5048F" w:rsidRPr="00DA4FC1">
        <w:rPr>
          <w:rFonts w:ascii="宋体" w:eastAsia="宋体" w:hAnsi="宋体" w:cs="宋体" w:hint="eastAsia"/>
          <w:kern w:val="0"/>
          <w:sz w:val="24"/>
          <w:szCs w:val="24"/>
        </w:rPr>
        <w:t>和</w:t>
      </w:r>
      <w:r w:rsidRPr="00DA4FC1">
        <w:rPr>
          <w:rFonts w:ascii="宋体" w:eastAsia="宋体" w:hAnsi="宋体" w:cs="宋体" w:hint="eastAsia"/>
          <w:kern w:val="0"/>
          <w:sz w:val="24"/>
          <w:szCs w:val="24"/>
        </w:rPr>
        <w:t>行政复议。</w:t>
      </w:r>
    </w:p>
    <w:p w:rsidR="00366633" w:rsidRPr="006568D2" w:rsidRDefault="00366633" w:rsidP="00366633">
      <w:pPr>
        <w:widowControl/>
        <w:spacing w:line="384" w:lineRule="atLeast"/>
        <w:ind w:firstLine="480"/>
        <w:rPr>
          <w:rFonts w:ascii="宋体" w:eastAsia="宋体" w:hAnsi="宋体" w:cs="宋体"/>
          <w:kern w:val="0"/>
          <w:sz w:val="24"/>
          <w:szCs w:val="24"/>
        </w:rPr>
      </w:pPr>
      <w:r w:rsidRPr="006568D2">
        <w:rPr>
          <w:rFonts w:ascii="宋体" w:eastAsia="宋体" w:hAnsi="宋体" w:cs="宋体" w:hint="eastAsia"/>
          <w:kern w:val="0"/>
          <w:sz w:val="24"/>
          <w:szCs w:val="24"/>
        </w:rPr>
        <w:t>3.政府信息管理</w:t>
      </w:r>
    </w:p>
    <w:p w:rsidR="00366633" w:rsidRPr="00366633" w:rsidRDefault="00A93E5E" w:rsidP="00366633">
      <w:pPr>
        <w:widowControl/>
        <w:spacing w:line="384" w:lineRule="atLeast"/>
        <w:ind w:firstLine="480"/>
        <w:rPr>
          <w:rFonts w:ascii="宋体" w:eastAsia="宋体" w:hAnsi="宋体" w:cs="宋体"/>
          <w:color w:val="FF0000"/>
          <w:kern w:val="0"/>
          <w:sz w:val="24"/>
          <w:szCs w:val="24"/>
        </w:rPr>
      </w:pPr>
      <w:r w:rsidRPr="00A93E5E">
        <w:rPr>
          <w:rFonts w:ascii="宋体" w:eastAsia="宋体" w:hAnsi="宋体" w:cs="宋体" w:hint="eastAsia"/>
          <w:kern w:val="0"/>
          <w:sz w:val="24"/>
          <w:szCs w:val="24"/>
        </w:rPr>
        <w:t>修订202</w:t>
      </w:r>
      <w:r w:rsidRPr="00A93E5E">
        <w:rPr>
          <w:rFonts w:ascii="宋体" w:eastAsia="宋体" w:hAnsi="宋体" w:cs="宋体"/>
          <w:kern w:val="0"/>
          <w:sz w:val="24"/>
          <w:szCs w:val="24"/>
        </w:rPr>
        <w:t>2</w:t>
      </w:r>
      <w:r w:rsidRPr="00A93E5E">
        <w:rPr>
          <w:rFonts w:ascii="宋体" w:eastAsia="宋体" w:hAnsi="宋体" w:cs="宋体" w:hint="eastAsia"/>
          <w:kern w:val="0"/>
          <w:sz w:val="24"/>
          <w:szCs w:val="24"/>
        </w:rPr>
        <w:t>年版《闵行区教育局政务公开标准目录》和《闵行区教育局义务教育领域基层政务公开标准目录》。</w:t>
      </w:r>
      <w:r w:rsidR="00366633" w:rsidRPr="006568D2">
        <w:rPr>
          <w:rFonts w:ascii="宋体" w:eastAsia="宋体" w:hAnsi="宋体" w:cs="宋体" w:hint="eastAsia"/>
          <w:kern w:val="0"/>
          <w:sz w:val="24"/>
          <w:szCs w:val="24"/>
        </w:rPr>
        <w:t>公开公文类政府信息</w:t>
      </w:r>
      <w:r w:rsidR="006568D2" w:rsidRPr="006568D2">
        <w:rPr>
          <w:rFonts w:ascii="宋体" w:eastAsia="宋体" w:hAnsi="宋体" w:cs="宋体"/>
          <w:kern w:val="0"/>
          <w:sz w:val="24"/>
          <w:szCs w:val="24"/>
        </w:rPr>
        <w:t>213</w:t>
      </w:r>
      <w:r w:rsidR="00366633" w:rsidRPr="006568D2">
        <w:rPr>
          <w:rFonts w:ascii="宋体" w:eastAsia="宋体" w:hAnsi="宋体" w:cs="宋体" w:hint="eastAsia"/>
          <w:kern w:val="0"/>
          <w:sz w:val="24"/>
          <w:szCs w:val="24"/>
        </w:rPr>
        <w:t>条，重要政策解读1</w:t>
      </w:r>
      <w:r w:rsidR="006568D2" w:rsidRPr="006568D2">
        <w:rPr>
          <w:rFonts w:ascii="宋体" w:eastAsia="宋体" w:hAnsi="宋体" w:cs="宋体"/>
          <w:kern w:val="0"/>
          <w:sz w:val="24"/>
          <w:szCs w:val="24"/>
        </w:rPr>
        <w:t>2</w:t>
      </w:r>
      <w:r w:rsidR="00366633" w:rsidRPr="006568D2">
        <w:rPr>
          <w:rFonts w:ascii="宋体" w:eastAsia="宋体" w:hAnsi="宋体" w:cs="宋体" w:hint="eastAsia"/>
          <w:kern w:val="0"/>
          <w:sz w:val="24"/>
          <w:szCs w:val="24"/>
        </w:rPr>
        <w:t>条</w:t>
      </w:r>
      <w:r>
        <w:rPr>
          <w:rFonts w:ascii="宋体" w:eastAsia="宋体" w:hAnsi="宋体" w:cs="宋体" w:hint="eastAsia"/>
          <w:kern w:val="0"/>
          <w:sz w:val="24"/>
          <w:szCs w:val="24"/>
        </w:rPr>
        <w:t>。</w:t>
      </w:r>
      <w:r w:rsidRPr="006568D2">
        <w:rPr>
          <w:rFonts w:ascii="宋体" w:eastAsia="宋体" w:hAnsi="宋体" w:cs="宋体" w:hint="eastAsia"/>
          <w:kern w:val="0"/>
          <w:sz w:val="24"/>
          <w:szCs w:val="24"/>
        </w:rPr>
        <w:t>发布依申请</w:t>
      </w:r>
      <w:proofErr w:type="gramStart"/>
      <w:r w:rsidRPr="006568D2">
        <w:rPr>
          <w:rFonts w:ascii="宋体" w:eastAsia="宋体" w:hAnsi="宋体" w:cs="宋体" w:hint="eastAsia"/>
          <w:kern w:val="0"/>
          <w:sz w:val="24"/>
          <w:szCs w:val="24"/>
        </w:rPr>
        <w:t>转主动</w:t>
      </w:r>
      <w:proofErr w:type="gramEnd"/>
      <w:r w:rsidRPr="006568D2">
        <w:rPr>
          <w:rFonts w:ascii="宋体" w:eastAsia="宋体" w:hAnsi="宋体" w:cs="宋体" w:hint="eastAsia"/>
          <w:kern w:val="0"/>
          <w:sz w:val="24"/>
          <w:szCs w:val="24"/>
        </w:rPr>
        <w:t>公开</w:t>
      </w:r>
      <w:r>
        <w:rPr>
          <w:rFonts w:ascii="宋体" w:eastAsia="宋体" w:hAnsi="宋体" w:cs="宋体" w:hint="eastAsia"/>
          <w:kern w:val="0"/>
          <w:sz w:val="24"/>
          <w:szCs w:val="24"/>
        </w:rPr>
        <w:t>信息</w:t>
      </w:r>
      <w:r w:rsidRPr="006568D2">
        <w:rPr>
          <w:rFonts w:ascii="宋体" w:eastAsia="宋体" w:hAnsi="宋体" w:cs="宋体"/>
          <w:kern w:val="0"/>
          <w:sz w:val="24"/>
          <w:szCs w:val="24"/>
        </w:rPr>
        <w:t>3</w:t>
      </w:r>
      <w:r w:rsidRPr="006568D2">
        <w:rPr>
          <w:rFonts w:ascii="宋体" w:eastAsia="宋体" w:hAnsi="宋体" w:cs="宋体" w:hint="eastAsia"/>
          <w:kern w:val="0"/>
          <w:sz w:val="24"/>
          <w:szCs w:val="24"/>
        </w:rPr>
        <w:t>条。</w:t>
      </w:r>
    </w:p>
    <w:p w:rsidR="00366633" w:rsidRPr="00561816" w:rsidRDefault="00366633" w:rsidP="00366633">
      <w:pPr>
        <w:widowControl/>
        <w:spacing w:line="384" w:lineRule="atLeast"/>
        <w:ind w:firstLine="480"/>
        <w:rPr>
          <w:rFonts w:ascii="宋体" w:eastAsia="宋体" w:hAnsi="宋体" w:cs="宋体"/>
          <w:kern w:val="0"/>
          <w:sz w:val="24"/>
          <w:szCs w:val="24"/>
        </w:rPr>
      </w:pPr>
      <w:r w:rsidRPr="00561816">
        <w:rPr>
          <w:rFonts w:ascii="宋体" w:eastAsia="宋体" w:hAnsi="宋体" w:cs="宋体" w:hint="eastAsia"/>
          <w:kern w:val="0"/>
          <w:sz w:val="24"/>
          <w:szCs w:val="24"/>
        </w:rPr>
        <w:t>4.政府信息平台建设</w:t>
      </w:r>
    </w:p>
    <w:p w:rsidR="00366633" w:rsidRPr="00561816" w:rsidRDefault="00366633" w:rsidP="00366633">
      <w:pPr>
        <w:widowControl/>
        <w:spacing w:line="384" w:lineRule="atLeast"/>
        <w:ind w:firstLine="480"/>
        <w:rPr>
          <w:rFonts w:ascii="宋体" w:eastAsia="宋体" w:hAnsi="宋体" w:cs="宋体"/>
          <w:kern w:val="0"/>
          <w:sz w:val="24"/>
          <w:szCs w:val="24"/>
        </w:rPr>
      </w:pPr>
      <w:r w:rsidRPr="00561816">
        <w:rPr>
          <w:rFonts w:ascii="宋体" w:eastAsia="宋体" w:hAnsi="宋体" w:cs="宋体" w:hint="eastAsia"/>
          <w:kern w:val="0"/>
          <w:sz w:val="24"/>
          <w:szCs w:val="24"/>
        </w:rPr>
        <w:t>设立教育局专栏、政务公开标准化专栏和义务教育领域基层政务公开标准化专栏，集中向社会公开政府信息。</w:t>
      </w:r>
    </w:p>
    <w:p w:rsidR="00366633" w:rsidRPr="00561816" w:rsidRDefault="00366633" w:rsidP="00366633">
      <w:pPr>
        <w:widowControl/>
        <w:spacing w:line="384" w:lineRule="atLeast"/>
        <w:ind w:firstLine="480"/>
        <w:rPr>
          <w:rFonts w:ascii="宋体" w:eastAsia="宋体" w:hAnsi="宋体" w:cs="宋体"/>
          <w:kern w:val="0"/>
          <w:sz w:val="24"/>
          <w:szCs w:val="24"/>
        </w:rPr>
      </w:pPr>
      <w:r w:rsidRPr="00561816">
        <w:rPr>
          <w:rFonts w:ascii="宋体" w:eastAsia="宋体" w:hAnsi="宋体" w:cs="宋体" w:hint="eastAsia"/>
          <w:kern w:val="0"/>
          <w:sz w:val="24"/>
          <w:szCs w:val="24"/>
        </w:rPr>
        <w:t>设立闵</w:t>
      </w:r>
      <w:r w:rsidR="000642D0">
        <w:rPr>
          <w:rFonts w:ascii="宋体" w:eastAsia="宋体" w:hAnsi="宋体" w:cs="宋体" w:hint="eastAsia"/>
          <w:kern w:val="0"/>
          <w:sz w:val="24"/>
          <w:szCs w:val="24"/>
        </w:rPr>
        <w:t>行教育公共服务平台，提供</w:t>
      </w:r>
      <w:r w:rsidR="000642D0" w:rsidRPr="000642D0">
        <w:rPr>
          <w:rFonts w:ascii="宋体" w:eastAsia="宋体" w:hAnsi="宋体" w:cs="宋体" w:hint="eastAsia"/>
          <w:kern w:val="0"/>
          <w:sz w:val="24"/>
          <w:szCs w:val="24"/>
        </w:rPr>
        <w:t>学校查询、学区查询、中考查分、教师招聘查询、校历查询</w:t>
      </w:r>
      <w:r w:rsidRPr="00561816">
        <w:rPr>
          <w:rFonts w:ascii="宋体" w:eastAsia="宋体" w:hAnsi="宋体" w:cs="宋体" w:hint="eastAsia"/>
          <w:kern w:val="0"/>
          <w:sz w:val="24"/>
          <w:szCs w:val="24"/>
        </w:rPr>
        <w:t>等</w:t>
      </w:r>
      <w:r w:rsidR="000642D0">
        <w:rPr>
          <w:rFonts w:ascii="宋体" w:eastAsia="宋体" w:hAnsi="宋体" w:cs="宋体" w:hint="eastAsia"/>
          <w:kern w:val="0"/>
          <w:sz w:val="24"/>
          <w:szCs w:val="24"/>
        </w:rPr>
        <w:t>服务</w:t>
      </w:r>
      <w:r w:rsidRPr="00561816">
        <w:rPr>
          <w:rFonts w:ascii="宋体" w:eastAsia="宋体" w:hAnsi="宋体" w:cs="宋体" w:hint="eastAsia"/>
          <w:kern w:val="0"/>
          <w:sz w:val="24"/>
          <w:szCs w:val="24"/>
        </w:rPr>
        <w:t>。</w:t>
      </w:r>
    </w:p>
    <w:p w:rsidR="00366633" w:rsidRPr="00270ECB" w:rsidRDefault="00366633" w:rsidP="00366633">
      <w:pPr>
        <w:widowControl/>
        <w:spacing w:line="384" w:lineRule="atLeast"/>
        <w:ind w:firstLine="480"/>
        <w:rPr>
          <w:rFonts w:ascii="宋体" w:eastAsia="宋体" w:hAnsi="宋体" w:cs="宋体"/>
          <w:kern w:val="0"/>
          <w:sz w:val="24"/>
          <w:szCs w:val="24"/>
        </w:rPr>
      </w:pPr>
      <w:r w:rsidRPr="00270ECB">
        <w:rPr>
          <w:rFonts w:ascii="宋体" w:eastAsia="宋体" w:hAnsi="宋体" w:cs="宋体" w:hint="eastAsia"/>
          <w:kern w:val="0"/>
          <w:sz w:val="24"/>
          <w:szCs w:val="24"/>
        </w:rPr>
        <w:lastRenderedPageBreak/>
        <w:t>开设闵行教育微博、微信，发布教育资讯、回应网友关切。</w:t>
      </w:r>
      <w:proofErr w:type="gramStart"/>
      <w:r w:rsidRPr="00270ECB">
        <w:rPr>
          <w:rFonts w:ascii="宋体" w:eastAsia="宋体" w:hAnsi="宋体" w:cs="宋体" w:hint="eastAsia"/>
          <w:kern w:val="0"/>
          <w:sz w:val="24"/>
          <w:szCs w:val="24"/>
        </w:rPr>
        <w:t>微博粉丝</w:t>
      </w:r>
      <w:proofErr w:type="gramEnd"/>
      <w:r w:rsidRPr="00270ECB">
        <w:rPr>
          <w:rFonts w:ascii="宋体" w:eastAsia="宋体" w:hAnsi="宋体" w:cs="宋体" w:hint="eastAsia"/>
          <w:kern w:val="0"/>
          <w:sz w:val="24"/>
          <w:szCs w:val="24"/>
        </w:rPr>
        <w:t>78.6</w:t>
      </w:r>
      <w:r w:rsidR="00CB3D8A" w:rsidRPr="00270ECB">
        <w:rPr>
          <w:rFonts w:ascii="宋体" w:eastAsia="宋体" w:hAnsi="宋体" w:cs="宋体" w:hint="eastAsia"/>
          <w:kern w:val="0"/>
          <w:sz w:val="24"/>
          <w:szCs w:val="24"/>
        </w:rPr>
        <w:t>万人，</w:t>
      </w:r>
      <w:r w:rsidR="00117A0F" w:rsidRPr="00270ECB">
        <w:rPr>
          <w:rFonts w:ascii="宋体" w:eastAsia="宋体" w:hAnsi="宋体" w:cs="宋体" w:hint="eastAsia"/>
          <w:kern w:val="0"/>
          <w:sz w:val="24"/>
          <w:szCs w:val="24"/>
        </w:rPr>
        <w:t>累计</w:t>
      </w:r>
      <w:proofErr w:type="gramStart"/>
      <w:r w:rsidRPr="00270ECB">
        <w:rPr>
          <w:rFonts w:ascii="宋体" w:eastAsia="宋体" w:hAnsi="宋体" w:cs="宋体" w:hint="eastAsia"/>
          <w:kern w:val="0"/>
          <w:sz w:val="24"/>
          <w:szCs w:val="24"/>
        </w:rPr>
        <w:t>发布微博5</w:t>
      </w:r>
      <w:r w:rsidR="00117A0F" w:rsidRPr="00270ECB">
        <w:rPr>
          <w:rFonts w:ascii="宋体" w:eastAsia="宋体" w:hAnsi="宋体" w:cs="宋体"/>
          <w:kern w:val="0"/>
          <w:sz w:val="24"/>
          <w:szCs w:val="24"/>
        </w:rPr>
        <w:t>288</w:t>
      </w:r>
      <w:r w:rsidRPr="00270ECB">
        <w:rPr>
          <w:rFonts w:ascii="宋体" w:eastAsia="宋体" w:hAnsi="宋体" w:cs="宋体" w:hint="eastAsia"/>
          <w:kern w:val="0"/>
          <w:sz w:val="24"/>
          <w:szCs w:val="24"/>
        </w:rPr>
        <w:t>条</w:t>
      </w:r>
      <w:proofErr w:type="gramEnd"/>
      <w:r w:rsidRPr="00270ECB">
        <w:rPr>
          <w:rFonts w:ascii="宋体" w:eastAsia="宋体" w:hAnsi="宋体" w:cs="宋体" w:hint="eastAsia"/>
          <w:kern w:val="0"/>
          <w:sz w:val="24"/>
          <w:szCs w:val="24"/>
        </w:rPr>
        <w:t>，处理留言投诉建议</w:t>
      </w:r>
      <w:r w:rsidR="00A93E5E" w:rsidRPr="00270ECB">
        <w:rPr>
          <w:rFonts w:ascii="宋体" w:eastAsia="宋体" w:hAnsi="宋体" w:cs="宋体" w:hint="eastAsia"/>
          <w:kern w:val="0"/>
          <w:sz w:val="24"/>
          <w:szCs w:val="24"/>
        </w:rPr>
        <w:t>200余条</w:t>
      </w:r>
      <w:r w:rsidRPr="00270ECB">
        <w:rPr>
          <w:rFonts w:ascii="宋体" w:eastAsia="宋体" w:hAnsi="宋体" w:cs="宋体" w:hint="eastAsia"/>
          <w:kern w:val="0"/>
          <w:sz w:val="24"/>
          <w:szCs w:val="24"/>
        </w:rPr>
        <w:t>。</w:t>
      </w:r>
      <w:proofErr w:type="gramStart"/>
      <w:r w:rsidRPr="00270ECB">
        <w:rPr>
          <w:rFonts w:ascii="宋体" w:eastAsia="宋体" w:hAnsi="宋体" w:cs="宋体" w:hint="eastAsia"/>
          <w:kern w:val="0"/>
          <w:sz w:val="24"/>
          <w:szCs w:val="24"/>
        </w:rPr>
        <w:t>微信粉丝</w:t>
      </w:r>
      <w:proofErr w:type="gramEnd"/>
      <w:r w:rsidR="00A93E5E" w:rsidRPr="00270ECB">
        <w:rPr>
          <w:rFonts w:ascii="宋体" w:eastAsia="宋体" w:hAnsi="宋体" w:cs="宋体"/>
          <w:kern w:val="0"/>
          <w:sz w:val="24"/>
          <w:szCs w:val="24"/>
        </w:rPr>
        <w:t>20.81</w:t>
      </w:r>
      <w:r w:rsidR="00A93E5E" w:rsidRPr="00270ECB">
        <w:rPr>
          <w:rFonts w:ascii="宋体" w:eastAsia="宋体" w:hAnsi="宋体" w:cs="宋体" w:hint="eastAsia"/>
          <w:kern w:val="0"/>
          <w:sz w:val="24"/>
          <w:szCs w:val="24"/>
        </w:rPr>
        <w:t>万人，</w:t>
      </w:r>
      <w:r w:rsidR="00117A0F" w:rsidRPr="00270ECB">
        <w:rPr>
          <w:rFonts w:ascii="宋体" w:eastAsia="宋体" w:hAnsi="宋体" w:cs="宋体" w:hint="eastAsia"/>
          <w:kern w:val="0"/>
          <w:sz w:val="24"/>
          <w:szCs w:val="24"/>
        </w:rPr>
        <w:t>累计</w:t>
      </w:r>
      <w:proofErr w:type="gramStart"/>
      <w:r w:rsidRPr="00270ECB">
        <w:rPr>
          <w:rFonts w:ascii="宋体" w:eastAsia="宋体" w:hAnsi="宋体" w:cs="宋体" w:hint="eastAsia"/>
          <w:kern w:val="0"/>
          <w:sz w:val="24"/>
          <w:szCs w:val="24"/>
        </w:rPr>
        <w:t>发布推文</w:t>
      </w:r>
      <w:r w:rsidR="00117A0F" w:rsidRPr="00270ECB">
        <w:rPr>
          <w:rFonts w:ascii="宋体" w:eastAsia="宋体" w:hAnsi="宋体" w:cs="宋体"/>
          <w:kern w:val="0"/>
          <w:sz w:val="24"/>
          <w:szCs w:val="24"/>
        </w:rPr>
        <w:t>824</w:t>
      </w:r>
      <w:r w:rsidRPr="00270ECB">
        <w:rPr>
          <w:rFonts w:ascii="宋体" w:eastAsia="宋体" w:hAnsi="宋体" w:cs="宋体" w:hint="eastAsia"/>
          <w:kern w:val="0"/>
          <w:sz w:val="24"/>
          <w:szCs w:val="24"/>
        </w:rPr>
        <w:t>条</w:t>
      </w:r>
      <w:proofErr w:type="gramEnd"/>
      <w:r w:rsidRPr="00270ECB">
        <w:rPr>
          <w:rFonts w:ascii="宋体" w:eastAsia="宋体" w:hAnsi="宋体" w:cs="宋体" w:hint="eastAsia"/>
          <w:kern w:val="0"/>
          <w:sz w:val="24"/>
          <w:szCs w:val="24"/>
        </w:rPr>
        <w:t>。</w:t>
      </w:r>
    </w:p>
    <w:p w:rsidR="00366633" w:rsidRPr="009F71E5" w:rsidRDefault="00366633" w:rsidP="00366633">
      <w:pPr>
        <w:widowControl/>
        <w:spacing w:line="384" w:lineRule="atLeast"/>
        <w:ind w:firstLine="480"/>
        <w:rPr>
          <w:rFonts w:ascii="宋体" w:eastAsia="宋体" w:hAnsi="宋体" w:cs="宋体"/>
          <w:kern w:val="0"/>
          <w:sz w:val="24"/>
          <w:szCs w:val="24"/>
        </w:rPr>
      </w:pPr>
      <w:r w:rsidRPr="009F71E5">
        <w:rPr>
          <w:rFonts w:ascii="宋体" w:eastAsia="宋体" w:hAnsi="宋体" w:cs="宋体" w:hint="eastAsia"/>
          <w:kern w:val="0"/>
          <w:sz w:val="24"/>
          <w:szCs w:val="24"/>
        </w:rPr>
        <w:t>5.监督保障</w:t>
      </w:r>
    </w:p>
    <w:p w:rsidR="00366633" w:rsidRPr="00366633" w:rsidRDefault="00C704B5" w:rsidP="00366633">
      <w:pPr>
        <w:widowControl/>
        <w:spacing w:line="384" w:lineRule="atLeast"/>
        <w:ind w:firstLine="480"/>
        <w:rPr>
          <w:rFonts w:ascii="宋体" w:eastAsia="宋体" w:hAnsi="宋体" w:cs="宋体"/>
          <w:color w:val="FF0000"/>
          <w:kern w:val="0"/>
          <w:sz w:val="24"/>
          <w:szCs w:val="24"/>
        </w:rPr>
      </w:pPr>
      <w:r w:rsidRPr="009F71E5">
        <w:rPr>
          <w:rFonts w:ascii="宋体" w:eastAsia="宋体" w:hAnsi="宋体" w:cs="宋体" w:hint="eastAsia"/>
          <w:kern w:val="0"/>
          <w:sz w:val="24"/>
          <w:szCs w:val="24"/>
        </w:rPr>
        <w:t>办理信访</w:t>
      </w:r>
      <w:r w:rsidRPr="009F71E5">
        <w:rPr>
          <w:rFonts w:ascii="宋体" w:eastAsia="宋体" w:hAnsi="宋体" w:cs="宋体"/>
          <w:kern w:val="0"/>
          <w:sz w:val="24"/>
          <w:szCs w:val="24"/>
        </w:rPr>
        <w:t>1329</w:t>
      </w:r>
      <w:r w:rsidRPr="009F71E5">
        <w:rPr>
          <w:rFonts w:ascii="宋体" w:eastAsia="宋体" w:hAnsi="宋体" w:cs="宋体" w:hint="eastAsia"/>
          <w:kern w:val="0"/>
          <w:sz w:val="24"/>
          <w:szCs w:val="24"/>
        </w:rPr>
        <w:t>件，</w:t>
      </w:r>
      <w:r w:rsidR="00366633" w:rsidRPr="009F71E5">
        <w:rPr>
          <w:rFonts w:ascii="宋体" w:eastAsia="宋体" w:hAnsi="宋体" w:cs="宋体" w:hint="eastAsia"/>
          <w:kern w:val="0"/>
          <w:sz w:val="24"/>
          <w:szCs w:val="24"/>
        </w:rPr>
        <w:t>处理公众咨询</w:t>
      </w:r>
      <w:r w:rsidRPr="009F71E5">
        <w:rPr>
          <w:rFonts w:ascii="宋体" w:eastAsia="宋体" w:hAnsi="宋体" w:cs="宋体" w:hint="eastAsia"/>
          <w:kern w:val="0"/>
          <w:sz w:val="24"/>
          <w:szCs w:val="24"/>
        </w:rPr>
        <w:t>6524件。各类案件按时受理、转送、答复率均为100%，办理联系率99.86%，公开率92%</w:t>
      </w:r>
      <w:r w:rsidR="00366633" w:rsidRPr="009F71E5">
        <w:rPr>
          <w:rFonts w:ascii="宋体" w:eastAsia="宋体" w:hAnsi="宋体" w:cs="宋体" w:hint="eastAsia"/>
          <w:kern w:val="0"/>
          <w:sz w:val="24"/>
          <w:szCs w:val="24"/>
        </w:rPr>
        <w:t>。</w:t>
      </w:r>
      <w:r w:rsidR="00366633" w:rsidRPr="00B56721">
        <w:rPr>
          <w:rFonts w:ascii="宋体" w:eastAsia="宋体" w:hAnsi="宋体" w:cs="宋体" w:hint="eastAsia"/>
          <w:kern w:val="0"/>
          <w:sz w:val="24"/>
          <w:szCs w:val="24"/>
        </w:rPr>
        <w:t>开展网上</w:t>
      </w:r>
      <w:r w:rsidR="001B2526" w:rsidRPr="00B56721">
        <w:rPr>
          <w:rFonts w:ascii="宋体" w:eastAsia="宋体" w:hAnsi="宋体" w:cs="宋体" w:hint="eastAsia"/>
          <w:kern w:val="0"/>
          <w:sz w:val="24"/>
          <w:szCs w:val="24"/>
        </w:rPr>
        <w:t>意见</w:t>
      </w:r>
      <w:r w:rsidR="00366633" w:rsidRPr="00B56721">
        <w:rPr>
          <w:rFonts w:ascii="宋体" w:eastAsia="宋体" w:hAnsi="宋体" w:cs="宋体" w:hint="eastAsia"/>
          <w:kern w:val="0"/>
          <w:sz w:val="24"/>
          <w:szCs w:val="24"/>
        </w:rPr>
        <w:t>征求、网上调查</w:t>
      </w:r>
      <w:r w:rsidR="00322476" w:rsidRPr="00B56721">
        <w:rPr>
          <w:rFonts w:ascii="宋体" w:eastAsia="宋体" w:hAnsi="宋体" w:cs="宋体"/>
          <w:kern w:val="0"/>
          <w:sz w:val="24"/>
          <w:szCs w:val="24"/>
        </w:rPr>
        <w:t>2</w:t>
      </w:r>
      <w:r w:rsidR="00EF5533">
        <w:rPr>
          <w:rFonts w:ascii="宋体" w:eastAsia="宋体" w:hAnsi="宋体" w:cs="宋体" w:hint="eastAsia"/>
          <w:kern w:val="0"/>
          <w:sz w:val="24"/>
          <w:szCs w:val="24"/>
        </w:rPr>
        <w:t>次，</w:t>
      </w:r>
      <w:r w:rsidR="000442A7">
        <w:rPr>
          <w:rFonts w:ascii="宋体" w:eastAsia="宋体" w:hAnsi="宋体" w:cs="宋体" w:hint="eastAsia"/>
          <w:kern w:val="0"/>
          <w:sz w:val="24"/>
          <w:szCs w:val="24"/>
        </w:rPr>
        <w:t>征求</w:t>
      </w:r>
      <w:r w:rsidR="00963626">
        <w:rPr>
          <w:rFonts w:ascii="宋体" w:eastAsia="宋体" w:hAnsi="宋体" w:cs="宋体" w:hint="eastAsia"/>
          <w:kern w:val="0"/>
          <w:sz w:val="24"/>
          <w:szCs w:val="24"/>
        </w:rPr>
        <w:t>及</w:t>
      </w:r>
      <w:r w:rsidR="000442A7">
        <w:rPr>
          <w:rFonts w:ascii="宋体" w:eastAsia="宋体" w:hAnsi="宋体" w:cs="宋体"/>
          <w:kern w:val="0"/>
          <w:sz w:val="24"/>
          <w:szCs w:val="24"/>
        </w:rPr>
        <w:t>调查</w:t>
      </w:r>
      <w:r w:rsidR="00366633" w:rsidRPr="00B56721">
        <w:rPr>
          <w:rFonts w:ascii="宋体" w:eastAsia="宋体" w:hAnsi="宋体" w:cs="宋体" w:hint="eastAsia"/>
          <w:kern w:val="0"/>
          <w:sz w:val="24"/>
          <w:szCs w:val="24"/>
        </w:rPr>
        <w:t>结果</w:t>
      </w:r>
      <w:r w:rsidR="00B56721" w:rsidRPr="00B56721">
        <w:rPr>
          <w:rFonts w:ascii="宋体" w:eastAsia="宋体" w:hAnsi="宋体" w:cs="宋体" w:hint="eastAsia"/>
          <w:kern w:val="0"/>
          <w:sz w:val="24"/>
          <w:szCs w:val="24"/>
        </w:rPr>
        <w:t>向社会</w:t>
      </w:r>
      <w:r w:rsidR="00366633" w:rsidRPr="00B56721">
        <w:rPr>
          <w:rFonts w:ascii="宋体" w:eastAsia="宋体" w:hAnsi="宋体" w:cs="宋体" w:hint="eastAsia"/>
          <w:kern w:val="0"/>
          <w:sz w:val="24"/>
          <w:szCs w:val="24"/>
        </w:rPr>
        <w:t>公开。</w:t>
      </w:r>
    </w:p>
    <w:p w:rsidR="00366633" w:rsidRPr="009F71E5" w:rsidRDefault="00366633" w:rsidP="00366633">
      <w:pPr>
        <w:widowControl/>
        <w:spacing w:line="384" w:lineRule="atLeast"/>
        <w:ind w:firstLine="480"/>
        <w:rPr>
          <w:rFonts w:ascii="宋体" w:eastAsia="宋体" w:hAnsi="宋体" w:cs="宋体"/>
          <w:kern w:val="0"/>
          <w:sz w:val="24"/>
          <w:szCs w:val="24"/>
        </w:rPr>
      </w:pPr>
      <w:r w:rsidRPr="009F71E5">
        <w:rPr>
          <w:rFonts w:ascii="宋体" w:eastAsia="宋体" w:hAnsi="宋体" w:cs="宋体" w:hint="eastAsia"/>
          <w:kern w:val="0"/>
          <w:sz w:val="24"/>
          <w:szCs w:val="24"/>
        </w:rPr>
        <w:t>获评202</w:t>
      </w:r>
      <w:r w:rsidR="00F5048F" w:rsidRPr="009F71E5">
        <w:rPr>
          <w:rFonts w:ascii="宋体" w:eastAsia="宋体" w:hAnsi="宋体" w:cs="宋体"/>
          <w:kern w:val="0"/>
          <w:sz w:val="24"/>
          <w:szCs w:val="24"/>
        </w:rPr>
        <w:t>1</w:t>
      </w:r>
      <w:r w:rsidRPr="009F71E5">
        <w:rPr>
          <w:rFonts w:ascii="宋体" w:eastAsia="宋体" w:hAnsi="宋体" w:cs="宋体" w:hint="eastAsia"/>
          <w:kern w:val="0"/>
          <w:sz w:val="24"/>
          <w:szCs w:val="24"/>
        </w:rPr>
        <w:t>年度上海市各区教育局政务公开评议“优秀单位”。</w:t>
      </w:r>
    </w:p>
    <w:p w:rsidR="004954D2" w:rsidRDefault="00A028EF" w:rsidP="00DF17BC">
      <w:pPr>
        <w:widowControl/>
        <w:spacing w:line="384" w:lineRule="atLeast"/>
        <w:ind w:firstLine="480"/>
        <w:rPr>
          <w:rFonts w:ascii="楷体_GB2312" w:eastAsia="楷体_GB2312" w:hAnsi="楷体_GB2312" w:cs="楷体_GB2312"/>
          <w:color w:val="0000FF"/>
          <w:kern w:val="0"/>
          <w:sz w:val="24"/>
          <w:szCs w:val="24"/>
        </w:rPr>
      </w:pPr>
      <w:r>
        <w:rPr>
          <w:rFonts w:ascii="黑体" w:eastAsia="黑体" w:hAnsi="黑体" w:cs="黑体" w:hint="eastAsia"/>
          <w:color w:val="000000"/>
          <w:kern w:val="0"/>
          <w:sz w:val="24"/>
          <w:szCs w:val="24"/>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4954D2" w:rsidRPr="00173B4F">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第二十条第（一）项</w:t>
            </w:r>
          </w:p>
        </w:tc>
      </w:tr>
      <w:tr w:rsidR="004954D2" w:rsidRPr="00173B4F">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本年</w:t>
            </w:r>
            <w:r w:rsidRPr="00173B4F">
              <w:rPr>
                <w:rFonts w:asciiTheme="minorEastAsia" w:hAnsiTheme="minorEastAsia"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现行有效件</w:t>
            </w:r>
            <w:r w:rsidRPr="00173B4F">
              <w:rPr>
                <w:rFonts w:asciiTheme="minorEastAsia" w:hAnsiTheme="minorEastAsia" w:cs="宋体" w:hint="eastAsia"/>
                <w:kern w:val="0"/>
                <w:sz w:val="20"/>
                <w:szCs w:val="20"/>
                <w:lang w:bidi="ar"/>
              </w:rPr>
              <w:t>数</w:t>
            </w:r>
          </w:p>
        </w:tc>
      </w:tr>
      <w:tr w:rsidR="004954D2" w:rsidRPr="00173B4F">
        <w:trPr>
          <w:trHeight w:val="192"/>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left"/>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r>
      <w:tr w:rsidR="004954D2" w:rsidRPr="00173B4F">
        <w:trPr>
          <w:trHeight w:val="175"/>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left"/>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1</w:t>
            </w:r>
          </w:p>
        </w:tc>
        <w:tc>
          <w:tcPr>
            <w:tcW w:w="2435" w:type="dxa"/>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1</w:t>
            </w:r>
          </w:p>
        </w:tc>
      </w:tr>
      <w:tr w:rsidR="004954D2" w:rsidRPr="00173B4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第二十条第（五）项</w:t>
            </w:r>
          </w:p>
        </w:tc>
      </w:tr>
      <w:tr w:rsidR="004954D2" w:rsidRPr="00173B4F">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本年处理决定数量</w:t>
            </w:r>
          </w:p>
        </w:tc>
      </w:tr>
      <w:tr w:rsidR="004954D2" w:rsidRPr="00173B4F">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left"/>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1982</w:t>
            </w:r>
          </w:p>
        </w:tc>
      </w:tr>
      <w:tr w:rsidR="004954D2" w:rsidRPr="00173B4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第二十条第（六）项</w:t>
            </w:r>
          </w:p>
        </w:tc>
      </w:tr>
      <w:tr w:rsidR="004954D2" w:rsidRPr="00173B4F">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本年处理决定数量</w:t>
            </w:r>
          </w:p>
        </w:tc>
      </w:tr>
      <w:tr w:rsidR="004954D2" w:rsidRPr="00173B4F">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left"/>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0</w:t>
            </w:r>
          </w:p>
        </w:tc>
      </w:tr>
      <w:tr w:rsidR="004954D2" w:rsidRPr="00173B4F">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left"/>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4954D2" w:rsidRPr="00173B4F" w:rsidRDefault="00123563" w:rsidP="00123563">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0</w:t>
            </w:r>
          </w:p>
        </w:tc>
      </w:tr>
      <w:tr w:rsidR="004954D2" w:rsidRPr="00173B4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第二十条第（八）项</w:t>
            </w:r>
          </w:p>
        </w:tc>
      </w:tr>
      <w:tr w:rsidR="004954D2" w:rsidRPr="00173B4F">
        <w:trPr>
          <w:trHeight w:val="265"/>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4954D2" w:rsidRPr="00173B4F" w:rsidRDefault="00A028EF">
            <w:pPr>
              <w:widowControl/>
              <w:jc w:val="center"/>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本年收费金额（单位：万元）</w:t>
            </w:r>
          </w:p>
        </w:tc>
      </w:tr>
      <w:tr w:rsidR="004954D2" w:rsidRPr="00173B4F">
        <w:trPr>
          <w:trHeight w:val="449"/>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954D2" w:rsidRPr="00173B4F" w:rsidRDefault="00A028EF">
            <w:pPr>
              <w:widowControl/>
              <w:jc w:val="left"/>
              <w:rPr>
                <w:rFonts w:asciiTheme="minorEastAsia" w:hAnsiTheme="minorEastAsia"/>
                <w:sz w:val="20"/>
                <w:szCs w:val="20"/>
              </w:rPr>
            </w:pPr>
            <w:r w:rsidRPr="00173B4F">
              <w:rPr>
                <w:rFonts w:asciiTheme="minorEastAsia" w:hAnsiTheme="minorEastAsia"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4954D2" w:rsidRPr="00173B4F" w:rsidRDefault="00540EE3" w:rsidP="00DF17BC">
            <w:pPr>
              <w:jc w:val="center"/>
              <w:rPr>
                <w:rFonts w:asciiTheme="minorEastAsia" w:hAnsiTheme="minorEastAsia"/>
                <w:sz w:val="20"/>
                <w:szCs w:val="20"/>
              </w:rPr>
            </w:pPr>
            <w:r w:rsidRPr="00173B4F">
              <w:rPr>
                <w:rFonts w:asciiTheme="minorEastAsia" w:hAnsiTheme="minorEastAsia" w:hint="eastAsia"/>
                <w:sz w:val="20"/>
                <w:szCs w:val="20"/>
              </w:rPr>
              <w:t>1</w:t>
            </w:r>
            <w:r w:rsidRPr="00173B4F">
              <w:rPr>
                <w:rFonts w:asciiTheme="minorEastAsia" w:hAnsiTheme="minorEastAsia"/>
                <w:sz w:val="20"/>
                <w:szCs w:val="20"/>
              </w:rPr>
              <w:t>0073</w:t>
            </w:r>
          </w:p>
        </w:tc>
      </w:tr>
    </w:tbl>
    <w:p w:rsidR="004954D2" w:rsidRDefault="00A028EF" w:rsidP="00A82892">
      <w:pPr>
        <w:widowControl/>
        <w:spacing w:line="384" w:lineRule="atLeast"/>
        <w:rPr>
          <w:rFonts w:ascii="楷体_GB2312" w:eastAsia="楷体_GB2312" w:hAnsi="楷体_GB2312" w:cs="楷体_GB2312"/>
          <w:color w:val="0000FF"/>
          <w:kern w:val="0"/>
          <w:sz w:val="24"/>
          <w:szCs w:val="24"/>
        </w:rPr>
      </w:pPr>
      <w:r>
        <w:rPr>
          <w:rFonts w:ascii="楷体_GB2312" w:eastAsia="楷体_GB2312" w:hAnsi="楷体_GB2312" w:cs="楷体_GB2312" w:hint="eastAsia"/>
          <w:color w:val="0000FF"/>
          <w:kern w:val="0"/>
          <w:sz w:val="24"/>
          <w:szCs w:val="24"/>
        </w:rPr>
        <w:t xml:space="preserve">     </w:t>
      </w:r>
      <w:r>
        <w:rPr>
          <w:rFonts w:ascii="黑体" w:eastAsia="黑体" w:hAnsi="黑体" w:cs="黑体" w:hint="eastAsia"/>
          <w:color w:val="000000"/>
          <w:kern w:val="0"/>
          <w:sz w:val="24"/>
          <w:szCs w:val="24"/>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4954D2" w:rsidTr="001E0026">
        <w:trPr>
          <w:jc w:val="center"/>
        </w:trPr>
        <w:tc>
          <w:tcPr>
            <w:tcW w:w="4932"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4954D2" w:rsidRDefault="00A028EF">
            <w:pPr>
              <w:widowControl/>
              <w:jc w:val="left"/>
            </w:pPr>
            <w:r>
              <w:rPr>
                <w:rFonts w:ascii="楷体" w:eastAsia="楷体" w:hAnsi="楷体" w:cs="楷体" w:hint="eastAsia"/>
                <w:kern w:val="0"/>
                <w:sz w:val="20"/>
                <w:szCs w:val="20"/>
                <w:lang w:bidi="ar"/>
              </w:rPr>
              <w:t>（本列数据的勾</w:t>
            </w:r>
            <w:proofErr w:type="gramStart"/>
            <w:r>
              <w:rPr>
                <w:rFonts w:ascii="楷体" w:eastAsia="楷体" w:hAnsi="楷体" w:cs="楷体" w:hint="eastAsia"/>
                <w:kern w:val="0"/>
                <w:sz w:val="20"/>
                <w:szCs w:val="20"/>
                <w:lang w:bidi="ar"/>
              </w:rPr>
              <w:t>稽</w:t>
            </w:r>
            <w:proofErr w:type="gramEnd"/>
            <w:r>
              <w:rPr>
                <w:rFonts w:ascii="楷体" w:eastAsia="楷体" w:hAnsi="楷体" w:cs="楷体" w:hint="eastAsia"/>
                <w:kern w:val="0"/>
                <w:sz w:val="20"/>
                <w:szCs w:val="20"/>
                <w:lang w:bidi="ar"/>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申请人情况</w:t>
            </w:r>
          </w:p>
        </w:tc>
      </w:tr>
      <w:tr w:rsidR="004954D2" w:rsidTr="001E0026">
        <w:trPr>
          <w:jc w:val="center"/>
        </w:trPr>
        <w:tc>
          <w:tcPr>
            <w:tcW w:w="4932"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4954D2" w:rsidRDefault="004954D2">
            <w:pPr>
              <w:rPr>
                <w:rFonts w:ascii="宋体"/>
                <w:sz w:val="24"/>
                <w:szCs w:val="24"/>
              </w:rPr>
            </w:pPr>
          </w:p>
        </w:tc>
        <w:tc>
          <w:tcPr>
            <w:tcW w:w="688" w:type="dxa"/>
            <w:vMerge w:val="restart"/>
            <w:tcBorders>
              <w:top w:val="nil"/>
              <w:left w:val="nil"/>
              <w:bottom w:val="single"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法人或其他组织</w:t>
            </w:r>
          </w:p>
        </w:tc>
        <w:tc>
          <w:tcPr>
            <w:tcW w:w="688" w:type="dxa"/>
            <w:vMerge w:val="restart"/>
            <w:tcBorders>
              <w:top w:val="single" w:sz="8" w:space="0" w:color="auto"/>
              <w:left w:val="nil"/>
              <w:bottom w:val="outset"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总计</w:t>
            </w:r>
          </w:p>
        </w:tc>
      </w:tr>
      <w:tr w:rsidR="004954D2" w:rsidTr="001E0026">
        <w:trPr>
          <w:jc w:val="center"/>
        </w:trPr>
        <w:tc>
          <w:tcPr>
            <w:tcW w:w="4932"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4954D2" w:rsidRDefault="004954D2">
            <w:pPr>
              <w:rPr>
                <w:rFonts w:ascii="宋体"/>
                <w:sz w:val="24"/>
                <w:szCs w:val="24"/>
              </w:rPr>
            </w:pPr>
          </w:p>
        </w:tc>
        <w:tc>
          <w:tcPr>
            <w:tcW w:w="688" w:type="dxa"/>
            <w:vMerge/>
            <w:tcBorders>
              <w:top w:val="nil"/>
              <w:left w:val="nil"/>
              <w:bottom w:val="single" w:sz="8" w:space="0" w:color="auto"/>
              <w:right w:val="single" w:sz="8" w:space="0" w:color="auto"/>
            </w:tcBorders>
            <w:tcMar>
              <w:left w:w="57" w:type="dxa"/>
              <w:right w:w="57" w:type="dxa"/>
            </w:tcMar>
            <w:vAlign w:val="center"/>
          </w:tcPr>
          <w:p w:rsidR="004954D2" w:rsidRDefault="004954D2">
            <w:pPr>
              <w:rPr>
                <w:rFonts w:ascii="宋体"/>
                <w:sz w:val="24"/>
                <w:szCs w:val="24"/>
              </w:rPr>
            </w:pPr>
          </w:p>
        </w:tc>
        <w:tc>
          <w:tcPr>
            <w:tcW w:w="688" w:type="dxa"/>
            <w:tcBorders>
              <w:top w:val="nil"/>
              <w:left w:val="nil"/>
              <w:bottom w:val="single"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商业</w:t>
            </w:r>
          </w:p>
          <w:p w:rsidR="004954D2" w:rsidRDefault="00A028EF">
            <w:pPr>
              <w:widowControl/>
              <w:jc w:val="center"/>
            </w:pPr>
            <w:r>
              <w:rPr>
                <w:rFonts w:ascii="宋体" w:eastAsia="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科研</w:t>
            </w:r>
          </w:p>
          <w:p w:rsidR="004954D2" w:rsidRDefault="00A028EF">
            <w:pPr>
              <w:widowControl/>
              <w:jc w:val="center"/>
            </w:pPr>
            <w:r>
              <w:rPr>
                <w:rFonts w:ascii="宋体" w:eastAsia="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4954D2" w:rsidRDefault="00A028EF">
            <w:pPr>
              <w:widowControl/>
              <w:jc w:val="center"/>
            </w:pPr>
            <w:r>
              <w:rPr>
                <w:rFonts w:ascii="宋体" w:eastAsia="宋体" w:hAnsi="宋体" w:cs="宋体" w:hint="eastAsia"/>
                <w:kern w:val="0"/>
                <w:sz w:val="20"/>
                <w:szCs w:val="20"/>
                <w:lang w:bidi="ar"/>
              </w:rPr>
              <w:t>其他</w:t>
            </w:r>
          </w:p>
        </w:tc>
        <w:tc>
          <w:tcPr>
            <w:tcW w:w="688" w:type="dxa"/>
            <w:vMerge/>
            <w:tcBorders>
              <w:top w:val="single" w:sz="8" w:space="0" w:color="auto"/>
              <w:left w:val="nil"/>
              <w:bottom w:val="outset" w:sz="8" w:space="0" w:color="auto"/>
              <w:right w:val="single" w:sz="8" w:space="0" w:color="auto"/>
            </w:tcBorders>
            <w:tcMar>
              <w:left w:w="57" w:type="dxa"/>
              <w:right w:w="57" w:type="dxa"/>
            </w:tcMar>
            <w:vAlign w:val="center"/>
          </w:tcPr>
          <w:p w:rsidR="004954D2" w:rsidRDefault="004954D2">
            <w:pPr>
              <w:rPr>
                <w:rFonts w:ascii="宋体"/>
                <w:sz w:val="24"/>
                <w:szCs w:val="24"/>
              </w:rPr>
            </w:pPr>
          </w:p>
        </w:tc>
      </w:tr>
      <w:tr w:rsidR="004954D2" w:rsidTr="00517415">
        <w:trPr>
          <w:jc w:val="center"/>
        </w:trPr>
        <w:tc>
          <w:tcPr>
            <w:tcW w:w="4932" w:type="dxa"/>
            <w:gridSpan w:val="3"/>
            <w:tcBorders>
              <w:top w:val="nil"/>
              <w:left w:val="single" w:sz="8" w:space="0" w:color="auto"/>
              <w:bottom w:val="single" w:sz="8" w:space="0" w:color="auto"/>
              <w:right w:val="single" w:sz="8" w:space="0" w:color="auto"/>
            </w:tcBorders>
            <w:tcMar>
              <w:left w:w="57" w:type="dxa"/>
              <w:right w:w="57" w:type="dxa"/>
            </w:tcMar>
            <w:vAlign w:val="center"/>
          </w:tcPr>
          <w:p w:rsidR="004954D2" w:rsidRDefault="00A028EF">
            <w:pPr>
              <w:widowControl/>
              <w:jc w:val="left"/>
            </w:pPr>
            <w:r>
              <w:rPr>
                <w:rFonts w:ascii="宋体" w:eastAsia="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B1526D"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9</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9</w:t>
            </w:r>
          </w:p>
        </w:tc>
      </w:tr>
      <w:tr w:rsidR="004954D2" w:rsidTr="00517415">
        <w:trPr>
          <w:jc w:val="center"/>
        </w:trPr>
        <w:tc>
          <w:tcPr>
            <w:tcW w:w="4932" w:type="dxa"/>
            <w:gridSpan w:val="3"/>
            <w:tcBorders>
              <w:top w:val="nil"/>
              <w:left w:val="single" w:sz="8" w:space="0" w:color="auto"/>
              <w:bottom w:val="single" w:sz="8" w:space="0" w:color="auto"/>
              <w:right w:val="single" w:sz="8" w:space="0" w:color="auto"/>
            </w:tcBorders>
            <w:tcMar>
              <w:left w:w="57" w:type="dxa"/>
              <w:right w:w="57" w:type="dxa"/>
            </w:tcMar>
            <w:vAlign w:val="center"/>
          </w:tcPr>
          <w:p w:rsidR="004954D2" w:rsidRDefault="00A028EF">
            <w:pPr>
              <w:widowControl/>
              <w:jc w:val="left"/>
            </w:pPr>
            <w:r>
              <w:rPr>
                <w:rFonts w:ascii="宋体" w:eastAsia="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B1526D"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1</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54D2" w:rsidRPr="00173B4F" w:rsidRDefault="001E0026" w:rsidP="00517415">
            <w:pPr>
              <w:widowControl/>
              <w:jc w:val="center"/>
              <w:rPr>
                <w:rFonts w:asciiTheme="minorEastAsia" w:hAnsiTheme="minorEastAsia"/>
                <w:sz w:val="20"/>
                <w:szCs w:val="20"/>
              </w:rPr>
            </w:pPr>
            <w:r w:rsidRPr="00173B4F">
              <w:rPr>
                <w:rFonts w:asciiTheme="minorEastAsia" w:hAnsiTheme="minorEastAsia" w:cs="Calibri"/>
                <w:kern w:val="0"/>
                <w:sz w:val="20"/>
                <w:szCs w:val="20"/>
                <w:lang w:bidi="ar"/>
              </w:rPr>
              <w:t>1</w:t>
            </w:r>
          </w:p>
        </w:tc>
      </w:tr>
      <w:tr w:rsidR="001E0026" w:rsidTr="00517415">
        <w:trPr>
          <w:jc w:val="center"/>
        </w:trPr>
        <w:tc>
          <w:tcPr>
            <w:tcW w:w="769" w:type="dxa"/>
            <w:vMerge w:val="restart"/>
            <w:tcBorders>
              <w:top w:val="nil"/>
              <w:left w:val="single" w:sz="8" w:space="0" w:color="auto"/>
              <w:bottom w:val="outset" w:sz="8" w:space="0" w:color="auto"/>
              <w:right w:val="single" w:sz="8" w:space="0" w:color="auto"/>
            </w:tcBorders>
            <w:tcMar>
              <w:left w:w="57" w:type="dxa"/>
              <w:right w:w="57" w:type="dxa"/>
            </w:tcMar>
            <w:vAlign w:val="center"/>
          </w:tcPr>
          <w:p w:rsidR="001E0026" w:rsidRDefault="001E0026" w:rsidP="001E0026">
            <w:pPr>
              <w:widowControl/>
              <w:jc w:val="left"/>
            </w:pPr>
            <w:r>
              <w:rPr>
                <w:rFonts w:ascii="宋体" w:eastAsia="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1E0026" w:rsidRDefault="001E0026" w:rsidP="001E0026">
            <w:pPr>
              <w:widowControl/>
              <w:jc w:val="left"/>
            </w:pPr>
            <w:r>
              <w:rPr>
                <w:rFonts w:ascii="宋体" w:eastAsia="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D63748" w:rsidP="00517415">
            <w:pPr>
              <w:widowControl/>
              <w:jc w:val="center"/>
              <w:rPr>
                <w:rFonts w:asciiTheme="minorEastAsia" w:hAnsiTheme="minorEastAsia"/>
                <w:sz w:val="20"/>
                <w:szCs w:val="20"/>
              </w:rPr>
            </w:pPr>
            <w:r w:rsidRPr="00173B4F">
              <w:rPr>
                <w:rFonts w:asciiTheme="minorEastAsia" w:hAnsiTheme="minorEastAsia" w:hint="eastAsia"/>
                <w:sz w:val="20"/>
                <w:szCs w:val="20"/>
              </w:rPr>
              <w:t>2</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1E0026"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2</w:t>
            </w:r>
          </w:p>
        </w:tc>
      </w:tr>
      <w:tr w:rsidR="001E0026"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1E0026" w:rsidRDefault="001E0026" w:rsidP="001E0026">
            <w:pPr>
              <w:rPr>
                <w:rFonts w:ascii="宋体"/>
                <w:sz w:val="24"/>
                <w:szCs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1E0026" w:rsidRDefault="001E0026" w:rsidP="001E0026">
            <w:pPr>
              <w:widowControl/>
              <w:jc w:val="left"/>
            </w:pPr>
            <w:r>
              <w:rPr>
                <w:rFonts w:ascii="宋体" w:eastAsia="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D63748"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517415" w:rsidRDefault="00517415" w:rsidP="00517415">
            <w:pPr>
              <w:widowControl/>
              <w:jc w:val="left"/>
            </w:pPr>
            <w:r>
              <w:rPr>
                <w:rFonts w:ascii="宋体" w:eastAsia="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1.属于国家秘密</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D63748"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2.其他法律行政法规禁止公开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D63748"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3.危及“三安全</w:t>
            </w:r>
            <w:proofErr w:type="gramStart"/>
            <w:r>
              <w:rPr>
                <w:rFonts w:ascii="宋体" w:eastAsia="宋体" w:hAnsi="宋体" w:cs="宋体" w:hint="eastAsia"/>
                <w:kern w:val="0"/>
                <w:sz w:val="20"/>
                <w:szCs w:val="20"/>
                <w:lang w:bidi="ar"/>
              </w:rPr>
              <w:t>一</w:t>
            </w:r>
            <w:proofErr w:type="gramEnd"/>
            <w:r>
              <w:rPr>
                <w:rFonts w:ascii="宋体" w:eastAsia="宋体" w:hAnsi="宋体" w:cs="宋体" w:hint="eastAsia"/>
                <w:kern w:val="0"/>
                <w:sz w:val="20"/>
                <w:szCs w:val="20"/>
                <w:lang w:bidi="ar"/>
              </w:rPr>
              <w:t>稳定”</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4.保护第三方合法权益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5.属于三类内部事务信息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6.属于四类过程性信息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7.属于行政执法案卷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8.属于行政查询事项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517415" w:rsidRDefault="00517415" w:rsidP="00517415">
            <w:pPr>
              <w:widowControl/>
              <w:jc w:val="left"/>
            </w:pPr>
            <w:r>
              <w:rPr>
                <w:rFonts w:ascii="宋体" w:eastAsia="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1.本机关不掌握相关政府信息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9D7B05" w:rsidP="00517415">
            <w:pPr>
              <w:jc w:val="center"/>
              <w:rPr>
                <w:rFonts w:asciiTheme="minorEastAsia" w:hAnsiTheme="minorEastAsia"/>
                <w:sz w:val="20"/>
                <w:szCs w:val="20"/>
              </w:rPr>
            </w:pPr>
            <w:r w:rsidRPr="00173B4F">
              <w:rPr>
                <w:rFonts w:asciiTheme="minorEastAsia" w:hAnsiTheme="minorEastAsia"/>
                <w:sz w:val="20"/>
                <w:szCs w:val="20"/>
              </w:rPr>
              <w:t>3</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25493" w:rsidP="00517415">
            <w:pPr>
              <w:widowControl/>
              <w:jc w:val="center"/>
              <w:rPr>
                <w:rFonts w:asciiTheme="minorEastAsia" w:hAnsiTheme="minorEastAsia"/>
                <w:sz w:val="20"/>
                <w:szCs w:val="20"/>
              </w:rPr>
            </w:pPr>
            <w:r w:rsidRPr="00173B4F">
              <w:rPr>
                <w:rFonts w:asciiTheme="minorEastAsia" w:hAnsiTheme="minorEastAsia"/>
                <w:sz w:val="20"/>
                <w:szCs w:val="20"/>
              </w:rPr>
              <w:t>3</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2.没有现成信息需要另行制作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9D7B05" w:rsidP="00517415">
            <w:pPr>
              <w:jc w:val="center"/>
              <w:rPr>
                <w:rFonts w:asciiTheme="minorEastAsia" w:hAnsiTheme="minorEastAsia"/>
                <w:sz w:val="20"/>
                <w:szCs w:val="20"/>
              </w:rPr>
            </w:pPr>
            <w:r w:rsidRPr="00173B4F">
              <w:rPr>
                <w:rFonts w:asciiTheme="minorEastAsia" w:hAnsiTheme="minorEastAsia"/>
                <w:sz w:val="20"/>
                <w:szCs w:val="20"/>
              </w:rPr>
              <w:t>2</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25493" w:rsidP="00517415">
            <w:pPr>
              <w:widowControl/>
              <w:jc w:val="center"/>
              <w:rPr>
                <w:rFonts w:asciiTheme="minorEastAsia" w:hAnsiTheme="minorEastAsia"/>
                <w:sz w:val="20"/>
                <w:szCs w:val="20"/>
              </w:rPr>
            </w:pPr>
            <w:r w:rsidRPr="00173B4F">
              <w:rPr>
                <w:rFonts w:asciiTheme="minorEastAsia" w:hAnsiTheme="minorEastAsia"/>
                <w:sz w:val="20"/>
                <w:szCs w:val="20"/>
              </w:rPr>
              <w:t>2</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3.补正后申请内容仍不明确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517415" w:rsidRDefault="00517415" w:rsidP="00517415">
            <w:pPr>
              <w:widowControl/>
              <w:jc w:val="left"/>
            </w:pPr>
            <w:r>
              <w:rPr>
                <w:rFonts w:ascii="宋体" w:eastAsia="宋体" w:hAnsi="宋体" w:cs="宋体" w:hint="eastAsia"/>
                <w:kern w:val="0"/>
                <w:sz w:val="20"/>
                <w:szCs w:val="20"/>
                <w:lang w:bidi="ar"/>
              </w:rPr>
              <w:t>（五）</w:t>
            </w:r>
            <w:proofErr w:type="gramStart"/>
            <w:r>
              <w:rPr>
                <w:rFonts w:ascii="宋体" w:eastAsia="宋体" w:hAnsi="宋体" w:cs="宋体" w:hint="eastAsia"/>
                <w:kern w:val="0"/>
                <w:sz w:val="20"/>
                <w:szCs w:val="20"/>
                <w:lang w:bidi="ar"/>
              </w:rPr>
              <w:t>不予处理</w:t>
            </w:r>
            <w:proofErr w:type="gramEnd"/>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1.信访举报投诉类申请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2.重复申请</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3.要求提供公开出版物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tcPr>
          <w:p w:rsidR="00517415" w:rsidRDefault="00517415" w:rsidP="00517415">
            <w:pPr>
              <w:widowControl/>
              <w:jc w:val="left"/>
            </w:pPr>
            <w:r>
              <w:rPr>
                <w:rFonts w:ascii="宋体" w:eastAsia="宋体" w:hAnsi="宋体" w:cs="宋体" w:hint="eastAsia"/>
                <w:kern w:val="0"/>
                <w:sz w:val="20"/>
                <w:szCs w:val="20"/>
                <w:lang w:bidi="ar"/>
              </w:rPr>
              <w:t>4.无正当理由大量反复申请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trHeight w:val="779"/>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outset" w:sz="8" w:space="0" w:color="auto"/>
              <w:right w:val="single" w:sz="8" w:space="0" w:color="auto"/>
            </w:tcBorders>
            <w:tcMar>
              <w:left w:w="57" w:type="dxa"/>
              <w:right w:w="57" w:type="dxa"/>
            </w:tcMar>
            <w:vAlign w:val="center"/>
          </w:tcPr>
          <w:p w:rsidR="00517415" w:rsidRDefault="00517415" w:rsidP="00517415">
            <w:pPr>
              <w:widowControl/>
            </w:pPr>
            <w:r>
              <w:rPr>
                <w:rFonts w:ascii="宋体" w:eastAsia="宋体" w:hAnsi="宋体" w:cs="宋体" w:hint="eastAsia"/>
                <w:kern w:val="0"/>
                <w:sz w:val="20"/>
                <w:szCs w:val="20"/>
                <w:lang w:bidi="ar"/>
              </w:rPr>
              <w:t>5.要求行政机关确认或重新出具已获取信息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val="restart"/>
            <w:tcBorders>
              <w:top w:val="outset" w:sz="8" w:space="0" w:color="auto"/>
              <w:left w:val="nil"/>
              <w:bottom w:val="outset" w:sz="8" w:space="0" w:color="auto"/>
              <w:right w:val="single" w:sz="8" w:space="0" w:color="auto"/>
            </w:tcBorders>
            <w:tcMar>
              <w:left w:w="57" w:type="dxa"/>
              <w:right w:w="57" w:type="dxa"/>
            </w:tcMar>
            <w:vAlign w:val="center"/>
          </w:tcPr>
          <w:p w:rsidR="00517415" w:rsidRDefault="00517415" w:rsidP="00517415">
            <w:pPr>
              <w:widowControl/>
              <w:jc w:val="left"/>
            </w:pPr>
            <w:r>
              <w:rPr>
                <w:rFonts w:ascii="宋体" w:eastAsia="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tcMar>
              <w:left w:w="57" w:type="dxa"/>
              <w:right w:w="57" w:type="dxa"/>
            </w:tcMar>
            <w:vAlign w:val="center"/>
          </w:tcPr>
          <w:p w:rsidR="00517415" w:rsidRDefault="00517415" w:rsidP="00517415">
            <w:pPr>
              <w:widowControl/>
            </w:pPr>
            <w:r>
              <w:rPr>
                <w:rFonts w:ascii="宋体" w:eastAsia="宋体" w:hAnsi="宋体" w:cs="宋体" w:hint="eastAsia"/>
                <w:kern w:val="0"/>
                <w:sz w:val="20"/>
                <w:szCs w:val="20"/>
                <w:lang w:bidi="ar"/>
              </w:rPr>
              <w:t>1.申请人无正当理由逾期</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补正、行政机关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D63748" w:rsidP="00517415">
            <w:pPr>
              <w:jc w:val="center"/>
              <w:rPr>
                <w:rFonts w:asciiTheme="minorEastAsia" w:hAnsiTheme="minorEastAsia"/>
                <w:sz w:val="20"/>
                <w:szCs w:val="20"/>
              </w:rPr>
            </w:pPr>
            <w:r w:rsidRPr="00173B4F">
              <w:rPr>
                <w:rFonts w:asciiTheme="minorEastAsia" w:hAnsiTheme="minorEastAsia" w:hint="eastAsia"/>
                <w:sz w:val="20"/>
                <w:szCs w:val="20"/>
              </w:rPr>
              <w:t>1</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1</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vAlign w:val="center"/>
          </w:tcPr>
          <w:p w:rsidR="00517415" w:rsidRDefault="00517415" w:rsidP="00517415">
            <w:pPr>
              <w:widowControl/>
            </w:pPr>
            <w:r>
              <w:rPr>
                <w:rFonts w:ascii="宋体" w:eastAsia="宋体" w:hAnsi="宋体" w:cs="宋体" w:hint="eastAsia"/>
                <w:kern w:val="0"/>
                <w:sz w:val="20"/>
                <w:szCs w:val="20"/>
                <w:lang w:bidi="ar"/>
              </w:rPr>
              <w:t>2.申请人逾期未按收费通知要求缴纳费用、行政机关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jc w:val="center"/>
              <w:rPr>
                <w:rFonts w:asciiTheme="minorEastAsia" w:hAnsiTheme="minorEastAsia"/>
                <w:sz w:val="20"/>
                <w:szCs w:val="20"/>
              </w:rPr>
            </w:pPr>
            <w:r w:rsidRPr="00173B4F">
              <w:rPr>
                <w:rFonts w:asciiTheme="minorEastAsia" w:hAnsiTheme="minorEastAsia" w:hint="eastAsia"/>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0</w:t>
            </w:r>
          </w:p>
        </w:tc>
      </w:tr>
      <w:tr w:rsidR="00517415"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rsidR="00517415" w:rsidRDefault="00517415" w:rsidP="00517415">
            <w:pPr>
              <w:rPr>
                <w:rFonts w:ascii="宋体"/>
                <w:sz w:val="24"/>
                <w:szCs w:val="24"/>
              </w:rPr>
            </w:pPr>
          </w:p>
        </w:tc>
        <w:tc>
          <w:tcPr>
            <w:tcW w:w="3220" w:type="dxa"/>
            <w:tcBorders>
              <w:top w:val="nil"/>
              <w:left w:val="nil"/>
              <w:bottom w:val="single" w:sz="8" w:space="0" w:color="auto"/>
              <w:right w:val="single" w:sz="8" w:space="0" w:color="auto"/>
            </w:tcBorders>
            <w:tcMar>
              <w:left w:w="57" w:type="dxa"/>
              <w:right w:w="57" w:type="dxa"/>
            </w:tcMar>
            <w:vAlign w:val="center"/>
          </w:tcPr>
          <w:p w:rsidR="00517415" w:rsidRDefault="00517415" w:rsidP="00517415">
            <w:pPr>
              <w:widowControl/>
              <w:jc w:val="left"/>
            </w:pPr>
            <w:r>
              <w:rPr>
                <w:rFonts w:ascii="宋体" w:eastAsia="宋体" w:hAnsi="宋体" w:cs="宋体" w:hint="eastAsia"/>
                <w:kern w:val="0"/>
                <w:sz w:val="20"/>
                <w:szCs w:val="20"/>
                <w:lang w:bidi="ar"/>
              </w:rPr>
              <w:t>3.其他</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D63748" w:rsidP="00517415">
            <w:pPr>
              <w:jc w:val="center"/>
              <w:rPr>
                <w:rFonts w:asciiTheme="minorEastAsia" w:hAnsiTheme="minorEastAsia"/>
                <w:sz w:val="20"/>
                <w:szCs w:val="20"/>
              </w:rPr>
            </w:pPr>
            <w:r w:rsidRPr="00173B4F">
              <w:rPr>
                <w:rFonts w:asciiTheme="minorEastAsia" w:hAnsiTheme="minorEastAsia" w:hint="eastAsia"/>
                <w:sz w:val="20"/>
                <w:szCs w:val="20"/>
              </w:rPr>
              <w:t>2</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517415"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17415"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2</w:t>
            </w:r>
          </w:p>
        </w:tc>
      </w:tr>
      <w:tr w:rsidR="001E0026" w:rsidTr="00517415">
        <w:trPr>
          <w:jc w:val="center"/>
        </w:trPr>
        <w:tc>
          <w:tcPr>
            <w:tcW w:w="769" w:type="dxa"/>
            <w:vMerge/>
            <w:tcBorders>
              <w:top w:val="nil"/>
              <w:left w:val="single" w:sz="8" w:space="0" w:color="auto"/>
              <w:bottom w:val="outset" w:sz="8" w:space="0" w:color="auto"/>
              <w:right w:val="single" w:sz="8" w:space="0" w:color="auto"/>
            </w:tcBorders>
            <w:tcMar>
              <w:left w:w="57" w:type="dxa"/>
              <w:right w:w="57" w:type="dxa"/>
            </w:tcMar>
            <w:vAlign w:val="center"/>
          </w:tcPr>
          <w:p w:rsidR="001E0026" w:rsidRDefault="001E0026" w:rsidP="001E0026">
            <w:pPr>
              <w:rPr>
                <w:rFonts w:ascii="宋体"/>
                <w:sz w:val="24"/>
                <w:szCs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1E0026" w:rsidRDefault="001E0026" w:rsidP="001E0026">
            <w:pPr>
              <w:widowControl/>
              <w:jc w:val="left"/>
            </w:pPr>
            <w:r>
              <w:rPr>
                <w:rFonts w:ascii="宋体" w:eastAsia="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10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017D2D" w:rsidP="00517415">
            <w:pPr>
              <w:widowControl/>
              <w:jc w:val="center"/>
              <w:rPr>
                <w:rFonts w:asciiTheme="minorEastAsia" w:hAnsiTheme="minorEastAsia"/>
                <w:sz w:val="20"/>
                <w:szCs w:val="20"/>
              </w:rPr>
            </w:pPr>
            <w:r w:rsidRPr="00173B4F">
              <w:rPr>
                <w:rFonts w:asciiTheme="minorEastAsia" w:hAnsiTheme="minorEastAsia" w:hint="eastAsia"/>
                <w:sz w:val="20"/>
                <w:szCs w:val="20"/>
              </w:rPr>
              <w:t>10</w:t>
            </w:r>
          </w:p>
        </w:tc>
      </w:tr>
      <w:tr w:rsidR="001E0026" w:rsidTr="00517415">
        <w:trPr>
          <w:jc w:val="center"/>
        </w:trPr>
        <w:tc>
          <w:tcPr>
            <w:tcW w:w="4932" w:type="dxa"/>
            <w:gridSpan w:val="3"/>
            <w:tcBorders>
              <w:top w:val="nil"/>
              <w:left w:val="single" w:sz="8" w:space="0" w:color="auto"/>
              <w:bottom w:val="single" w:sz="8" w:space="0" w:color="auto"/>
              <w:right w:val="single" w:sz="8" w:space="0" w:color="auto"/>
            </w:tcBorders>
            <w:tcMar>
              <w:left w:w="57" w:type="dxa"/>
              <w:right w:w="57" w:type="dxa"/>
            </w:tcMar>
            <w:vAlign w:val="center"/>
          </w:tcPr>
          <w:p w:rsidR="001E0026" w:rsidRDefault="001E0026" w:rsidP="001E0026">
            <w:pPr>
              <w:widowControl/>
              <w:jc w:val="left"/>
            </w:pPr>
            <w:r>
              <w:rPr>
                <w:rFonts w:ascii="宋体" w:eastAsia="宋体" w:hAnsi="宋体" w:cs="宋体" w:hint="eastAsia"/>
                <w:kern w:val="0"/>
                <w:sz w:val="20"/>
                <w:szCs w:val="20"/>
                <w:lang w:bidi="ar"/>
              </w:rPr>
              <w:t>四、结转下年度继续办理</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E0026" w:rsidRPr="00173B4F" w:rsidRDefault="001E0026" w:rsidP="00517415">
            <w:pPr>
              <w:jc w:val="center"/>
              <w:rPr>
                <w:rFonts w:asciiTheme="minorEastAsia" w:hAnsiTheme="minorEastAsia"/>
                <w:sz w:val="20"/>
                <w:szCs w:val="20"/>
              </w:rPr>
            </w:pPr>
            <w:r w:rsidRPr="00173B4F">
              <w:rPr>
                <w:rFonts w:asciiTheme="minorEastAsia" w:hAnsiTheme="minorEastAsia" w:cs="Calibri"/>
                <w:kern w:val="0"/>
                <w:sz w:val="20"/>
                <w:szCs w:val="20"/>
                <w:lang w:bidi="ar"/>
              </w:rPr>
              <w:t>0</w:t>
            </w:r>
          </w:p>
        </w:tc>
      </w:tr>
    </w:tbl>
    <w:p w:rsidR="004954D2" w:rsidRPr="00B1526D" w:rsidRDefault="00A028EF" w:rsidP="00B1526D">
      <w:pPr>
        <w:widowControl/>
        <w:spacing w:line="384" w:lineRule="atLeast"/>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4954D2">
        <w:trPr>
          <w:jc w:val="center"/>
        </w:trPr>
        <w:tc>
          <w:tcPr>
            <w:tcW w:w="321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行政诉讼</w:t>
            </w:r>
          </w:p>
        </w:tc>
      </w:tr>
      <w:tr w:rsidR="004954D2">
        <w:trPr>
          <w:jc w:val="center"/>
        </w:trPr>
        <w:tc>
          <w:tcPr>
            <w:tcW w:w="64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复议后起诉</w:t>
            </w:r>
          </w:p>
        </w:tc>
      </w:tr>
      <w:tr w:rsidR="004954D2">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4954D2" w:rsidRDefault="004954D2">
            <w:pPr>
              <w:rPr>
                <w:rFonts w:ascii="宋体"/>
                <w:sz w:val="24"/>
                <w:szCs w:val="24"/>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4954D2" w:rsidRDefault="004954D2">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4954D2">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4954D2">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4954D2">
            <w:pPr>
              <w:rPr>
                <w:rFonts w:ascii="宋体"/>
                <w:sz w:val="24"/>
                <w:szCs w:val="24"/>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color w:val="000000"/>
                <w:kern w:val="0"/>
                <w:sz w:val="20"/>
                <w:szCs w:val="20"/>
                <w:lang w:bidi="ar"/>
              </w:rPr>
              <w:t>其他</w:t>
            </w:r>
            <w:r>
              <w:rPr>
                <w:rFonts w:ascii="宋体" w:eastAsia="宋体" w:hAnsi="宋体" w:cs="宋体" w:hint="eastAsia"/>
                <w:color w:val="000000"/>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954D2" w:rsidRDefault="00A028EF">
            <w:pPr>
              <w:widowControl/>
              <w:jc w:val="center"/>
            </w:pPr>
            <w:r>
              <w:rPr>
                <w:rFonts w:ascii="宋体" w:eastAsia="宋体" w:hAnsi="宋体" w:cs="宋体" w:hint="eastAsia"/>
                <w:color w:val="000000"/>
                <w:kern w:val="0"/>
                <w:sz w:val="20"/>
                <w:szCs w:val="20"/>
                <w:lang w:bidi="ar"/>
              </w:rPr>
              <w:t>总计</w:t>
            </w:r>
          </w:p>
        </w:tc>
      </w:tr>
      <w:tr w:rsidR="004954D2">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widowControl/>
              <w:jc w:val="center"/>
              <w:rPr>
                <w:rFonts w:asciiTheme="minorEastAsia" w:hAnsiTheme="minorEastAsia"/>
                <w:sz w:val="20"/>
                <w:szCs w:val="20"/>
              </w:rPr>
            </w:pPr>
            <w:r w:rsidRPr="00173B4F">
              <w:rPr>
                <w:rFonts w:asciiTheme="minorEastAsia" w:hAnsiTheme="minorEastAsia"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954D2" w:rsidRPr="00173B4F" w:rsidRDefault="00200EA6" w:rsidP="00200EA6">
            <w:pPr>
              <w:jc w:val="center"/>
              <w:rPr>
                <w:rFonts w:asciiTheme="minorEastAsia" w:hAnsiTheme="minorEastAsia"/>
                <w:sz w:val="20"/>
                <w:szCs w:val="20"/>
              </w:rPr>
            </w:pPr>
            <w:r w:rsidRPr="00173B4F">
              <w:rPr>
                <w:rFonts w:asciiTheme="minorEastAsia" w:hAnsiTheme="minorEastAsia" w:hint="eastAsia"/>
                <w:sz w:val="20"/>
                <w:szCs w:val="20"/>
              </w:rPr>
              <w:t>0</w:t>
            </w:r>
          </w:p>
        </w:tc>
      </w:tr>
    </w:tbl>
    <w:p w:rsidR="004954D2" w:rsidRDefault="00A028EF">
      <w:pPr>
        <w:widowControl/>
        <w:numPr>
          <w:ilvl w:val="0"/>
          <w:numId w:val="2"/>
        </w:numPr>
        <w:spacing w:line="384" w:lineRule="atLeast"/>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存在的主要问题及改进情况</w:t>
      </w:r>
    </w:p>
    <w:p w:rsidR="00CB41E8" w:rsidRDefault="003B0A07">
      <w:pPr>
        <w:pStyle w:val="a4"/>
        <w:shd w:val="clear" w:color="auto" w:fill="FFFFFF"/>
        <w:spacing w:before="0" w:beforeAutospacing="0" w:after="0" w:afterAutospacing="0"/>
        <w:ind w:firstLine="420"/>
        <w:jc w:val="both"/>
        <w:rPr>
          <w:color w:val="333333"/>
          <w:shd w:val="clear" w:color="auto" w:fill="FFFFFF"/>
        </w:rPr>
      </w:pPr>
      <w:r w:rsidRPr="003B0A07">
        <w:rPr>
          <w:rFonts w:hint="eastAsia"/>
          <w:color w:val="333333"/>
          <w:shd w:val="clear" w:color="auto" w:fill="FFFFFF"/>
        </w:rPr>
        <w:t>主要问题</w:t>
      </w:r>
      <w:r w:rsidR="00CB41E8">
        <w:rPr>
          <w:rFonts w:hint="eastAsia"/>
          <w:color w:val="333333"/>
          <w:shd w:val="clear" w:color="auto" w:fill="FFFFFF"/>
        </w:rPr>
        <w:t>：</w:t>
      </w:r>
      <w:r w:rsidR="00F66ED7">
        <w:rPr>
          <w:rFonts w:hint="eastAsia"/>
          <w:color w:val="333333"/>
          <w:shd w:val="clear" w:color="auto" w:fill="FFFFFF"/>
        </w:rPr>
        <w:t>部分</w:t>
      </w:r>
      <w:r w:rsidR="00F66ED7">
        <w:rPr>
          <w:color w:val="333333"/>
          <w:shd w:val="clear" w:color="auto" w:fill="FFFFFF"/>
        </w:rPr>
        <w:t>政策</w:t>
      </w:r>
      <w:r w:rsidR="00E95E99">
        <w:rPr>
          <w:rFonts w:hint="eastAsia"/>
          <w:color w:val="333333"/>
          <w:shd w:val="clear" w:color="auto" w:fill="FFFFFF"/>
        </w:rPr>
        <w:t>文件</w:t>
      </w:r>
      <w:r w:rsidR="00F66ED7">
        <w:rPr>
          <w:rFonts w:hint="eastAsia"/>
          <w:color w:val="333333"/>
          <w:shd w:val="clear" w:color="auto" w:fill="FFFFFF"/>
        </w:rPr>
        <w:t>未</w:t>
      </w:r>
      <w:r w:rsidR="00E95E99">
        <w:rPr>
          <w:rFonts w:hint="eastAsia"/>
          <w:color w:val="333333"/>
          <w:shd w:val="clear" w:color="auto" w:fill="FFFFFF"/>
        </w:rPr>
        <w:t>开展</w:t>
      </w:r>
      <w:r w:rsidR="00F66ED7">
        <w:rPr>
          <w:rFonts w:hint="eastAsia"/>
          <w:color w:val="333333"/>
          <w:shd w:val="clear" w:color="auto" w:fill="FFFFFF"/>
        </w:rPr>
        <w:t>解读</w:t>
      </w:r>
      <w:r w:rsidR="00F66ED7">
        <w:rPr>
          <w:color w:val="333333"/>
          <w:shd w:val="clear" w:color="auto" w:fill="FFFFFF"/>
        </w:rPr>
        <w:t>，</w:t>
      </w:r>
      <w:r>
        <w:rPr>
          <w:color w:val="333333"/>
          <w:shd w:val="clear" w:color="auto" w:fill="FFFFFF"/>
        </w:rPr>
        <w:t>多元化</w:t>
      </w:r>
      <w:proofErr w:type="gramStart"/>
      <w:r>
        <w:rPr>
          <w:color w:val="333333"/>
          <w:shd w:val="clear" w:color="auto" w:fill="FFFFFF"/>
        </w:rPr>
        <w:t>解读率有待</w:t>
      </w:r>
      <w:proofErr w:type="gramEnd"/>
      <w:r>
        <w:rPr>
          <w:color w:val="333333"/>
          <w:shd w:val="clear" w:color="auto" w:fill="FFFFFF"/>
        </w:rPr>
        <w:t>提升</w:t>
      </w:r>
      <w:r w:rsidR="00652096">
        <w:rPr>
          <w:color w:val="333333"/>
          <w:shd w:val="clear" w:color="auto" w:fill="FFFFFF"/>
        </w:rPr>
        <w:t>。</w:t>
      </w:r>
      <w:r w:rsidR="0097642B">
        <w:rPr>
          <w:rFonts w:hint="eastAsia"/>
          <w:color w:val="333333"/>
          <w:shd w:val="clear" w:color="auto" w:fill="FFFFFF"/>
        </w:rPr>
        <w:t>发布</w:t>
      </w:r>
      <w:r w:rsidR="0097642B">
        <w:rPr>
          <w:color w:val="333333"/>
          <w:shd w:val="clear" w:color="auto" w:fill="FFFFFF"/>
        </w:rPr>
        <w:t>政策</w:t>
      </w:r>
      <w:r w:rsidR="00F4360D">
        <w:rPr>
          <w:rFonts w:hint="eastAsia"/>
          <w:color w:val="333333"/>
          <w:shd w:val="clear" w:color="auto" w:fill="FFFFFF"/>
        </w:rPr>
        <w:t>总</w:t>
      </w:r>
      <w:proofErr w:type="gramStart"/>
      <w:r w:rsidR="0097642B">
        <w:rPr>
          <w:color w:val="333333"/>
          <w:shd w:val="clear" w:color="auto" w:fill="FFFFFF"/>
        </w:rPr>
        <w:t>解读数</w:t>
      </w:r>
      <w:proofErr w:type="gramEnd"/>
      <w:r w:rsidR="0097642B">
        <w:rPr>
          <w:rFonts w:hint="eastAsia"/>
          <w:color w:val="333333"/>
          <w:shd w:val="clear" w:color="auto" w:fill="FFFFFF"/>
        </w:rPr>
        <w:t>12条</w:t>
      </w:r>
      <w:r w:rsidR="0097642B">
        <w:rPr>
          <w:color w:val="333333"/>
          <w:shd w:val="clear" w:color="auto" w:fill="FFFFFF"/>
        </w:rPr>
        <w:t>，</w:t>
      </w:r>
      <w:r w:rsidR="00AB30F5">
        <w:rPr>
          <w:rFonts w:hint="eastAsia"/>
          <w:color w:val="333333"/>
          <w:shd w:val="clear" w:color="auto" w:fill="FFFFFF"/>
        </w:rPr>
        <w:t>其中</w:t>
      </w:r>
      <w:r w:rsidR="0097642B">
        <w:rPr>
          <w:color w:val="333333"/>
          <w:shd w:val="clear" w:color="auto" w:fill="FFFFFF"/>
        </w:rPr>
        <w:t>多元化</w:t>
      </w:r>
      <w:proofErr w:type="gramStart"/>
      <w:r w:rsidR="0097642B">
        <w:rPr>
          <w:color w:val="333333"/>
          <w:shd w:val="clear" w:color="auto" w:fill="FFFFFF"/>
        </w:rPr>
        <w:t>解读数</w:t>
      </w:r>
      <w:proofErr w:type="gramEnd"/>
      <w:r w:rsidR="0097642B">
        <w:rPr>
          <w:rFonts w:hint="eastAsia"/>
          <w:color w:val="333333"/>
          <w:shd w:val="clear" w:color="auto" w:fill="FFFFFF"/>
        </w:rPr>
        <w:t>1</w:t>
      </w:r>
      <w:r w:rsidR="0097642B">
        <w:rPr>
          <w:color w:val="333333"/>
          <w:shd w:val="clear" w:color="auto" w:fill="FFFFFF"/>
        </w:rPr>
        <w:t>0</w:t>
      </w:r>
      <w:r w:rsidR="0097642B">
        <w:rPr>
          <w:rFonts w:hint="eastAsia"/>
          <w:color w:val="333333"/>
          <w:shd w:val="clear" w:color="auto" w:fill="FFFFFF"/>
        </w:rPr>
        <w:t>条</w:t>
      </w:r>
      <w:r w:rsidR="0097642B">
        <w:rPr>
          <w:color w:val="333333"/>
          <w:shd w:val="clear" w:color="auto" w:fill="FFFFFF"/>
        </w:rPr>
        <w:t>，</w:t>
      </w:r>
      <w:r w:rsidR="0097642B">
        <w:rPr>
          <w:rFonts w:hint="eastAsia"/>
          <w:color w:val="333333"/>
          <w:shd w:val="clear" w:color="auto" w:fill="FFFFFF"/>
        </w:rPr>
        <w:t>多元化</w:t>
      </w:r>
      <w:proofErr w:type="gramStart"/>
      <w:r w:rsidR="0097642B">
        <w:rPr>
          <w:color w:val="333333"/>
          <w:shd w:val="clear" w:color="auto" w:fill="FFFFFF"/>
        </w:rPr>
        <w:t>解读率</w:t>
      </w:r>
      <w:proofErr w:type="gramEnd"/>
      <w:r w:rsidR="00F4360D" w:rsidRPr="00F4360D">
        <w:rPr>
          <w:color w:val="333333"/>
          <w:shd w:val="clear" w:color="auto" w:fill="FFFFFF"/>
        </w:rPr>
        <w:t>83.33%</w:t>
      </w:r>
      <w:r w:rsidR="00AB30F5">
        <w:rPr>
          <w:rFonts w:hint="eastAsia"/>
          <w:color w:val="333333"/>
          <w:shd w:val="clear" w:color="auto" w:fill="FFFFFF"/>
        </w:rPr>
        <w:t>。</w:t>
      </w:r>
    </w:p>
    <w:p w:rsidR="003B0A07" w:rsidRPr="003B0A07" w:rsidRDefault="003B0A07">
      <w:pPr>
        <w:pStyle w:val="a4"/>
        <w:shd w:val="clear" w:color="auto" w:fill="FFFFFF"/>
        <w:spacing w:before="0" w:beforeAutospacing="0" w:after="0" w:afterAutospacing="0"/>
        <w:ind w:firstLine="420"/>
        <w:jc w:val="both"/>
        <w:rPr>
          <w:color w:val="333333"/>
        </w:rPr>
      </w:pPr>
      <w:r>
        <w:rPr>
          <w:rFonts w:hint="eastAsia"/>
          <w:color w:val="333333"/>
          <w:shd w:val="clear" w:color="auto" w:fill="FFFFFF"/>
        </w:rPr>
        <w:t>改进</w:t>
      </w:r>
      <w:r>
        <w:rPr>
          <w:color w:val="333333"/>
          <w:shd w:val="clear" w:color="auto" w:fill="FFFFFF"/>
        </w:rPr>
        <w:t>措施：</w:t>
      </w:r>
      <w:r w:rsidR="00E95E99" w:rsidRPr="00E95E99">
        <w:rPr>
          <w:rFonts w:hint="eastAsia"/>
          <w:color w:val="333333"/>
        </w:rPr>
        <w:t>行政规范性文件以及对市民企业权益产生影响的政策文件均要开展解读。</w:t>
      </w:r>
      <w:r w:rsidR="00CB41E8" w:rsidRPr="00CB41E8">
        <w:rPr>
          <w:rFonts w:hint="eastAsia"/>
          <w:color w:val="333333"/>
        </w:rPr>
        <w:t>综合选用</w:t>
      </w:r>
      <w:r w:rsidR="000410FE" w:rsidRPr="000410FE">
        <w:rPr>
          <w:rFonts w:hint="eastAsia"/>
          <w:color w:val="333333"/>
        </w:rPr>
        <w:t>图示图解、视频动漫、专家访谈、场景演示、集中政策宣讲</w:t>
      </w:r>
      <w:r w:rsidR="00CB41E8" w:rsidRPr="00CB41E8">
        <w:rPr>
          <w:rFonts w:hint="eastAsia"/>
          <w:color w:val="333333"/>
        </w:rPr>
        <w:t>等多元化形式，增强解读效果。同时，关注政策施行过程中可能产生的新情况、新问题，开展政策施行后的跟踪解读。</w:t>
      </w:r>
    </w:p>
    <w:p w:rsidR="004954D2" w:rsidRDefault="00A028EF">
      <w:pPr>
        <w:widowControl/>
        <w:numPr>
          <w:ilvl w:val="0"/>
          <w:numId w:val="2"/>
        </w:numPr>
        <w:spacing w:line="384" w:lineRule="atLeast"/>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其他需要报告的事项。</w:t>
      </w:r>
    </w:p>
    <w:p w:rsidR="004954D2" w:rsidRDefault="00B425BF" w:rsidP="00047D9D">
      <w:pPr>
        <w:pStyle w:val="a4"/>
        <w:shd w:val="clear" w:color="auto" w:fill="FFFFFF"/>
        <w:spacing w:before="0" w:beforeAutospacing="0" w:after="0" w:afterAutospacing="0"/>
        <w:ind w:firstLine="420"/>
        <w:rPr>
          <w:color w:val="333333"/>
          <w:shd w:val="clear" w:color="auto" w:fill="FFFFFF"/>
        </w:rPr>
      </w:pPr>
      <w:r>
        <w:rPr>
          <w:rFonts w:hint="eastAsia"/>
          <w:color w:val="333333"/>
          <w:shd w:val="clear" w:color="auto" w:fill="FFFFFF"/>
        </w:rPr>
        <w:t>1.</w:t>
      </w:r>
      <w:r w:rsidR="00047D9D" w:rsidRPr="00047D9D">
        <w:rPr>
          <w:rFonts w:hint="eastAsia"/>
          <w:color w:val="333333"/>
          <w:shd w:val="clear" w:color="auto" w:fill="FFFFFF"/>
        </w:rPr>
        <w:t>本年度未发出信息处理费收费通知，未收取信息处理费。</w:t>
      </w:r>
    </w:p>
    <w:p w:rsidR="004954D2" w:rsidRDefault="00B425BF" w:rsidP="001C72BC">
      <w:pPr>
        <w:pStyle w:val="a4"/>
        <w:shd w:val="clear" w:color="auto" w:fill="FFFFFF"/>
        <w:spacing w:before="0" w:beforeAutospacing="0" w:after="0" w:afterAutospacing="0"/>
        <w:ind w:firstLine="420"/>
        <w:rPr>
          <w:color w:val="333333"/>
          <w:shd w:val="clear" w:color="auto" w:fill="FFFFFF"/>
        </w:rPr>
      </w:pPr>
      <w:r w:rsidRPr="00D156CC">
        <w:rPr>
          <w:rFonts w:hint="eastAsia"/>
          <w:color w:val="333333"/>
          <w:shd w:val="clear" w:color="auto" w:fill="FFFFFF"/>
        </w:rPr>
        <w:t>2.表三“本年度收到和处理政府信息公开申请情况”中， “（四）无法提供2.没有现成信息需要另行制作”共</w:t>
      </w:r>
      <w:r w:rsidRPr="00D156CC">
        <w:rPr>
          <w:color w:val="333333"/>
          <w:shd w:val="clear" w:color="auto" w:fill="FFFFFF"/>
        </w:rPr>
        <w:t>2</w:t>
      </w:r>
      <w:r w:rsidRPr="00D156CC">
        <w:rPr>
          <w:rFonts w:hint="eastAsia"/>
          <w:color w:val="333333"/>
          <w:shd w:val="clear" w:color="auto" w:fill="FFFFFF"/>
        </w:rPr>
        <w:t>件，均以咨询告知；“（六）其他处理3.其他”共</w:t>
      </w:r>
      <w:r w:rsidRPr="00D156CC">
        <w:rPr>
          <w:color w:val="333333"/>
          <w:shd w:val="clear" w:color="auto" w:fill="FFFFFF"/>
        </w:rPr>
        <w:t>2</w:t>
      </w:r>
      <w:r w:rsidRPr="00D156CC">
        <w:rPr>
          <w:rFonts w:hint="eastAsia"/>
          <w:color w:val="333333"/>
          <w:shd w:val="clear" w:color="auto" w:fill="FFFFFF"/>
        </w:rPr>
        <w:t>件，均为申请人主动撤销申请。</w:t>
      </w:r>
    </w:p>
    <w:p w:rsidR="004954D2" w:rsidRDefault="00FA7A98" w:rsidP="00E5668F">
      <w:pPr>
        <w:pStyle w:val="a4"/>
        <w:shd w:val="clear" w:color="auto" w:fill="FFFFFF"/>
        <w:ind w:firstLine="420"/>
        <w:rPr>
          <w:rFonts w:ascii="仿宋_GB2312" w:eastAsia="仿宋_GB2312" w:cs="经典粗宋简"/>
          <w:sz w:val="30"/>
          <w:szCs w:val="30"/>
        </w:rPr>
      </w:pPr>
      <w:r>
        <w:rPr>
          <w:color w:val="333333"/>
          <w:shd w:val="clear" w:color="auto" w:fill="FFFFFF"/>
        </w:rPr>
        <w:lastRenderedPageBreak/>
        <w:t>3.</w:t>
      </w:r>
      <w:r w:rsidR="002E5367" w:rsidRPr="002E5367">
        <w:rPr>
          <w:rFonts w:hint="eastAsia"/>
          <w:color w:val="333333"/>
          <w:shd w:val="clear" w:color="auto" w:fill="FFFFFF"/>
        </w:rPr>
        <w:t>年度工作要点落实情况</w:t>
      </w:r>
      <w:r>
        <w:rPr>
          <w:rFonts w:hint="eastAsia"/>
          <w:color w:val="333333"/>
          <w:shd w:val="clear" w:color="auto" w:fill="FFFFFF"/>
        </w:rPr>
        <w:t>：</w:t>
      </w:r>
      <w:r w:rsidR="00E5668F">
        <w:rPr>
          <w:rFonts w:hint="eastAsia"/>
          <w:color w:val="333333"/>
          <w:shd w:val="clear" w:color="auto" w:fill="FFFFFF"/>
        </w:rPr>
        <w:t>一</w:t>
      </w:r>
      <w:r w:rsidR="00E5668F">
        <w:rPr>
          <w:color w:val="333333"/>
          <w:shd w:val="clear" w:color="auto" w:fill="FFFFFF"/>
        </w:rPr>
        <w:t>是</w:t>
      </w:r>
      <w:r w:rsidR="00E5668F" w:rsidRPr="00E5668F">
        <w:rPr>
          <w:rFonts w:hint="eastAsia"/>
          <w:color w:val="333333"/>
          <w:shd w:val="clear" w:color="auto" w:fill="FFFFFF"/>
        </w:rPr>
        <w:t>政务公开工作基础</w:t>
      </w:r>
      <w:r w:rsidR="00E5668F">
        <w:rPr>
          <w:rFonts w:hint="eastAsia"/>
          <w:color w:val="333333"/>
          <w:shd w:val="clear" w:color="auto" w:fill="FFFFFF"/>
        </w:rPr>
        <w:t>。</w:t>
      </w:r>
      <w:r w:rsidR="00E5668F" w:rsidRPr="00E5668F">
        <w:rPr>
          <w:rFonts w:hint="eastAsia"/>
          <w:color w:val="333333"/>
          <w:shd w:val="clear" w:color="auto" w:fill="FFFFFF"/>
        </w:rPr>
        <w:t>规范政府信息管理</w:t>
      </w:r>
      <w:r w:rsidR="00E5668F">
        <w:rPr>
          <w:rFonts w:hint="eastAsia"/>
          <w:color w:val="333333"/>
          <w:shd w:val="clear" w:color="auto" w:fill="FFFFFF"/>
        </w:rPr>
        <w:t>，</w:t>
      </w:r>
      <w:r w:rsidR="00E5668F" w:rsidRPr="00E5668F">
        <w:rPr>
          <w:rFonts w:hint="eastAsia"/>
          <w:color w:val="333333"/>
          <w:shd w:val="clear" w:color="auto" w:fill="FFFFFF"/>
        </w:rPr>
        <w:t>做好法定公开内容日常维护</w:t>
      </w:r>
      <w:r w:rsidR="00E5668F">
        <w:rPr>
          <w:rFonts w:hint="eastAsia"/>
          <w:color w:val="333333"/>
          <w:shd w:val="clear" w:color="auto" w:fill="FFFFFF"/>
        </w:rPr>
        <w:t>，</w:t>
      </w:r>
      <w:r w:rsidR="00E5668F" w:rsidRPr="00E5668F">
        <w:rPr>
          <w:rFonts w:hint="eastAsia"/>
          <w:color w:val="333333"/>
          <w:shd w:val="clear" w:color="auto" w:fill="FFFFFF"/>
        </w:rPr>
        <w:t>完善依申请办理工作全过程管理</w:t>
      </w:r>
      <w:r w:rsidR="00E5668F">
        <w:rPr>
          <w:rFonts w:hint="eastAsia"/>
          <w:color w:val="333333"/>
          <w:shd w:val="clear" w:color="auto" w:fill="FFFFFF"/>
        </w:rPr>
        <w:t>。</w:t>
      </w:r>
      <w:r w:rsidR="00E5668F">
        <w:rPr>
          <w:color w:val="333333"/>
          <w:shd w:val="clear" w:color="auto" w:fill="FFFFFF"/>
        </w:rPr>
        <w:t>二</w:t>
      </w:r>
      <w:r w:rsidR="00E5668F">
        <w:rPr>
          <w:rFonts w:hint="eastAsia"/>
          <w:color w:val="333333"/>
          <w:shd w:val="clear" w:color="auto" w:fill="FFFFFF"/>
        </w:rPr>
        <w:t>是</w:t>
      </w:r>
      <w:r w:rsidR="00E5668F" w:rsidRPr="00E5668F">
        <w:rPr>
          <w:rFonts w:hint="eastAsia"/>
          <w:color w:val="333333"/>
          <w:shd w:val="clear" w:color="auto" w:fill="FFFFFF"/>
        </w:rPr>
        <w:t>提高政策解读和回应实效</w:t>
      </w:r>
      <w:r w:rsidR="00E5668F">
        <w:rPr>
          <w:rFonts w:hint="eastAsia"/>
          <w:color w:val="333333"/>
          <w:shd w:val="clear" w:color="auto" w:fill="FFFFFF"/>
        </w:rPr>
        <w:t>。</w:t>
      </w:r>
      <w:r w:rsidR="00E5668F" w:rsidRPr="00E5668F">
        <w:rPr>
          <w:rFonts w:hint="eastAsia"/>
          <w:color w:val="333333"/>
          <w:shd w:val="clear" w:color="auto" w:fill="FFFFFF"/>
        </w:rPr>
        <w:t>推进政策文件精准解读</w:t>
      </w:r>
      <w:r w:rsidR="00E5668F">
        <w:rPr>
          <w:rFonts w:hint="eastAsia"/>
          <w:color w:val="333333"/>
          <w:shd w:val="clear" w:color="auto" w:fill="FFFFFF"/>
        </w:rPr>
        <w:t>，抓好日常回应关切和互动，提升政务新媒体管理水平。三</w:t>
      </w:r>
      <w:bookmarkStart w:id="0" w:name="_GoBack"/>
      <w:bookmarkEnd w:id="0"/>
      <w:r w:rsidR="00E5668F">
        <w:rPr>
          <w:color w:val="333333"/>
          <w:shd w:val="clear" w:color="auto" w:fill="FFFFFF"/>
        </w:rPr>
        <w:t>是</w:t>
      </w:r>
      <w:r w:rsidR="00E5668F" w:rsidRPr="00E5668F">
        <w:rPr>
          <w:rFonts w:hint="eastAsia"/>
          <w:color w:val="333333"/>
          <w:shd w:val="clear" w:color="auto" w:fill="FFFFFF"/>
        </w:rPr>
        <w:t>细化深化教育领域信息公开</w:t>
      </w:r>
      <w:r w:rsidR="00E5668F">
        <w:rPr>
          <w:rFonts w:hint="eastAsia"/>
          <w:color w:val="333333"/>
          <w:shd w:val="clear" w:color="auto" w:fill="FFFFFF"/>
        </w:rPr>
        <w:t>。</w:t>
      </w:r>
      <w:r w:rsidR="00E5668F" w:rsidRPr="00E5668F">
        <w:rPr>
          <w:rFonts w:hint="eastAsia"/>
          <w:color w:val="333333"/>
          <w:shd w:val="clear" w:color="auto" w:fill="FFFFFF"/>
        </w:rPr>
        <w:t>动态优化更新政务公开标准目录</w:t>
      </w:r>
      <w:r w:rsidR="00E5668F">
        <w:rPr>
          <w:rFonts w:hint="eastAsia"/>
          <w:color w:val="333333"/>
          <w:shd w:val="clear" w:color="auto" w:fill="FFFFFF"/>
        </w:rPr>
        <w:t>，</w:t>
      </w:r>
      <w:r w:rsidR="00E5668F" w:rsidRPr="00E5668F">
        <w:rPr>
          <w:rFonts w:hint="eastAsia"/>
          <w:color w:val="333333"/>
          <w:shd w:val="clear" w:color="auto" w:fill="FFFFFF"/>
        </w:rPr>
        <w:t>优化各级各类招生考试信息公开。规范教育培训机构信息公开</w:t>
      </w:r>
      <w:r w:rsidR="00E5668F">
        <w:rPr>
          <w:rFonts w:hint="eastAsia"/>
          <w:color w:val="333333"/>
          <w:shd w:val="clear" w:color="auto" w:fill="FFFFFF"/>
        </w:rPr>
        <w:t>，</w:t>
      </w:r>
      <w:r w:rsidR="00E5668F" w:rsidRPr="00E5668F">
        <w:rPr>
          <w:rFonts w:hint="eastAsia"/>
          <w:color w:val="333333"/>
          <w:shd w:val="clear" w:color="auto" w:fill="FFFFFF"/>
        </w:rPr>
        <w:t>强化标准化规范化成果创新性应用</w:t>
      </w:r>
      <w:r w:rsidR="00E5668F">
        <w:rPr>
          <w:rFonts w:hint="eastAsia"/>
          <w:color w:val="333333"/>
          <w:shd w:val="clear" w:color="auto" w:fill="FFFFFF"/>
        </w:rPr>
        <w:t>。</w:t>
      </w:r>
    </w:p>
    <w:sectPr w:rsidR="00495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经典粗宋简">
    <w:altName w:val="SimSun-ExtB"/>
    <w:charset w:val="86"/>
    <w:family w:val="modern"/>
    <w:pitch w:val="default"/>
    <w:sig w:usb0="00000000" w:usb1="00000000" w:usb2="0000001E"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DEB3EB"/>
    <w:multiLevelType w:val="singleLevel"/>
    <w:tmpl w:val="BEDEB3EB"/>
    <w:lvl w:ilvl="0">
      <w:start w:val="5"/>
      <w:numFmt w:val="chineseCounting"/>
      <w:suff w:val="nothing"/>
      <w:lvlText w:val="%1、"/>
      <w:lvlJc w:val="left"/>
      <w:rPr>
        <w:rFonts w:hint="eastAsia"/>
      </w:rPr>
    </w:lvl>
  </w:abstractNum>
  <w:abstractNum w:abstractNumId="1" w15:restartNumberingAfterBreak="0">
    <w:nsid w:val="46FCFEFC"/>
    <w:multiLevelType w:val="singleLevel"/>
    <w:tmpl w:val="46FCFEFC"/>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1E"/>
    <w:rsid w:val="9DFBCEAF"/>
    <w:rsid w:val="ABD3D712"/>
    <w:rsid w:val="BBA9206F"/>
    <w:rsid w:val="BFEF5C57"/>
    <w:rsid w:val="C7F78B04"/>
    <w:rsid w:val="CE8F6B71"/>
    <w:rsid w:val="D7578A57"/>
    <w:rsid w:val="D77F98F7"/>
    <w:rsid w:val="DA7FBF72"/>
    <w:rsid w:val="DDFE30BF"/>
    <w:rsid w:val="DFB2E735"/>
    <w:rsid w:val="E55F3B5E"/>
    <w:rsid w:val="EBDB5AC4"/>
    <w:rsid w:val="EDBF35E6"/>
    <w:rsid w:val="F1FD51E8"/>
    <w:rsid w:val="FB3EB412"/>
    <w:rsid w:val="FDEFD939"/>
    <w:rsid w:val="FEDF0BC3"/>
    <w:rsid w:val="FF7B2374"/>
    <w:rsid w:val="FF7B61EE"/>
    <w:rsid w:val="FFD1E16B"/>
    <w:rsid w:val="FFF5159B"/>
    <w:rsid w:val="FFFF1D2C"/>
    <w:rsid w:val="00017D2D"/>
    <w:rsid w:val="00025493"/>
    <w:rsid w:val="00034AF4"/>
    <w:rsid w:val="000410FE"/>
    <w:rsid w:val="000442A7"/>
    <w:rsid w:val="00047D9D"/>
    <w:rsid w:val="00063025"/>
    <w:rsid w:val="000642D0"/>
    <w:rsid w:val="000E3F1E"/>
    <w:rsid w:val="00117A0F"/>
    <w:rsid w:val="00123563"/>
    <w:rsid w:val="00173B4F"/>
    <w:rsid w:val="001777C8"/>
    <w:rsid w:val="001B2526"/>
    <w:rsid w:val="001B2CE4"/>
    <w:rsid w:val="001C72BC"/>
    <w:rsid w:val="001E0026"/>
    <w:rsid w:val="00200EA6"/>
    <w:rsid w:val="0020340C"/>
    <w:rsid w:val="00270ECB"/>
    <w:rsid w:val="00292979"/>
    <w:rsid w:val="002C7CAE"/>
    <w:rsid w:val="002E268B"/>
    <w:rsid w:val="002E5367"/>
    <w:rsid w:val="002F7CA9"/>
    <w:rsid w:val="00322476"/>
    <w:rsid w:val="00366633"/>
    <w:rsid w:val="00390BF7"/>
    <w:rsid w:val="003B0A07"/>
    <w:rsid w:val="003D14D8"/>
    <w:rsid w:val="004954D2"/>
    <w:rsid w:val="004D05DD"/>
    <w:rsid w:val="00517415"/>
    <w:rsid w:val="00540EE3"/>
    <w:rsid w:val="00561816"/>
    <w:rsid w:val="005A3975"/>
    <w:rsid w:val="005B3F4C"/>
    <w:rsid w:val="005C5C5A"/>
    <w:rsid w:val="00626982"/>
    <w:rsid w:val="00652096"/>
    <w:rsid w:val="006568D2"/>
    <w:rsid w:val="006F08BC"/>
    <w:rsid w:val="00770CF7"/>
    <w:rsid w:val="00771762"/>
    <w:rsid w:val="00785E52"/>
    <w:rsid w:val="0080150D"/>
    <w:rsid w:val="0085006D"/>
    <w:rsid w:val="00963626"/>
    <w:rsid w:val="0097642B"/>
    <w:rsid w:val="009824CA"/>
    <w:rsid w:val="009A19E6"/>
    <w:rsid w:val="009D7B05"/>
    <w:rsid w:val="009F71E5"/>
    <w:rsid w:val="00A028EF"/>
    <w:rsid w:val="00A82892"/>
    <w:rsid w:val="00A93E5E"/>
    <w:rsid w:val="00A95FE5"/>
    <w:rsid w:val="00AB30F5"/>
    <w:rsid w:val="00B1526D"/>
    <w:rsid w:val="00B41CF3"/>
    <w:rsid w:val="00B425BF"/>
    <w:rsid w:val="00B56721"/>
    <w:rsid w:val="00BF28D6"/>
    <w:rsid w:val="00C704B5"/>
    <w:rsid w:val="00CB37E2"/>
    <w:rsid w:val="00CB3D8A"/>
    <w:rsid w:val="00CB41E8"/>
    <w:rsid w:val="00D14580"/>
    <w:rsid w:val="00D156CC"/>
    <w:rsid w:val="00D63748"/>
    <w:rsid w:val="00DA0856"/>
    <w:rsid w:val="00DA4FC1"/>
    <w:rsid w:val="00DB4BA7"/>
    <w:rsid w:val="00DF17BC"/>
    <w:rsid w:val="00E40CD2"/>
    <w:rsid w:val="00E5668F"/>
    <w:rsid w:val="00E7798C"/>
    <w:rsid w:val="00E95E99"/>
    <w:rsid w:val="00EB5F60"/>
    <w:rsid w:val="00ED2031"/>
    <w:rsid w:val="00EF5533"/>
    <w:rsid w:val="00F34784"/>
    <w:rsid w:val="00F4360D"/>
    <w:rsid w:val="00F5048F"/>
    <w:rsid w:val="00F55537"/>
    <w:rsid w:val="00F55A1C"/>
    <w:rsid w:val="00F64906"/>
    <w:rsid w:val="00F66ED7"/>
    <w:rsid w:val="00F72305"/>
    <w:rsid w:val="00FA7A98"/>
    <w:rsid w:val="075B74BA"/>
    <w:rsid w:val="1DFFA958"/>
    <w:rsid w:val="1EFD689A"/>
    <w:rsid w:val="3EDEC36B"/>
    <w:rsid w:val="575FB2F6"/>
    <w:rsid w:val="5CFAA8EC"/>
    <w:rsid w:val="5D6FE4C1"/>
    <w:rsid w:val="64EED9BF"/>
    <w:rsid w:val="65B2C8D8"/>
    <w:rsid w:val="67DB0A9C"/>
    <w:rsid w:val="67EE7694"/>
    <w:rsid w:val="67EF111F"/>
    <w:rsid w:val="6BABB9EE"/>
    <w:rsid w:val="6FCF6D6A"/>
    <w:rsid w:val="76FF8130"/>
    <w:rsid w:val="775E7DAF"/>
    <w:rsid w:val="77AD5E6F"/>
    <w:rsid w:val="7B9DB973"/>
    <w:rsid w:val="7BEF34A5"/>
    <w:rsid w:val="7DF7B9BD"/>
    <w:rsid w:val="7EED64C7"/>
    <w:rsid w:val="7F9B8C5B"/>
    <w:rsid w:val="7FED748B"/>
    <w:rsid w:val="7FEF62ED"/>
    <w:rsid w:val="7FF5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3C219-E12A-4F08-A9FB-6591C167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440</Words>
  <Characters>2510</Characters>
  <Application>Microsoft Office Word</Application>
  <DocSecurity>0</DocSecurity>
  <Lines>20</Lines>
  <Paragraphs>5</Paragraphs>
  <ScaleCrop>false</ScaleCrop>
  <Company>Microsoft</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何易</dc:creator>
  <cp:lastModifiedBy>刘春香</cp:lastModifiedBy>
  <cp:revision>88</cp:revision>
  <dcterms:created xsi:type="dcterms:W3CDTF">2019-12-02T06:10:00Z</dcterms:created>
  <dcterms:modified xsi:type="dcterms:W3CDTF">2023-11-03T02:55:00Z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