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闵行区体育局“谁执法谁普法”普法责任清单</w:t>
      </w:r>
    </w:p>
    <w:bookmarkEnd w:id="0"/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重点宣传普及的法律法规规章规范性文件清单及责任部门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1、《中华人民共和国宪法》（全系统各单位</w:t>
      </w:r>
      <w:r>
        <w:rPr>
          <w:rFonts w:ascii="仿宋_GB2312" w:hAnsi="仿宋_GB2312" w:eastAsia="仿宋_GB2312" w:cs="仿宋_GB2312"/>
          <w:sz w:val="28"/>
          <w:szCs w:val="28"/>
        </w:rPr>
        <w:t>、各科室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、《中华人民共和国体育法》（全系统各单位</w:t>
      </w:r>
      <w:r>
        <w:rPr>
          <w:rFonts w:ascii="仿宋_GB2312" w:hAnsi="仿宋_GB2312" w:eastAsia="仿宋_GB2312" w:cs="仿宋_GB2312"/>
          <w:sz w:val="28"/>
          <w:szCs w:val="28"/>
        </w:rPr>
        <w:t>、各科室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3、《全民健身条例》（群体科、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4、《公共文化体育</w:t>
      </w:r>
      <w:r>
        <w:rPr>
          <w:rFonts w:ascii="仿宋_GB2312" w:hAnsi="仿宋_GB2312" w:eastAsia="仿宋_GB2312" w:cs="仿宋_GB2312"/>
          <w:sz w:val="28"/>
          <w:szCs w:val="28"/>
        </w:rPr>
        <w:t>设施条例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》（群体科</w:t>
      </w:r>
      <w:r>
        <w:rPr>
          <w:rFonts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5、《彩票管理</w:t>
      </w:r>
      <w:r>
        <w:rPr>
          <w:rFonts w:ascii="仿宋_GB2312" w:hAnsi="仿宋_GB2312" w:eastAsia="仿宋_GB2312" w:cs="仿宋_GB2312"/>
          <w:sz w:val="28"/>
          <w:szCs w:val="28"/>
        </w:rPr>
        <w:t>条例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6、《经营</w:t>
      </w:r>
      <w:r>
        <w:rPr>
          <w:rFonts w:ascii="仿宋_GB2312" w:hAnsi="仿宋_GB2312" w:eastAsia="仿宋_GB2312" w:cs="仿宋_GB2312"/>
          <w:sz w:val="28"/>
          <w:szCs w:val="28"/>
        </w:rPr>
        <w:t>高危险性体育项目许可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</w:t>
      </w:r>
      <w:r>
        <w:rPr>
          <w:rFonts w:ascii="仿宋_GB2312" w:hAnsi="仿宋_GB2312" w:eastAsia="仿宋_GB2312" w:cs="仿宋_GB2312"/>
          <w:sz w:val="28"/>
          <w:szCs w:val="28"/>
        </w:rPr>
        <w:t>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7、《运动员</w:t>
      </w:r>
      <w:r>
        <w:rPr>
          <w:rFonts w:ascii="仿宋_GB2312" w:hAnsi="仿宋_GB2312" w:eastAsia="仿宋_GB2312" w:cs="仿宋_GB2312"/>
          <w:sz w:val="28"/>
          <w:szCs w:val="28"/>
        </w:rPr>
        <w:t>技术等级管理办法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》（竞训科）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</w:t>
      </w:r>
      <w:r>
        <w:rPr>
          <w:rFonts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</w:t>
      </w:r>
      <w:r>
        <w:rPr>
          <w:rFonts w:ascii="仿宋_GB2312" w:hAnsi="仿宋_GB2312" w:eastAsia="仿宋_GB2312" w:cs="仿宋_GB2312"/>
          <w:sz w:val="28"/>
          <w:szCs w:val="28"/>
        </w:rPr>
        <w:t>体育指导员管理办法》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</w:t>
      </w:r>
      <w:r>
        <w:rPr>
          <w:rFonts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上海市体育设施管理办法</w:t>
      </w:r>
      <w:r>
        <w:rPr>
          <w:rFonts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（群体科、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体育管理服务中心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除以上法律法规规章外，还包括根据相关法律法规制定的配套文件，由相关单位</w:t>
      </w:r>
      <w:r>
        <w:rPr>
          <w:rFonts w:ascii="仿宋_GB2312" w:hAnsi="仿宋_GB2312" w:eastAsia="仿宋_GB2312" w:cs="仿宋_GB2312"/>
          <w:sz w:val="28"/>
          <w:szCs w:val="28"/>
        </w:rPr>
        <w:t>、科室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按照职责开展宣传普及工作。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项目清单（或重点普法任务）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(一)加强系统内</w:t>
      </w:r>
      <w:r>
        <w:rPr>
          <w:rFonts w:ascii="仿宋_GB2312" w:hAnsi="仿宋_GB2312" w:eastAsia="仿宋_GB2312" w:cs="仿宋_GB2312"/>
          <w:b/>
          <w:sz w:val="28"/>
          <w:szCs w:val="28"/>
        </w:rPr>
        <w:t>法制教育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深入学习贯彻习近平新时代中国特色社会主义思想和党的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二十大</w:t>
      </w:r>
      <w:r>
        <w:rPr>
          <w:rFonts w:hint="eastAsia" w:ascii="仿宋_GB2312" w:hAnsi="仿宋_GB2312" w:eastAsia="仿宋_GB2312" w:cs="仿宋_GB2312"/>
          <w:sz w:val="28"/>
          <w:szCs w:val="28"/>
        </w:rPr>
        <w:t>精神，用习近平新时代中国特色社会主义思想武装头脑、指导实践、推动工作。定期组织领导干部开展宪法法律专题培训，提高领导干部运用法治思维和法治方式能力。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（二）把普法融入制度建设过程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及时宣传解读新修订、新出台的涉及体育条线的法律法规规章，以通俗易懂的语言将公民、法人和其他组织的权利义务、权利救济方式等内容讲清讲透。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（三）积极组织职工培训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将体育法治教育内容纳入体育</w:t>
      </w:r>
      <w:r>
        <w:rPr>
          <w:rFonts w:ascii="仿宋_GB2312" w:hAnsi="仿宋_GB2312" w:eastAsia="仿宋_GB2312" w:cs="仿宋_GB2312"/>
          <w:sz w:val="28"/>
          <w:szCs w:val="28"/>
        </w:rPr>
        <w:t>系统职工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业务知识</w:t>
      </w:r>
      <w:r>
        <w:rPr>
          <w:rFonts w:ascii="仿宋_GB2312" w:hAnsi="仿宋_GB2312" w:eastAsia="仿宋_GB2312" w:cs="仿宋_GB2312"/>
          <w:sz w:val="28"/>
          <w:szCs w:val="28"/>
        </w:rPr>
        <w:t>培训，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结合以案释法工作，提高职工依法履职的能力，提升领导干部运用法治思维和法治方式处理复杂事务的能力。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（四）大力开展宪法宣传教育。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在国家宪法日、上海市宪法宣传周期间，开展全系统的宪法宣传，充分运用“闵行体育”官方网站和微博、微信等新媒体平台，积极开展宪法宣传教育，不断增强体育系统职工和人民群众的宪法意识。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（五）加强社会主义法治文化建设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实施法治文化阵地工程，依托区属</w:t>
      </w:r>
      <w:r>
        <w:rPr>
          <w:rFonts w:ascii="仿宋_GB2312" w:hAnsi="仿宋_GB2312" w:eastAsia="仿宋_GB2312" w:cs="仿宋_GB2312"/>
          <w:sz w:val="28"/>
          <w:szCs w:val="28"/>
        </w:rPr>
        <w:t>体育场馆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游泳池等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</w:t>
      </w:r>
      <w:r>
        <w:rPr>
          <w:rFonts w:ascii="仿宋_GB2312" w:hAnsi="仿宋_GB2312" w:eastAsia="仿宋_GB2312" w:cs="仿宋_GB2312"/>
          <w:sz w:val="28"/>
          <w:szCs w:val="28"/>
        </w:rPr>
        <w:t>场所和窗口</w:t>
      </w:r>
      <w:r>
        <w:rPr>
          <w:rFonts w:hint="eastAsia" w:ascii="仿宋_GB2312" w:hAnsi="仿宋_GB2312" w:eastAsia="仿宋_GB2312" w:cs="仿宋_GB2312"/>
          <w:sz w:val="28"/>
          <w:szCs w:val="28"/>
        </w:rPr>
        <w:t>，广泛拓展系统资源，推进法治文化阵地建设。</w:t>
      </w:r>
    </w:p>
    <w:p>
      <w:pPr>
        <w:spacing w:line="52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（六）加强组织</w:t>
      </w:r>
      <w:r>
        <w:rPr>
          <w:rFonts w:ascii="仿宋_GB2312" w:hAnsi="仿宋_GB2312" w:eastAsia="仿宋_GB2312" w:cs="仿宋_GB2312"/>
          <w:b/>
          <w:sz w:val="28"/>
          <w:szCs w:val="28"/>
        </w:rPr>
        <w:t>领导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将普法工作纳入体育系统行政工作总体布局，建立健全普法领导和工作机构，明确分管领导、具体责任部门和责任人员。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重点普法对象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1、体育系统全体</w:t>
      </w:r>
      <w:r>
        <w:rPr>
          <w:rFonts w:ascii="仿宋_GB2312" w:hAnsi="仿宋_GB2312" w:eastAsia="仿宋_GB2312" w:cs="仿宋_GB2312"/>
          <w:sz w:val="28"/>
          <w:szCs w:val="28"/>
        </w:rPr>
        <w:t>职工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2、镇文体</w:t>
      </w:r>
      <w:r>
        <w:rPr>
          <w:rFonts w:ascii="仿宋_GB2312" w:hAnsi="仿宋_GB2312" w:eastAsia="仿宋_GB2312" w:cs="仿宋_GB2312"/>
          <w:sz w:val="28"/>
          <w:szCs w:val="28"/>
        </w:rPr>
        <w:t>中心、街道</w:t>
      </w:r>
      <w:r>
        <w:rPr>
          <w:rFonts w:hint="eastAsia" w:ascii="仿宋_GB2312" w:hAnsi="仿宋_GB2312" w:eastAsia="仿宋_GB2312" w:cs="仿宋_GB2312"/>
          <w:sz w:val="28"/>
          <w:szCs w:val="28"/>
        </w:rPr>
        <w:t>党建服务</w:t>
      </w:r>
      <w:r>
        <w:rPr>
          <w:rFonts w:ascii="仿宋_GB2312" w:hAnsi="仿宋_GB2312" w:eastAsia="仿宋_GB2312" w:cs="仿宋_GB2312"/>
          <w:sz w:val="28"/>
          <w:szCs w:val="28"/>
        </w:rPr>
        <w:t>中心（</w:t>
      </w:r>
      <w:r>
        <w:rPr>
          <w:rFonts w:hint="eastAsia" w:ascii="仿宋_GB2312" w:hAnsi="仿宋_GB2312" w:eastAsia="仿宋_GB2312" w:cs="仿宋_GB2312"/>
          <w:sz w:val="28"/>
          <w:szCs w:val="28"/>
        </w:rPr>
        <w:t>文体组</w:t>
      </w:r>
      <w:r>
        <w:rPr>
          <w:rFonts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3、其他</w:t>
      </w:r>
      <w:r>
        <w:rPr>
          <w:rFonts w:ascii="仿宋_GB2312" w:hAnsi="仿宋_GB2312" w:eastAsia="仿宋_GB2312" w:cs="仿宋_GB2312"/>
          <w:sz w:val="28"/>
          <w:szCs w:val="28"/>
        </w:rPr>
        <w:t>重点普法对象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4E2A5"/>
    <w:multiLevelType w:val="singleLevel"/>
    <w:tmpl w:val="3014E2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86"/>
    <w:rsid w:val="00842286"/>
    <w:rsid w:val="00F725BE"/>
    <w:rsid w:val="6DBFD64D"/>
    <w:rsid w:val="7B8EB54C"/>
    <w:rsid w:val="7F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767</Characters>
  <Lines>6</Lines>
  <Paragraphs>1</Paragraphs>
  <TotalTime>27</TotalTime>
  <ScaleCrop>false</ScaleCrop>
  <LinksUpToDate>false</LinksUpToDate>
  <CharactersWithSpaces>900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2018-06-27T10:08:00Z</dcterms:created>
  <dc:creator>李思慧</dc:creator>
  <cp:lastModifiedBy>mhxc</cp:lastModifiedBy>
  <dcterms:modified xsi:type="dcterms:W3CDTF">2023-11-28T09:22:59Z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