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黑体"/>
          <w:sz w:val="32"/>
          <w:szCs w:val="32"/>
        </w:rPr>
      </w:pPr>
    </w:p>
    <w:p>
      <w:pPr>
        <w:spacing w:line="600" w:lineRule="exact"/>
        <w:jc w:val="center"/>
        <w:rPr>
          <w:rFonts w:ascii="Times New Roman" w:hAnsi="Times New Roman" w:eastAsia="华文中宋"/>
          <w:sz w:val="36"/>
          <w:szCs w:val="36"/>
        </w:rPr>
      </w:pPr>
      <w:r>
        <w:rPr>
          <w:rFonts w:hint="eastAsia" w:ascii="Times New Roman" w:hAnsi="Times New Roman" w:eastAsia="华文中宋"/>
          <w:sz w:val="36"/>
          <w:szCs w:val="36"/>
        </w:rPr>
        <w:t>2023</w:t>
      </w:r>
      <w:r>
        <w:rPr>
          <w:rFonts w:ascii="Times New Roman" w:hAnsi="Times New Roman" w:eastAsia="华文中宋"/>
          <w:sz w:val="36"/>
          <w:szCs w:val="36"/>
        </w:rPr>
        <w:t>年度行政事业性国有资产分析报告提纲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4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为贯彻落实区委、区政府关于</w:t>
      </w:r>
      <w:r>
        <w:rPr>
          <w:rFonts w:ascii="仿宋_GB2312" w:eastAsia="仿宋_GB2312"/>
          <w:sz w:val="32"/>
          <w:szCs w:val="32"/>
        </w:rPr>
        <w:t>国有资产管理情况</w:t>
      </w:r>
      <w:r>
        <w:rPr>
          <w:rFonts w:hint="eastAsia" w:ascii="仿宋_GB2312" w:eastAsia="仿宋_GB2312"/>
          <w:sz w:val="32"/>
          <w:szCs w:val="32"/>
        </w:rPr>
        <w:t>报告工作的</w:t>
      </w:r>
      <w:r>
        <w:rPr>
          <w:rFonts w:ascii="仿宋_GB2312" w:eastAsia="仿宋_GB2312"/>
          <w:sz w:val="32"/>
          <w:szCs w:val="32"/>
        </w:rPr>
        <w:t>要求，</w:t>
      </w:r>
      <w:r>
        <w:rPr>
          <w:rFonts w:hint="eastAsia" w:ascii="仿宋_GB2312" w:eastAsia="仿宋_GB2312"/>
          <w:sz w:val="32"/>
          <w:szCs w:val="32"/>
        </w:rPr>
        <w:t>根据</w:t>
      </w:r>
      <w:r>
        <w:rPr>
          <w:rFonts w:ascii="Times New Roman" w:hAnsi="Times New Roman" w:eastAsia="仿宋_GB2312"/>
          <w:sz w:val="32"/>
          <w:szCs w:val="32"/>
        </w:rPr>
        <w:t>《行政事业性国有资产管理条例》（国务院令第738号）</w:t>
      </w:r>
      <w:r>
        <w:rPr>
          <w:rFonts w:hint="eastAsia" w:ascii="仿宋_GB2312" w:eastAsia="仿宋_GB2312"/>
          <w:sz w:val="32"/>
          <w:szCs w:val="32"/>
        </w:rPr>
        <w:t>和《行政事业单位国有资产报告制度》等有关规定，现对本单位/本部门/本街镇资产占有</w:t>
      </w:r>
      <w:r>
        <w:rPr>
          <w:rFonts w:ascii="仿宋_GB2312" w:eastAsia="仿宋_GB2312"/>
          <w:sz w:val="32"/>
          <w:szCs w:val="32"/>
        </w:rPr>
        <w:t>、</w:t>
      </w:r>
      <w:r>
        <w:rPr>
          <w:rFonts w:hint="eastAsia" w:ascii="仿宋_GB2312" w:eastAsia="仿宋_GB2312"/>
          <w:sz w:val="32"/>
          <w:szCs w:val="32"/>
        </w:rPr>
        <w:t>使用、变动以及管理情况等进行分析报告如下：</w:t>
      </w:r>
    </w:p>
    <w:p>
      <w:pPr>
        <w:pStyle w:val="12"/>
        <w:keepNext w:val="0"/>
        <w:keepLines w:val="0"/>
        <w:pageBreakBefore w:val="0"/>
        <w:kinsoku/>
        <w:wordWrap/>
        <w:overflowPunct/>
        <w:topLinePunct w:val="0"/>
        <w:autoSpaceDE/>
        <w:autoSpaceDN/>
        <w:bidi w:val="0"/>
        <w:adjustRightInd/>
        <w:snapToGrid/>
        <w:spacing w:line="540" w:lineRule="exact"/>
        <w:ind w:left="0" w:firstLine="640" w:firstLineChars="200"/>
        <w:textAlignment w:val="auto"/>
        <w:rPr>
          <w:rFonts w:ascii="黑体" w:hAnsi="仿宋" w:eastAsia="黑体"/>
          <w:color w:val="000000"/>
          <w:sz w:val="32"/>
          <w:szCs w:val="32"/>
        </w:rPr>
      </w:pPr>
      <w:r>
        <w:rPr>
          <w:rFonts w:hint="eastAsia" w:ascii="黑体" w:hAnsi="仿宋" w:eastAsia="黑体"/>
          <w:color w:val="000000"/>
          <w:sz w:val="32"/>
          <w:szCs w:val="32"/>
        </w:rPr>
        <w:t>一</w:t>
      </w:r>
      <w:r>
        <w:rPr>
          <w:rFonts w:ascii="黑体" w:hAnsi="仿宋" w:eastAsia="黑体"/>
          <w:color w:val="000000"/>
          <w:sz w:val="32"/>
          <w:szCs w:val="32"/>
        </w:rPr>
        <w:t>、</w:t>
      </w:r>
      <w:r>
        <w:rPr>
          <w:rFonts w:hint="eastAsia" w:ascii="黑体" w:hAnsi="仿宋" w:eastAsia="黑体"/>
          <w:color w:val="000000"/>
          <w:sz w:val="32"/>
          <w:szCs w:val="32"/>
        </w:rPr>
        <w:t>基本情况</w:t>
      </w:r>
    </w:p>
    <w:p>
      <w:pPr>
        <w:keepNext w:val="0"/>
        <w:keepLines w:val="0"/>
        <w:pageBreakBefore w:val="0"/>
        <w:widowControl/>
        <w:kinsoku/>
        <w:wordWrap/>
        <w:overflowPunct/>
        <w:topLinePunct w:val="0"/>
        <w:autoSpaceDE/>
        <w:autoSpaceDN/>
        <w:bidi w:val="0"/>
        <w:adjustRightInd/>
        <w:snapToGrid/>
        <w:spacing w:line="540" w:lineRule="exact"/>
        <w:ind w:left="0" w:firstLine="640" w:firstLineChars="200"/>
        <w:textAlignment w:val="auto"/>
        <w:rPr>
          <w:rFonts w:ascii="仿宋_GB2312" w:hAnsi="Times New Roman" w:eastAsia="仿宋_GB2312"/>
          <w:color w:val="000000"/>
          <w:kern w:val="0"/>
          <w:sz w:val="32"/>
          <w:szCs w:val="32"/>
        </w:rPr>
      </w:pPr>
      <w:r>
        <w:rPr>
          <w:rFonts w:hint="eastAsia" w:ascii="仿宋_GB2312" w:eastAsia="仿宋_GB2312"/>
          <w:sz w:val="32"/>
          <w:szCs w:val="32"/>
        </w:rPr>
        <w:t>分析本单位/本部门/本街镇所属行政事业单位机构数、编制人数、实有人数等，区级主管部门还应写明部门主要职责。</w:t>
      </w:r>
    </w:p>
    <w:p>
      <w:pPr>
        <w:pStyle w:val="12"/>
        <w:keepNext w:val="0"/>
        <w:keepLines w:val="0"/>
        <w:pageBreakBefore w:val="0"/>
        <w:kinsoku/>
        <w:wordWrap/>
        <w:overflowPunct/>
        <w:topLinePunct w:val="0"/>
        <w:autoSpaceDE/>
        <w:autoSpaceDN/>
        <w:bidi w:val="0"/>
        <w:adjustRightInd/>
        <w:snapToGrid/>
        <w:spacing w:line="540" w:lineRule="exact"/>
        <w:ind w:left="0" w:firstLine="640" w:firstLineChars="200"/>
        <w:textAlignment w:val="auto"/>
        <w:rPr>
          <w:rFonts w:ascii="黑体" w:eastAsia="黑体"/>
          <w:sz w:val="32"/>
          <w:szCs w:val="32"/>
        </w:rPr>
      </w:pPr>
      <w:r>
        <w:rPr>
          <w:rFonts w:hint="eastAsia" w:ascii="黑体" w:hAnsi="仿宋" w:eastAsia="黑体"/>
          <w:color w:val="000000"/>
          <w:sz w:val="32"/>
          <w:szCs w:val="32"/>
        </w:rPr>
        <w:t>二</w:t>
      </w:r>
      <w:r>
        <w:rPr>
          <w:rFonts w:ascii="黑体" w:hAnsi="仿宋" w:eastAsia="黑体"/>
          <w:color w:val="000000"/>
          <w:sz w:val="32"/>
          <w:szCs w:val="32"/>
        </w:rPr>
        <w:t>、</w:t>
      </w:r>
      <w:r>
        <w:rPr>
          <w:rFonts w:hint="eastAsia" w:ascii="黑体" w:hAnsi="仿宋" w:eastAsia="黑体"/>
          <w:color w:val="000000"/>
          <w:sz w:val="32"/>
          <w:szCs w:val="32"/>
        </w:rPr>
        <w:t>资产情况分析</w:t>
      </w:r>
    </w:p>
    <w:p>
      <w:pPr>
        <w:keepNext w:val="0"/>
        <w:keepLines w:val="0"/>
        <w:pageBreakBefore w:val="0"/>
        <w:kinsoku/>
        <w:wordWrap/>
        <w:overflowPunct/>
        <w:topLinePunct w:val="0"/>
        <w:autoSpaceDE/>
        <w:autoSpaceDN/>
        <w:bidi w:val="0"/>
        <w:adjustRightInd/>
        <w:snapToGrid/>
        <w:spacing w:line="540" w:lineRule="exact"/>
        <w:ind w:left="0" w:firstLine="643" w:firstLineChars="200"/>
        <w:textAlignment w:val="auto"/>
        <w:rPr>
          <w:rFonts w:ascii="仿宋_GB2312" w:eastAsia="仿宋_GB2312"/>
          <w:sz w:val="32"/>
          <w:szCs w:val="32"/>
          <w:highlight w:val="yellow"/>
        </w:rPr>
      </w:pPr>
      <w:r>
        <w:rPr>
          <w:rFonts w:hint="eastAsia" w:ascii="楷体_GB2312" w:hAnsi="楷体" w:eastAsia="楷体_GB2312"/>
          <w:b/>
          <w:sz w:val="32"/>
          <w:szCs w:val="32"/>
        </w:rPr>
        <w:t>（一）资产的总体情况分析。</w:t>
      </w:r>
      <w:r>
        <w:rPr>
          <w:rFonts w:hint="eastAsia" w:ascii="仿宋_GB2312" w:eastAsia="仿宋_GB2312"/>
          <w:sz w:val="32"/>
          <w:szCs w:val="32"/>
        </w:rPr>
        <w:t>主要包括本单位/本部门/本街镇资产总量、分布、构成、变动等情况，同时可结合预算收支、债务、历年情况等对资产分布、构成、变动的原因做出分析。其中</w:t>
      </w:r>
      <w:r>
        <w:rPr>
          <w:rFonts w:ascii="仿宋_GB2312" w:eastAsia="仿宋_GB2312"/>
          <w:sz w:val="32"/>
          <w:szCs w:val="32"/>
        </w:rPr>
        <w:t>，构成情况应包含流动资产</w:t>
      </w:r>
      <w:r>
        <w:rPr>
          <w:rFonts w:hint="eastAsia" w:ascii="仿宋_GB2312" w:eastAsia="仿宋_GB2312"/>
          <w:sz w:val="32"/>
          <w:szCs w:val="32"/>
        </w:rPr>
        <w:t>（重点是</w:t>
      </w:r>
      <w:r>
        <w:rPr>
          <w:rFonts w:ascii="仿宋_GB2312" w:eastAsia="仿宋_GB2312"/>
          <w:sz w:val="32"/>
          <w:szCs w:val="32"/>
        </w:rPr>
        <w:t>货币资金）、</w:t>
      </w:r>
      <w:r>
        <w:rPr>
          <w:rFonts w:hint="eastAsia" w:ascii="仿宋_GB2312" w:eastAsia="仿宋_GB2312"/>
          <w:sz w:val="32"/>
          <w:szCs w:val="32"/>
        </w:rPr>
        <w:t>无形资产</w:t>
      </w:r>
      <w:r>
        <w:rPr>
          <w:rFonts w:ascii="仿宋_GB2312" w:eastAsia="仿宋_GB2312"/>
          <w:sz w:val="32"/>
          <w:szCs w:val="32"/>
        </w:rPr>
        <w:t>、固定资产</w:t>
      </w:r>
      <w:r>
        <w:rPr>
          <w:rFonts w:hint="eastAsia" w:ascii="仿宋_GB2312" w:eastAsia="仿宋_GB2312"/>
          <w:sz w:val="32"/>
          <w:szCs w:val="32"/>
        </w:rPr>
        <w:t>、在建工程、长期投资、公共基础设施、政府储备物资、文物文化资产、保障性住房等</w:t>
      </w:r>
      <w:r>
        <w:rPr>
          <w:rFonts w:ascii="仿宋_GB2312" w:eastAsia="仿宋_GB2312"/>
          <w:sz w:val="32"/>
          <w:szCs w:val="32"/>
        </w:rPr>
        <w:t>占</w:t>
      </w:r>
      <w:r>
        <w:rPr>
          <w:rFonts w:hint="eastAsia" w:ascii="仿宋_GB2312" w:eastAsia="仿宋_GB2312"/>
          <w:sz w:val="32"/>
          <w:szCs w:val="32"/>
        </w:rPr>
        <w:t>资产总额比例情况。</w:t>
      </w:r>
      <w:r>
        <w:rPr>
          <w:rFonts w:hint="eastAsia" w:ascii="仿宋_GB2312" w:hAnsi="楷体" w:eastAsia="仿宋_GB2312"/>
          <w:kern w:val="0"/>
          <w:sz w:val="32"/>
          <w:szCs w:val="32"/>
        </w:rPr>
        <w:t>教育、卫生、文化、科技、交通等行业主管部门</w:t>
      </w:r>
      <w:r>
        <w:rPr>
          <w:rFonts w:hint="eastAsia" w:ascii="仿宋_GB2312" w:eastAsia="仿宋_GB2312"/>
          <w:sz w:val="32"/>
          <w:szCs w:val="32"/>
        </w:rPr>
        <w:t>应对本行业资产情况进行分析。</w:t>
      </w:r>
    </w:p>
    <w:p>
      <w:pPr>
        <w:keepNext w:val="0"/>
        <w:keepLines w:val="0"/>
        <w:pageBreakBefore w:val="0"/>
        <w:kinsoku/>
        <w:wordWrap/>
        <w:overflowPunct/>
        <w:topLinePunct w:val="0"/>
        <w:autoSpaceDE/>
        <w:autoSpaceDN/>
        <w:bidi w:val="0"/>
        <w:adjustRightInd/>
        <w:snapToGrid/>
        <w:spacing w:line="540" w:lineRule="exact"/>
        <w:ind w:left="0" w:firstLine="643" w:firstLineChars="200"/>
        <w:textAlignment w:val="auto"/>
        <w:rPr>
          <w:rFonts w:ascii="仿宋_GB2312" w:eastAsia="仿宋_GB2312"/>
          <w:sz w:val="32"/>
          <w:szCs w:val="32"/>
        </w:rPr>
      </w:pPr>
      <w:r>
        <w:rPr>
          <w:rFonts w:hint="eastAsia" w:ascii="楷体_GB2312" w:hAnsi="楷体" w:eastAsia="楷体_GB2312"/>
          <w:b/>
          <w:sz w:val="32"/>
          <w:szCs w:val="32"/>
        </w:rPr>
        <w:t>（二）资产配置、使用、处置、收益情况分析。</w:t>
      </w:r>
      <w:r>
        <w:rPr>
          <w:rFonts w:hint="eastAsia" w:ascii="仿宋_GB2312" w:eastAsia="仿宋_GB2312"/>
          <w:sz w:val="32"/>
          <w:szCs w:val="32"/>
        </w:rPr>
        <w:t>分析本单位/本部门/本街镇资产整体配置、使用、处置、收益情况，特别是与部门、单位履行职能和促进行政管理、事业发展相关的重点资产的配置、使用、处置、收益等情况。资产使用情况应包含本期新增出租出借资产及对外投资情况；资产收益情况应包含利用国有资产对外投资、出租出借和处置国有资产取得的收益情况。</w:t>
      </w:r>
    </w:p>
    <w:p>
      <w:pPr>
        <w:keepNext w:val="0"/>
        <w:keepLines w:val="0"/>
        <w:pageBreakBefore w:val="0"/>
        <w:tabs>
          <w:tab w:val="left" w:pos="8595"/>
        </w:tabs>
        <w:kinsoku/>
        <w:wordWrap/>
        <w:overflowPunct/>
        <w:topLinePunct w:val="0"/>
        <w:autoSpaceDE/>
        <w:autoSpaceDN/>
        <w:bidi w:val="0"/>
        <w:adjustRightInd/>
        <w:snapToGrid/>
        <w:spacing w:line="540" w:lineRule="exact"/>
        <w:ind w:left="0" w:firstLine="643" w:firstLineChars="200"/>
        <w:textAlignment w:val="auto"/>
        <w:rPr>
          <w:rFonts w:ascii="仿宋_GB2312" w:eastAsia="仿宋_GB2312"/>
          <w:sz w:val="32"/>
          <w:szCs w:val="32"/>
        </w:rPr>
      </w:pPr>
      <w:r>
        <w:rPr>
          <w:rFonts w:hint="eastAsia" w:ascii="楷体_GB2312" w:hAnsi="楷体" w:eastAsia="楷体_GB2312"/>
          <w:b/>
          <w:kern w:val="0"/>
          <w:sz w:val="32"/>
          <w:szCs w:val="32"/>
        </w:rPr>
        <w:t>（三）资产总体绩效情况。</w:t>
      </w:r>
      <w:r>
        <w:rPr>
          <w:rFonts w:hint="eastAsia" w:ascii="仿宋_GB2312" w:eastAsia="仿宋_GB2312"/>
          <w:sz w:val="32"/>
          <w:szCs w:val="32"/>
        </w:rPr>
        <w:t>分析本部门/本街镇资产整体配置效率和使用效益等。其中，资产配置效率可包含人均占有办公室使用面积、人均占有设备数量等主要指标分析；资产使用效益可包含资产闲置率、出租出借收益率、对外投资收益率等主要指标分析。</w:t>
      </w:r>
    </w:p>
    <w:p>
      <w:pPr>
        <w:keepNext w:val="0"/>
        <w:keepLines w:val="0"/>
        <w:pageBreakBefore w:val="0"/>
        <w:kinsoku/>
        <w:wordWrap/>
        <w:overflowPunct/>
        <w:topLinePunct w:val="0"/>
        <w:autoSpaceDE/>
        <w:autoSpaceDN/>
        <w:bidi w:val="0"/>
        <w:adjustRightInd/>
        <w:snapToGrid/>
        <w:spacing w:line="540" w:lineRule="exact"/>
        <w:ind w:left="0" w:firstLine="640" w:firstLineChars="200"/>
        <w:textAlignment w:val="auto"/>
        <w:rPr>
          <w:rFonts w:ascii="黑体" w:hAnsi="黑体" w:eastAsia="黑体"/>
          <w:sz w:val="32"/>
          <w:szCs w:val="32"/>
        </w:rPr>
      </w:pPr>
      <w:r>
        <w:rPr>
          <w:rFonts w:hint="eastAsia" w:ascii="黑体" w:hAnsi="黑体" w:eastAsia="黑体"/>
          <w:sz w:val="32"/>
          <w:szCs w:val="32"/>
        </w:rPr>
        <w:t>三、资产管理工作情况及成效</w:t>
      </w:r>
    </w:p>
    <w:p>
      <w:pPr>
        <w:keepNext w:val="0"/>
        <w:keepLines w:val="0"/>
        <w:pageBreakBefore w:val="0"/>
        <w:kinsoku/>
        <w:wordWrap/>
        <w:overflowPunct/>
        <w:topLinePunct w:val="0"/>
        <w:autoSpaceDE/>
        <w:autoSpaceDN/>
        <w:bidi w:val="0"/>
        <w:adjustRightInd/>
        <w:snapToGrid/>
        <w:spacing w:line="540" w:lineRule="exact"/>
        <w:ind w:left="0" w:firstLine="640" w:firstLineChars="200"/>
        <w:textAlignment w:val="auto"/>
        <w:rPr>
          <w:rFonts w:ascii="仿宋_GB2312" w:eastAsia="仿宋_GB2312"/>
          <w:sz w:val="32"/>
          <w:szCs w:val="32"/>
        </w:rPr>
      </w:pPr>
      <w:r>
        <w:rPr>
          <w:rFonts w:hint="eastAsia" w:ascii="仿宋_GB2312" w:hAnsi="楷体" w:eastAsia="仿宋_GB2312"/>
          <w:kern w:val="0"/>
          <w:sz w:val="32"/>
          <w:szCs w:val="32"/>
        </w:rPr>
        <w:t>（一）认真总结</w:t>
      </w:r>
      <w:r>
        <w:rPr>
          <w:rFonts w:hint="eastAsia" w:ascii="仿宋_GB2312" w:eastAsia="仿宋_GB2312"/>
          <w:sz w:val="32"/>
          <w:szCs w:val="32"/>
        </w:rPr>
        <w:t>本单位/本部门/本街镇落实</w:t>
      </w:r>
      <w:r>
        <w:rPr>
          <w:rFonts w:ascii="Times New Roman" w:hAnsi="Times New Roman" w:eastAsia="仿宋_GB2312"/>
          <w:sz w:val="32"/>
          <w:szCs w:val="32"/>
        </w:rPr>
        <w:t>《行政事业性国有资产管理条例》</w:t>
      </w:r>
      <w:r>
        <w:rPr>
          <w:rFonts w:hint="eastAsia" w:ascii="Times New Roman" w:hAnsi="Times New Roman" w:eastAsia="仿宋_GB2312"/>
          <w:sz w:val="32"/>
          <w:szCs w:val="32"/>
        </w:rPr>
        <w:t>的</w:t>
      </w:r>
      <w:r>
        <w:rPr>
          <w:rFonts w:ascii="Times New Roman" w:hAnsi="Times New Roman" w:eastAsia="仿宋_GB2312"/>
          <w:sz w:val="32"/>
          <w:szCs w:val="32"/>
        </w:rPr>
        <w:t>各项</w:t>
      </w:r>
      <w:r>
        <w:rPr>
          <w:rFonts w:hint="eastAsia" w:ascii="Times New Roman" w:hAnsi="Times New Roman" w:eastAsia="仿宋_GB2312"/>
          <w:sz w:val="32"/>
          <w:szCs w:val="32"/>
        </w:rPr>
        <w:t>资产管理</w:t>
      </w:r>
      <w:r>
        <w:rPr>
          <w:rFonts w:ascii="Times New Roman" w:hAnsi="Times New Roman" w:eastAsia="仿宋_GB2312"/>
          <w:sz w:val="32"/>
          <w:szCs w:val="32"/>
        </w:rPr>
        <w:t>举措，</w:t>
      </w:r>
      <w:r>
        <w:rPr>
          <w:rFonts w:hint="eastAsia" w:ascii="Times New Roman" w:hAnsi="Times New Roman" w:eastAsia="仿宋_GB2312"/>
          <w:sz w:val="32"/>
          <w:szCs w:val="32"/>
        </w:rPr>
        <w:t>重点围绕制度建设</w:t>
      </w:r>
      <w:r>
        <w:rPr>
          <w:rFonts w:hint="eastAsia" w:ascii="仿宋_GB2312" w:hAnsi="楷体" w:eastAsia="仿宋_GB2312"/>
          <w:kern w:val="0"/>
          <w:sz w:val="32"/>
          <w:szCs w:val="32"/>
        </w:rPr>
        <w:t>、加强基础管理、从严配置资产、规范资产使用和处置以及加强资产绩效管理等方面的情况，重点反映加强资源</w:t>
      </w:r>
      <w:r>
        <w:rPr>
          <w:rFonts w:ascii="仿宋_GB2312" w:hAnsi="楷体" w:eastAsia="仿宋_GB2312"/>
          <w:kern w:val="0"/>
          <w:sz w:val="32"/>
          <w:szCs w:val="32"/>
        </w:rPr>
        <w:t>统筹</w:t>
      </w:r>
      <w:r>
        <w:rPr>
          <w:rFonts w:hint="eastAsia" w:ascii="仿宋_GB2312" w:hAnsi="楷体" w:eastAsia="仿宋_GB2312"/>
          <w:kern w:val="0"/>
          <w:sz w:val="32"/>
          <w:szCs w:val="32"/>
        </w:rPr>
        <w:t>、推进资产盘活、开展财会监督、推进专项改革等方面</w:t>
      </w:r>
      <w:r>
        <w:rPr>
          <w:rFonts w:hint="eastAsia" w:ascii="仿宋_GB2312" w:hAnsi="楷体" w:eastAsia="仿宋_GB2312"/>
          <w:color w:val="000000" w:themeColor="text1"/>
          <w:kern w:val="0"/>
          <w:sz w:val="32"/>
          <w:szCs w:val="32"/>
          <w14:textFill>
            <w14:solidFill>
              <w14:schemeClr w14:val="tx1"/>
            </w14:solidFill>
          </w14:textFill>
        </w:rPr>
        <w:t>采取的主要举措、工作亮点和取得成效</w:t>
      </w:r>
      <w:r>
        <w:rPr>
          <w:rFonts w:hint="eastAsia" w:ascii="仿宋_GB2312" w:hAnsi="楷体" w:eastAsia="仿宋_GB2312"/>
          <w:kern w:val="0"/>
          <w:sz w:val="32"/>
          <w:szCs w:val="32"/>
        </w:rPr>
        <w:t>。</w:t>
      </w:r>
    </w:p>
    <w:p>
      <w:pPr>
        <w:keepNext w:val="0"/>
        <w:keepLines w:val="0"/>
        <w:pageBreakBefore w:val="0"/>
        <w:numPr>
          <w:ilvl w:val="255"/>
          <w:numId w:val="0"/>
        </w:numPr>
        <w:kinsoku/>
        <w:wordWrap/>
        <w:overflowPunct/>
        <w:topLinePunct w:val="0"/>
        <w:autoSpaceDE/>
        <w:autoSpaceDN/>
        <w:bidi w:val="0"/>
        <w:adjustRightInd/>
        <w:snapToGrid/>
        <w:spacing w:line="540" w:lineRule="exact"/>
        <w:ind w:left="0" w:firstLine="640" w:firstLineChars="200"/>
        <w:textAlignment w:val="auto"/>
        <w:rPr>
          <w:rFonts w:ascii="仿宋_GB2312" w:hAnsi="楷体" w:eastAsia="仿宋_GB2312"/>
          <w:color w:val="000000" w:themeColor="text1"/>
          <w:kern w:val="0"/>
          <w:sz w:val="32"/>
          <w:szCs w:val="32"/>
          <w14:textFill>
            <w14:solidFill>
              <w14:schemeClr w14:val="tx1"/>
            </w14:solidFill>
          </w14:textFill>
        </w:rPr>
      </w:pPr>
      <w:r>
        <w:rPr>
          <w:rFonts w:hint="eastAsia" w:ascii="仿宋_GB2312" w:hAnsi="楷体" w:eastAsia="仿宋_GB2312"/>
          <w:kern w:val="0"/>
          <w:sz w:val="32"/>
          <w:szCs w:val="32"/>
        </w:rPr>
        <w:t>（二）</w:t>
      </w:r>
      <w:r>
        <w:rPr>
          <w:rFonts w:hint="eastAsia" w:ascii="Times New Roman" w:hAnsi="Times New Roman" w:eastAsia="仿宋_GB2312"/>
          <w:sz w:val="32"/>
          <w:szCs w:val="32"/>
        </w:rPr>
        <w:t>重点围绕</w:t>
      </w:r>
      <w:r>
        <w:rPr>
          <w:rFonts w:hint="eastAsia" w:ascii="仿宋_GB2312" w:eastAsia="仿宋_GB2312"/>
          <w:sz w:val="32"/>
          <w:szCs w:val="32"/>
        </w:rPr>
        <w:t>本单位/本部门/本街镇</w:t>
      </w:r>
      <w:r>
        <w:rPr>
          <w:rFonts w:hint="eastAsia" w:ascii="仿宋_GB2312" w:hAnsi="楷体" w:eastAsia="仿宋_GB2312"/>
          <w:color w:val="000000" w:themeColor="text1"/>
          <w:kern w:val="0"/>
          <w:sz w:val="32"/>
          <w:szCs w:val="32"/>
          <w14:textFill>
            <w14:solidFill>
              <w14:schemeClr w14:val="tx1"/>
            </w14:solidFill>
          </w14:textFill>
        </w:rPr>
        <w:t>加强交通、水利、市政基础设施和政府储备物资、保障性住房资产入账核算等方面，总结</w:t>
      </w:r>
      <w:r>
        <w:rPr>
          <w:rFonts w:hint="eastAsia" w:ascii="仿宋_GB2312" w:eastAsia="仿宋_GB2312"/>
          <w:sz w:val="32"/>
          <w:szCs w:val="32"/>
        </w:rPr>
        <w:t>本单位/本部门/本街镇</w:t>
      </w:r>
      <w:r>
        <w:rPr>
          <w:rFonts w:hint="eastAsia" w:ascii="仿宋_GB2312" w:hAnsi="楷体" w:eastAsia="仿宋_GB2312"/>
          <w:color w:val="000000" w:themeColor="text1"/>
          <w:kern w:val="0"/>
          <w:sz w:val="32"/>
          <w:szCs w:val="32"/>
          <w14:textFill>
            <w14:solidFill>
              <w14:schemeClr w14:val="tx1"/>
            </w14:solidFill>
          </w14:textFill>
        </w:rPr>
        <w:t>公共基础设施等行政事业性国有资产管理进展情况，采取的主要举措、工作亮点和取得成效。</w:t>
      </w:r>
    </w:p>
    <w:p>
      <w:pPr>
        <w:keepNext w:val="0"/>
        <w:keepLines w:val="0"/>
        <w:pageBreakBefore w:val="0"/>
        <w:widowControl w:val="0"/>
        <w:numPr>
          <w:ilvl w:val="255"/>
          <w:numId w:val="0"/>
        </w:numPr>
        <w:kinsoku/>
        <w:wordWrap/>
        <w:overflowPunct/>
        <w:topLinePunct w:val="0"/>
        <w:autoSpaceDE/>
        <w:autoSpaceDN/>
        <w:bidi w:val="0"/>
        <w:adjustRightInd/>
        <w:snapToGrid/>
        <w:spacing w:line="540" w:lineRule="exact"/>
        <w:ind w:left="0" w:leftChars="0"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四、</w:t>
      </w:r>
      <w:r>
        <w:rPr>
          <w:rFonts w:hint="eastAsia" w:ascii="黑体" w:hAnsi="黑体" w:eastAsia="黑体"/>
          <w:color w:val="000000" w:themeColor="text1"/>
          <w:sz w:val="32"/>
          <w:szCs w:val="32"/>
          <w14:textFill>
            <w14:solidFill>
              <w14:schemeClr w14:val="tx1"/>
            </w14:solidFill>
          </w14:textFill>
        </w:rPr>
        <w:t>保障单位履职和促进事业发展情况</w:t>
      </w:r>
    </w:p>
    <w:p>
      <w:pPr>
        <w:pStyle w:val="13"/>
        <w:keepNext w:val="0"/>
        <w:keepLines w:val="0"/>
        <w:pageBreakBefore w:val="0"/>
        <w:widowControl w:val="0"/>
        <w:numPr>
          <w:ilvl w:val="255"/>
          <w:numId w:val="0"/>
        </w:numPr>
        <w:kinsoku/>
        <w:wordWrap/>
        <w:overflowPunct/>
        <w:topLinePunct w:val="0"/>
        <w:autoSpaceDE/>
        <w:autoSpaceDN/>
        <w:bidi w:val="0"/>
        <w:adjustRightInd/>
        <w:snapToGrid/>
        <w:spacing w:line="540" w:lineRule="exact"/>
        <w:ind w:left="0" w:leftChars="0" w:firstLine="640" w:firstLineChars="200"/>
        <w:textAlignment w:val="auto"/>
        <w:rPr>
          <w:rFonts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楷体" w:eastAsia="仿宋_GB2312"/>
          <w:color w:val="000000" w:themeColor="text1"/>
          <w:kern w:val="0"/>
          <w:sz w:val="32"/>
          <w:szCs w:val="32"/>
          <w14:textFill>
            <w14:solidFill>
              <w14:schemeClr w14:val="tx1"/>
            </w14:solidFill>
          </w14:textFill>
        </w:rPr>
        <w:t>全面反映行政事业性国有资产管理在贯彻落实党中央、国务院和市委、市政府以及区委、区政府决策部署，保障单位履职和事业发展、提供公共服务，</w:t>
      </w:r>
      <w:r>
        <w:rPr>
          <w:rFonts w:hint="eastAsia" w:ascii="仿宋_GB2312" w:hAnsi="华文仿宋" w:eastAsia="仿宋_GB2312" w:cs="华文仿宋"/>
          <w:color w:val="000000" w:themeColor="text1"/>
          <w:kern w:val="0"/>
          <w:sz w:val="32"/>
          <w:szCs w:val="32"/>
          <w14:textFill>
            <w14:solidFill>
              <w14:schemeClr w14:val="tx1"/>
            </w14:solidFill>
          </w14:textFill>
        </w:rPr>
        <w:t>以及</w:t>
      </w:r>
      <w:r>
        <w:rPr>
          <w:rFonts w:hint="eastAsia" w:ascii="仿宋_GB2312" w:hAnsi="楷体" w:eastAsia="仿宋_GB2312"/>
          <w:color w:val="000000" w:themeColor="text1"/>
          <w:kern w:val="0"/>
          <w:sz w:val="32"/>
          <w:szCs w:val="32"/>
          <w14:textFill>
            <w14:solidFill>
              <w14:schemeClr w14:val="tx1"/>
            </w14:solidFill>
          </w14:textFill>
        </w:rPr>
        <w:t>推进各项改革</w:t>
      </w:r>
      <w:r>
        <w:rPr>
          <w:rFonts w:hint="eastAsia" w:ascii="仿宋_GB2312" w:hAnsi="华文仿宋" w:eastAsia="仿宋_GB2312" w:cs="华文仿宋"/>
          <w:color w:val="000000" w:themeColor="text1"/>
          <w:kern w:val="0"/>
          <w:sz w:val="32"/>
          <w:szCs w:val="32"/>
          <w14:textFill>
            <w14:solidFill>
              <w14:schemeClr w14:val="tx1"/>
            </w14:solidFill>
          </w14:textFill>
        </w:rPr>
        <w:t>等方面所发挥的</w:t>
      </w:r>
      <w:r>
        <w:rPr>
          <w:rFonts w:hint="eastAsia" w:ascii="仿宋_GB2312" w:hAnsi="楷体" w:eastAsia="仿宋_GB2312"/>
          <w:color w:val="000000" w:themeColor="text1"/>
          <w:kern w:val="0"/>
          <w:sz w:val="32"/>
          <w:szCs w:val="32"/>
          <w14:textFill>
            <w14:solidFill>
              <w14:schemeClr w14:val="tx1"/>
            </w14:solidFill>
          </w14:textFill>
        </w:rPr>
        <w:t>积极</w:t>
      </w:r>
      <w:r>
        <w:rPr>
          <w:rFonts w:hint="eastAsia" w:ascii="仿宋_GB2312" w:hAnsi="华文仿宋" w:eastAsia="仿宋_GB2312" w:cs="华文仿宋"/>
          <w:color w:val="000000" w:themeColor="text1"/>
          <w:kern w:val="0"/>
          <w:sz w:val="32"/>
          <w:szCs w:val="32"/>
          <w14:textFill>
            <w14:solidFill>
              <w14:schemeClr w14:val="tx1"/>
            </w14:solidFill>
          </w14:textFill>
        </w:rPr>
        <w:t>作用。</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lang w:eastAsia="zh-CN"/>
          <w14:textFill>
            <w14:solidFill>
              <w14:schemeClr w14:val="tx1"/>
            </w14:solidFill>
          </w14:textFill>
        </w:rPr>
        <w:t>（</w:t>
      </w:r>
      <w:r>
        <w:rPr>
          <w:rFonts w:hint="eastAsia" w:ascii="仿宋_GB2312" w:hAnsi="华文仿宋" w:eastAsia="仿宋_GB2312" w:cs="华文仿宋"/>
          <w:color w:val="000000" w:themeColor="text1"/>
          <w:kern w:val="0"/>
          <w:sz w:val="32"/>
          <w:szCs w:val="32"/>
          <w:lang w:val="en-US" w:eastAsia="zh-CN"/>
          <w14:textFill>
            <w14:solidFill>
              <w14:schemeClr w14:val="tx1"/>
            </w14:solidFill>
          </w14:textFill>
        </w:rPr>
        <w:t>一</w:t>
      </w:r>
      <w:r>
        <w:rPr>
          <w:rFonts w:hint="eastAsia" w:ascii="仿宋_GB2312" w:hAnsi="华文仿宋" w:eastAsia="仿宋_GB2312" w:cs="华文仿宋"/>
          <w:color w:val="000000" w:themeColor="text1"/>
          <w:kern w:val="0"/>
          <w:sz w:val="32"/>
          <w:szCs w:val="32"/>
          <w:lang w:eastAsia="zh-CN"/>
          <w14:textFill>
            <w14:solidFill>
              <w14:schemeClr w14:val="tx1"/>
            </w14:solidFill>
          </w14:textFill>
        </w:rPr>
        <w:t>）</w:t>
      </w:r>
      <w:r>
        <w:rPr>
          <w:rFonts w:hint="eastAsia" w:ascii="仿宋_GB2312" w:hAnsi="华文仿宋" w:eastAsia="仿宋_GB2312" w:cs="华文仿宋"/>
          <w:color w:val="000000" w:themeColor="text1"/>
          <w:kern w:val="0"/>
          <w:sz w:val="32"/>
          <w:szCs w:val="32"/>
          <w14:textFill>
            <w14:solidFill>
              <w14:schemeClr w14:val="tx1"/>
            </w14:solidFill>
          </w14:textFill>
        </w:rPr>
        <w:t>重点反映</w:t>
      </w:r>
      <w:r>
        <w:rPr>
          <w:rFonts w:hint="eastAsia" w:ascii="仿宋_GB2312" w:hAnsi="楷体" w:eastAsia="仿宋_GB2312"/>
          <w:color w:val="000000" w:themeColor="text1"/>
          <w:kern w:val="0"/>
          <w:sz w:val="32"/>
          <w:szCs w:val="32"/>
          <w14:textFill>
            <w14:solidFill>
              <w14:schemeClr w14:val="tx1"/>
            </w14:solidFill>
          </w14:textFill>
        </w:rPr>
        <w:t>教育、科技、卫生、文化等行业</w:t>
      </w:r>
      <w:r>
        <w:rPr>
          <w:rFonts w:hint="eastAsia" w:ascii="仿宋_GB2312" w:hAnsi="华文仿宋" w:eastAsia="仿宋_GB2312" w:cs="华文仿宋"/>
          <w:color w:val="000000" w:themeColor="text1"/>
          <w:kern w:val="0"/>
          <w:sz w:val="32"/>
          <w:szCs w:val="32"/>
          <w14:textFill>
            <w14:solidFill>
              <w14:schemeClr w14:val="tx1"/>
            </w14:solidFill>
          </w14:textFill>
        </w:rPr>
        <w:t>资产在落实科教兴国战略、实现科技自立自强、支持基本公共服务均等化、推进文化自信自强、服务本区重大改革事项等方面发挥的重要作用。</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（二）重点反映交通基础设施、水利基础设施、保障性住房、文物文化资产等行业资产在</w:t>
      </w:r>
      <w:r>
        <w:rPr>
          <w:rFonts w:hint="eastAsia" w:ascii="仿宋_GB2312" w:hAnsi="华文仿宋" w:eastAsia="仿宋_GB2312" w:cs="华文仿宋"/>
          <w:color w:val="000000" w:themeColor="text1"/>
          <w:kern w:val="0"/>
          <w:sz w:val="32"/>
          <w:szCs w:val="32"/>
          <w:lang w:val="zh-CN"/>
          <w14:textFill>
            <w14:solidFill>
              <w14:schemeClr w14:val="tx1"/>
            </w14:solidFill>
          </w14:textFill>
        </w:rPr>
        <w:t>服务加快建设交通强国、推动新阶段水利高质量发展、</w:t>
      </w:r>
      <w:r>
        <w:rPr>
          <w:rFonts w:hint="eastAsia" w:ascii="仿宋_GB2312" w:hAnsi="华文仿宋" w:eastAsia="仿宋_GB2312" w:cs="华文仿宋"/>
          <w:color w:val="000000" w:themeColor="text1"/>
          <w:kern w:val="0"/>
          <w:sz w:val="32"/>
          <w:szCs w:val="32"/>
          <w14:textFill>
            <w14:solidFill>
              <w14:schemeClr w14:val="tx1"/>
            </w14:solidFill>
          </w14:textFill>
        </w:rPr>
        <w:t>“让全体人民住有所居”、加强文物保护利用等方面发挥的基础性支撑作用。</w:t>
      </w:r>
    </w:p>
    <w:p>
      <w:pPr>
        <w:keepNext w:val="0"/>
        <w:keepLines w:val="0"/>
        <w:pageBreakBefore w:val="0"/>
        <w:kinsoku/>
        <w:wordWrap/>
        <w:overflowPunct/>
        <w:topLinePunct w:val="0"/>
        <w:autoSpaceDE/>
        <w:autoSpaceDN/>
        <w:bidi w:val="0"/>
        <w:adjustRightInd/>
        <w:snapToGrid/>
        <w:spacing w:line="540" w:lineRule="exact"/>
        <w:ind w:left="0" w:firstLine="640" w:firstLineChars="200"/>
        <w:textAlignment w:val="auto"/>
        <w:rPr>
          <w:rFonts w:ascii="黑体" w:hAnsi="黑体" w:eastAsia="黑体"/>
          <w:sz w:val="32"/>
          <w:szCs w:val="32"/>
        </w:rPr>
      </w:pPr>
      <w:r>
        <w:rPr>
          <w:rFonts w:hint="eastAsia" w:ascii="黑体" w:hAnsi="仿宋" w:eastAsia="黑体"/>
          <w:color w:val="000000"/>
          <w:sz w:val="32"/>
          <w:szCs w:val="32"/>
        </w:rPr>
        <w:t>五、</w:t>
      </w:r>
      <w:r>
        <w:rPr>
          <w:rFonts w:hint="eastAsia" w:ascii="黑体" w:hAnsi="黑体" w:eastAsia="黑体"/>
          <w:sz w:val="32"/>
          <w:szCs w:val="32"/>
        </w:rPr>
        <w:t>资产管理工作存在的问题及整改措施</w:t>
      </w:r>
    </w:p>
    <w:p>
      <w:pPr>
        <w:keepNext w:val="0"/>
        <w:keepLines w:val="0"/>
        <w:pageBreakBefore w:val="0"/>
        <w:kinsoku/>
        <w:wordWrap/>
        <w:overflowPunct/>
        <w:topLinePunct w:val="0"/>
        <w:autoSpaceDE/>
        <w:autoSpaceDN/>
        <w:bidi w:val="0"/>
        <w:adjustRightInd/>
        <w:snapToGrid/>
        <w:spacing w:line="540" w:lineRule="exact"/>
        <w:ind w:left="0"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w:t>
      </w:r>
      <w:r>
        <w:rPr>
          <w:rFonts w:hint="eastAsia" w:ascii="仿宋_GB2312" w:eastAsia="仿宋_GB2312"/>
          <w:sz w:val="32"/>
          <w:szCs w:val="32"/>
        </w:rPr>
        <w:t>对照现有制度，结合</w:t>
      </w:r>
      <w:r>
        <w:rPr>
          <w:rFonts w:ascii="Times New Roman" w:hAnsi="Times New Roman" w:eastAsia="仿宋_GB2312"/>
          <w:sz w:val="32"/>
          <w:szCs w:val="32"/>
        </w:rPr>
        <w:t>《行政事业性国有资产管理条例》</w:t>
      </w:r>
      <w:r>
        <w:rPr>
          <w:rFonts w:hint="eastAsia" w:ascii="仿宋_GB2312" w:eastAsia="仿宋_GB2312"/>
          <w:sz w:val="32"/>
          <w:szCs w:val="32"/>
        </w:rPr>
        <w:t>等</w:t>
      </w:r>
      <w:r>
        <w:rPr>
          <w:rFonts w:ascii="仿宋_GB2312" w:eastAsia="仿宋_GB2312"/>
          <w:sz w:val="32"/>
          <w:szCs w:val="32"/>
        </w:rPr>
        <w:t>文件要求，</w:t>
      </w:r>
      <w:r>
        <w:rPr>
          <w:rFonts w:hint="eastAsia" w:ascii="仿宋_GB2312" w:eastAsia="仿宋_GB2312"/>
          <w:color w:val="000000" w:themeColor="text1"/>
          <w:sz w:val="32"/>
          <w:szCs w:val="32"/>
          <w14:textFill>
            <w14:solidFill>
              <w14:schemeClr w14:val="tx1"/>
            </w14:solidFill>
          </w14:textFill>
        </w:rPr>
        <w:t>对</w:t>
      </w:r>
      <w:r>
        <w:rPr>
          <w:rFonts w:hint="eastAsia" w:ascii="仿宋_GB2312" w:hAnsi="华文仿宋" w:eastAsia="仿宋_GB2312" w:cs="华文仿宋"/>
          <w:bCs/>
          <w:color w:val="000000" w:themeColor="text1"/>
          <w:kern w:val="0"/>
          <w:sz w:val="32"/>
          <w:szCs w:val="32"/>
          <w14:textFill>
            <w14:solidFill>
              <w14:schemeClr w14:val="tx1"/>
            </w14:solidFill>
          </w14:textFill>
        </w:rPr>
        <w:t>行政事业性国有</w:t>
      </w:r>
      <w:r>
        <w:rPr>
          <w:rFonts w:hint="eastAsia" w:ascii="仿宋_GB2312" w:eastAsia="仿宋_GB2312"/>
          <w:color w:val="000000" w:themeColor="text1"/>
          <w:sz w:val="32"/>
          <w:szCs w:val="32"/>
          <w14:textFill>
            <w14:solidFill>
              <w14:schemeClr w14:val="tx1"/>
            </w14:solidFill>
          </w14:textFill>
        </w:rPr>
        <w:t>资产管理各方面存在的问题进行梳理和自查，提出下一步推进资产管理的工作思路。</w:t>
      </w:r>
    </w:p>
    <w:p>
      <w:pPr>
        <w:pStyle w:val="13"/>
        <w:keepNext w:val="0"/>
        <w:keepLines w:val="0"/>
        <w:pageBreakBefore w:val="0"/>
        <w:kinsoku/>
        <w:wordWrap/>
        <w:overflowPunct/>
        <w:topLinePunct w:val="0"/>
        <w:autoSpaceDE/>
        <w:autoSpaceDN/>
        <w:bidi w:val="0"/>
        <w:adjustRightInd/>
        <w:snapToGrid/>
        <w:spacing w:line="540" w:lineRule="exact"/>
        <w:ind w:left="0"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（二）梳理</w:t>
      </w:r>
      <w:r>
        <w:rPr>
          <w:rFonts w:hint="eastAsia" w:ascii="仿宋_GB2312" w:hAnsi="华文仿宋" w:eastAsia="仿宋_GB2312" w:cs="华文仿宋"/>
          <w:bCs/>
          <w:kern w:val="0"/>
          <w:sz w:val="32"/>
          <w:szCs w:val="32"/>
        </w:rPr>
        <w:t>人大、审计、巡视等提出的行政事业性</w:t>
      </w:r>
      <w:r>
        <w:rPr>
          <w:rFonts w:ascii="仿宋_GB2312" w:hAnsi="华文仿宋" w:eastAsia="仿宋_GB2312" w:cs="华文仿宋"/>
          <w:bCs/>
          <w:kern w:val="0"/>
          <w:sz w:val="32"/>
          <w:szCs w:val="32"/>
        </w:rPr>
        <w:t>国有</w:t>
      </w:r>
      <w:r>
        <w:rPr>
          <w:rFonts w:hint="eastAsia" w:ascii="仿宋_GB2312" w:hAnsi="华文仿宋" w:eastAsia="仿宋_GB2312" w:cs="华文仿宋"/>
          <w:bCs/>
          <w:kern w:val="0"/>
          <w:sz w:val="32"/>
          <w:szCs w:val="32"/>
        </w:rPr>
        <w:t>资产管理问题及建议，总结整改措施和整改进展情况。</w:t>
      </w:r>
    </w:p>
    <w:p>
      <w:pPr>
        <w:keepNext w:val="0"/>
        <w:keepLines w:val="0"/>
        <w:pageBreakBefore w:val="0"/>
        <w:kinsoku/>
        <w:wordWrap/>
        <w:overflowPunct/>
        <w:topLinePunct w:val="0"/>
        <w:autoSpaceDE/>
        <w:autoSpaceDN/>
        <w:bidi w:val="0"/>
        <w:adjustRightInd/>
        <w:snapToGrid/>
        <w:spacing w:line="540" w:lineRule="exact"/>
        <w:ind w:left="0" w:firstLine="640" w:firstLineChars="200"/>
        <w:textAlignment w:val="auto"/>
        <w:rPr>
          <w:rFonts w:ascii="黑体"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六、其他需要报告的重要事项</w:t>
      </w:r>
    </w:p>
    <w:p>
      <w:pPr>
        <w:keepNext w:val="0"/>
        <w:keepLines w:val="0"/>
        <w:pageBreakBefore w:val="0"/>
        <w:kinsoku/>
        <w:wordWrap/>
        <w:overflowPunct/>
        <w:topLinePunct w:val="0"/>
        <w:autoSpaceDE/>
        <w:autoSpaceDN/>
        <w:bidi w:val="0"/>
        <w:adjustRightInd/>
        <w:snapToGrid/>
        <w:spacing w:line="540" w:lineRule="exact"/>
        <w:ind w:left="0"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结合贯彻党的二十大精神，落实党中央、国务院和市委、市政府以及区委、区政府决策部署，立足新发展阶段，着眼于构建新发展格局、推动高质量发展，坚持问题导向和目标导向，认真研究提出务实管用的措施和推动资产管理高质量发展的工作思路。</w:t>
      </w:r>
    </w:p>
    <w:p>
      <w:pPr>
        <w:keepNext w:val="0"/>
        <w:keepLines w:val="0"/>
        <w:pageBreakBefore w:val="0"/>
        <w:kinsoku/>
        <w:wordWrap/>
        <w:overflowPunct/>
        <w:topLinePunct w:val="0"/>
        <w:autoSpaceDE/>
        <w:autoSpaceDN/>
        <w:bidi w:val="0"/>
        <w:adjustRightInd/>
        <w:snapToGrid/>
        <w:spacing w:line="540" w:lineRule="exact"/>
        <w:ind w:left="0" w:firstLine="640" w:firstLineChars="200"/>
        <w:textAlignment w:val="auto"/>
        <w:rPr>
          <w:rFonts w:hint="eastAsia" w:ascii="仿宋_GB2312" w:eastAsia="仿宋_GB2312"/>
          <w:color w:val="000000" w:themeColor="text1"/>
          <w:sz w:val="32"/>
          <w:szCs w:val="32"/>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cs="华文中宋" w:asciiTheme="minorEastAsia" w:hAnsiTheme="minorEastAsia" w:eastAsiaTheme="minorEastAsia"/>
          <w:i/>
          <w:sz w:val="24"/>
          <w:szCs w:val="36"/>
        </w:rPr>
      </w:pPr>
      <w:r>
        <w:rPr>
          <w:rFonts w:hint="eastAsia" w:cs="华文中宋" w:asciiTheme="minorEastAsia" w:hAnsiTheme="minorEastAsia" w:eastAsiaTheme="minorEastAsia"/>
          <w:i/>
          <w:sz w:val="24"/>
          <w:szCs w:val="36"/>
        </w:rPr>
        <w:t>注：</w:t>
      </w:r>
      <w:r>
        <w:rPr>
          <w:rFonts w:cs="华文中宋" w:asciiTheme="minorEastAsia" w:hAnsiTheme="minorEastAsia" w:eastAsiaTheme="minorEastAsia"/>
          <w:i/>
          <w:sz w:val="24"/>
          <w:szCs w:val="36"/>
        </w:rPr>
        <w:t>正式</w:t>
      </w:r>
      <w:r>
        <w:rPr>
          <w:rFonts w:hint="eastAsia" w:cs="华文中宋" w:asciiTheme="minorEastAsia" w:hAnsiTheme="minorEastAsia" w:eastAsiaTheme="minorEastAsia"/>
          <w:i/>
          <w:sz w:val="24"/>
          <w:szCs w:val="36"/>
        </w:rPr>
        <w:t>分析</w:t>
      </w:r>
      <w:r>
        <w:rPr>
          <w:rFonts w:cs="华文中宋" w:asciiTheme="minorEastAsia" w:hAnsiTheme="minorEastAsia" w:eastAsiaTheme="minorEastAsia"/>
          <w:i/>
          <w:sz w:val="24"/>
          <w:szCs w:val="36"/>
        </w:rPr>
        <w:t>报告</w:t>
      </w:r>
      <w:r>
        <w:rPr>
          <w:rFonts w:hint="eastAsia" w:cs="华文中宋" w:asciiTheme="minorEastAsia" w:hAnsiTheme="minorEastAsia" w:eastAsiaTheme="minorEastAsia"/>
          <w:i/>
          <w:sz w:val="24"/>
          <w:szCs w:val="36"/>
        </w:rPr>
        <w:t>内容应该</w:t>
      </w:r>
      <w:r>
        <w:rPr>
          <w:rFonts w:cs="华文中宋" w:asciiTheme="minorEastAsia" w:hAnsiTheme="minorEastAsia" w:eastAsiaTheme="minorEastAsia"/>
          <w:i/>
          <w:sz w:val="24"/>
          <w:szCs w:val="36"/>
        </w:rPr>
        <w:t>包含</w:t>
      </w:r>
      <w:r>
        <w:rPr>
          <w:rFonts w:hint="eastAsia" w:cs="华文中宋" w:asciiTheme="minorEastAsia" w:hAnsiTheme="minorEastAsia" w:eastAsiaTheme="minorEastAsia"/>
          <w:i/>
          <w:sz w:val="24"/>
          <w:szCs w:val="36"/>
        </w:rPr>
        <w:t>，</w:t>
      </w:r>
      <w:r>
        <w:rPr>
          <w:rFonts w:cs="华文中宋" w:asciiTheme="minorEastAsia" w:hAnsiTheme="minorEastAsia" w:eastAsiaTheme="minorEastAsia"/>
          <w:i/>
          <w:sz w:val="24"/>
          <w:szCs w:val="36"/>
        </w:rPr>
        <w:t>但不限于</w:t>
      </w:r>
      <w:r>
        <w:rPr>
          <w:rFonts w:hint="eastAsia" w:cs="华文中宋" w:asciiTheme="minorEastAsia" w:hAnsiTheme="minorEastAsia" w:eastAsiaTheme="minorEastAsia"/>
          <w:i/>
          <w:sz w:val="24"/>
          <w:szCs w:val="36"/>
        </w:rPr>
        <w:t>本参考</w:t>
      </w:r>
      <w:r>
        <w:rPr>
          <w:rFonts w:cs="华文中宋" w:asciiTheme="minorEastAsia" w:hAnsiTheme="minorEastAsia" w:eastAsiaTheme="minorEastAsia"/>
          <w:i/>
          <w:sz w:val="24"/>
          <w:szCs w:val="36"/>
        </w:rPr>
        <w:t>格式</w:t>
      </w:r>
      <w:r>
        <w:rPr>
          <w:rFonts w:hint="eastAsia" w:cs="华文中宋" w:asciiTheme="minorEastAsia" w:hAnsiTheme="minorEastAsia" w:eastAsiaTheme="minorEastAsia"/>
          <w:i/>
          <w:sz w:val="24"/>
          <w:szCs w:val="36"/>
        </w:rPr>
        <w:t>中</w:t>
      </w:r>
      <w:r>
        <w:rPr>
          <w:rFonts w:cs="华文中宋" w:asciiTheme="minorEastAsia" w:hAnsiTheme="minorEastAsia" w:eastAsiaTheme="minorEastAsia"/>
          <w:i/>
          <w:sz w:val="24"/>
          <w:szCs w:val="36"/>
        </w:rPr>
        <w:t>的内容。</w:t>
      </w:r>
      <w:r>
        <w:rPr>
          <w:rFonts w:hint="eastAsia" w:cs="华文中宋" w:asciiTheme="minorEastAsia" w:hAnsiTheme="minorEastAsia" w:eastAsiaTheme="minorEastAsia"/>
          <w:i/>
          <w:sz w:val="24"/>
          <w:szCs w:val="36"/>
        </w:rPr>
        <w:t>各部门（街镇）和</w:t>
      </w:r>
      <w:r>
        <w:rPr>
          <w:rFonts w:cs="华文中宋" w:asciiTheme="minorEastAsia" w:hAnsiTheme="minorEastAsia" w:eastAsiaTheme="minorEastAsia"/>
          <w:i/>
          <w:sz w:val="24"/>
          <w:szCs w:val="36"/>
        </w:rPr>
        <w:t>单位</w:t>
      </w:r>
      <w:r>
        <w:rPr>
          <w:rFonts w:hint="eastAsia" w:cs="华文中宋" w:asciiTheme="minorEastAsia" w:hAnsiTheme="minorEastAsia" w:eastAsiaTheme="minorEastAsia"/>
          <w:i/>
          <w:sz w:val="24"/>
          <w:szCs w:val="36"/>
        </w:rPr>
        <w:t>需结合</w:t>
      </w:r>
      <w:r>
        <w:rPr>
          <w:rFonts w:cs="华文中宋" w:asciiTheme="minorEastAsia" w:hAnsiTheme="minorEastAsia" w:eastAsiaTheme="minorEastAsia"/>
          <w:i/>
          <w:sz w:val="24"/>
          <w:szCs w:val="36"/>
        </w:rPr>
        <w:t>自身</w:t>
      </w:r>
      <w:r>
        <w:rPr>
          <w:rFonts w:hint="eastAsia" w:cs="华文中宋" w:asciiTheme="minorEastAsia" w:hAnsiTheme="minorEastAsia" w:eastAsiaTheme="minorEastAsia"/>
          <w:i/>
          <w:sz w:val="24"/>
          <w:szCs w:val="36"/>
        </w:rPr>
        <w:t>实际</w:t>
      </w:r>
      <w:r>
        <w:rPr>
          <w:rFonts w:cs="华文中宋" w:asciiTheme="minorEastAsia" w:hAnsiTheme="minorEastAsia" w:eastAsiaTheme="minorEastAsia"/>
          <w:i/>
          <w:sz w:val="24"/>
          <w:szCs w:val="36"/>
        </w:rPr>
        <w:t>情况，</w:t>
      </w:r>
      <w:r>
        <w:rPr>
          <w:rFonts w:hint="eastAsia" w:cs="华文中宋" w:asciiTheme="minorEastAsia" w:hAnsiTheme="minorEastAsia" w:eastAsiaTheme="minorEastAsia"/>
          <w:i/>
          <w:sz w:val="24"/>
          <w:szCs w:val="36"/>
        </w:rPr>
        <w:t>把握报告重点，认真起草行政事业单位国有资产分析报告。</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Style w:val="8"/>
        <w:rFonts w:hint="eastAsia" w:asciiTheme="majorEastAsia" w:hAnsiTheme="majorEastAsia" w:eastAsiaTheme="majorEastAsia" w:cstheme="majorEastAsia"/>
        <w:sz w:val="24"/>
        <w:szCs w:val="24"/>
      </w:rPr>
      <w:instrText xml:space="preserve">PAGE  </w:instrText>
    </w:r>
    <w:r>
      <w:rPr>
        <w:rFonts w:hint="eastAsia" w:asciiTheme="majorEastAsia" w:hAnsiTheme="majorEastAsia" w:eastAsiaTheme="majorEastAsia" w:cstheme="majorEastAsia"/>
        <w:sz w:val="24"/>
        <w:szCs w:val="24"/>
      </w:rPr>
      <w:fldChar w:fldCharType="separate"/>
    </w:r>
    <w:r>
      <w:rPr>
        <w:rStyle w:val="8"/>
        <w:rFonts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p>
  <w:p>
    <w:pPr>
      <w:pStyle w:val="4"/>
      <w:rPr>
        <w:rFonts w:asciiTheme="majorEastAsia" w:hAnsiTheme="majorEastAsia" w:eastAsiaTheme="majorEastAsia" w:cstheme="maj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lYzRhOTM0NzFhYTNjODljZGRlNWYxNGUwYzM1MjYifQ=="/>
  </w:docVars>
  <w:rsids>
    <w:rsidRoot w:val="0015767D"/>
    <w:rsid w:val="00084C62"/>
    <w:rsid w:val="00086D47"/>
    <w:rsid w:val="001336EC"/>
    <w:rsid w:val="0015767D"/>
    <w:rsid w:val="00183253"/>
    <w:rsid w:val="00197973"/>
    <w:rsid w:val="001D4505"/>
    <w:rsid w:val="00226E03"/>
    <w:rsid w:val="002B79DE"/>
    <w:rsid w:val="00324F00"/>
    <w:rsid w:val="0037585F"/>
    <w:rsid w:val="0042326A"/>
    <w:rsid w:val="004F2DD1"/>
    <w:rsid w:val="00630EF6"/>
    <w:rsid w:val="006C1072"/>
    <w:rsid w:val="00716D53"/>
    <w:rsid w:val="008212AD"/>
    <w:rsid w:val="00824D5B"/>
    <w:rsid w:val="00896F38"/>
    <w:rsid w:val="008976F3"/>
    <w:rsid w:val="008B0975"/>
    <w:rsid w:val="00982143"/>
    <w:rsid w:val="00A41716"/>
    <w:rsid w:val="00A43B1B"/>
    <w:rsid w:val="00A56587"/>
    <w:rsid w:val="00A8620E"/>
    <w:rsid w:val="00AA450B"/>
    <w:rsid w:val="00AB2B51"/>
    <w:rsid w:val="00BF09BD"/>
    <w:rsid w:val="00C914E2"/>
    <w:rsid w:val="00CD25F9"/>
    <w:rsid w:val="00D13DBF"/>
    <w:rsid w:val="00F02442"/>
    <w:rsid w:val="00F4660C"/>
    <w:rsid w:val="00FD2393"/>
    <w:rsid w:val="00FD2960"/>
    <w:rsid w:val="1CFDC715"/>
    <w:rsid w:val="27FFAFEC"/>
    <w:rsid w:val="352025B2"/>
    <w:rsid w:val="3D773218"/>
    <w:rsid w:val="3F79DDEE"/>
    <w:rsid w:val="516C7D73"/>
    <w:rsid w:val="63EFE46B"/>
    <w:rsid w:val="7BFEC5CD"/>
    <w:rsid w:val="7C6DEDD1"/>
    <w:rsid w:val="7DEFDAB3"/>
    <w:rsid w:val="AEF15027"/>
    <w:rsid w:val="BEFB524C"/>
    <w:rsid w:val="DD6FD7DF"/>
    <w:rsid w:val="DFADC937"/>
    <w:rsid w:val="EDB6A931"/>
    <w:rsid w:val="EFFE7404"/>
    <w:rsid w:val="F7DF5858"/>
    <w:rsid w:val="FEC6EC8B"/>
    <w:rsid w:val="FFB8DEF3"/>
    <w:rsid w:val="FFE3FC55"/>
    <w:rsid w:val="FFFF7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1"/>
    <w:autoRedefine/>
    <w:qFormat/>
    <w:uiPriority w:val="0"/>
    <w:pPr>
      <w:widowControl/>
      <w:adjustRightInd w:val="0"/>
      <w:snapToGrid w:val="0"/>
      <w:spacing w:line="360" w:lineRule="auto"/>
    </w:pPr>
    <w:rPr>
      <w:rFonts w:ascii="仿宋_GB2312" w:hAnsi="宋体" w:eastAsia="仿宋_GB2312"/>
      <w:kern w:val="0"/>
      <w:sz w:val="28"/>
      <w:szCs w:val="24"/>
    </w:rPr>
  </w:style>
  <w:style w:type="paragraph" w:styleId="3">
    <w:name w:val="Balloon Text"/>
    <w:basedOn w:val="1"/>
    <w:link w:val="14"/>
    <w:autoRedefine/>
    <w:semiHidden/>
    <w:unhideWhenUsed/>
    <w:qFormat/>
    <w:uiPriority w:val="99"/>
    <w:rPr>
      <w:sz w:val="18"/>
      <w:szCs w:val="18"/>
    </w:rPr>
  </w:style>
  <w:style w:type="paragraph" w:styleId="4">
    <w:name w:val="footer"/>
    <w:basedOn w:val="1"/>
    <w:link w:val="10"/>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page number"/>
    <w:basedOn w:val="7"/>
    <w:qFormat/>
    <w:uiPriority w:val="0"/>
  </w:style>
  <w:style w:type="character" w:customStyle="1" w:styleId="9">
    <w:name w:val="页眉 Char"/>
    <w:basedOn w:val="7"/>
    <w:link w:val="5"/>
    <w:autoRedefine/>
    <w:qFormat/>
    <w:uiPriority w:val="99"/>
    <w:rPr>
      <w:sz w:val="18"/>
      <w:szCs w:val="18"/>
    </w:rPr>
  </w:style>
  <w:style w:type="character" w:customStyle="1" w:styleId="10">
    <w:name w:val="页脚 Char"/>
    <w:basedOn w:val="7"/>
    <w:link w:val="4"/>
    <w:autoRedefine/>
    <w:qFormat/>
    <w:uiPriority w:val="0"/>
    <w:rPr>
      <w:sz w:val="18"/>
      <w:szCs w:val="18"/>
    </w:rPr>
  </w:style>
  <w:style w:type="character" w:customStyle="1" w:styleId="11">
    <w:name w:val="正文文本 Char"/>
    <w:basedOn w:val="7"/>
    <w:link w:val="2"/>
    <w:autoRedefine/>
    <w:qFormat/>
    <w:uiPriority w:val="0"/>
    <w:rPr>
      <w:rFonts w:ascii="仿宋_GB2312" w:hAnsi="宋体" w:eastAsia="仿宋_GB2312" w:cs="Times New Roman"/>
      <w:kern w:val="0"/>
      <w:sz w:val="28"/>
      <w:szCs w:val="24"/>
    </w:rPr>
  </w:style>
  <w:style w:type="paragraph" w:customStyle="1" w:styleId="12">
    <w:name w:val="列出段落1"/>
    <w:basedOn w:val="1"/>
    <w:autoRedefine/>
    <w:qFormat/>
    <w:uiPriority w:val="34"/>
    <w:pPr>
      <w:ind w:firstLine="420" w:firstLineChars="200"/>
    </w:pPr>
  </w:style>
  <w:style w:type="paragraph" w:styleId="13">
    <w:name w:val="List Paragraph"/>
    <w:basedOn w:val="1"/>
    <w:autoRedefine/>
    <w:qFormat/>
    <w:uiPriority w:val="99"/>
    <w:pPr>
      <w:ind w:firstLine="420" w:firstLineChars="200"/>
    </w:pPr>
  </w:style>
  <w:style w:type="character" w:customStyle="1" w:styleId="14">
    <w:name w:val="批注框文本 Char"/>
    <w:basedOn w:val="7"/>
    <w:link w:val="3"/>
    <w:autoRedefine/>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czj.sh</Company>
  <Pages>1</Pages>
  <Words>240</Words>
  <Characters>1370</Characters>
  <Lines>11</Lines>
  <Paragraphs>3</Paragraphs>
  <TotalTime>70</TotalTime>
  <ScaleCrop>false</ScaleCrop>
  <LinksUpToDate>false</LinksUpToDate>
  <CharactersWithSpaces>1607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2022-02-17T18:07:00Z</dcterms:created>
  <dc:creator>宿　杭</dc:creator>
  <cp:lastModifiedBy>吴梦霞</cp:lastModifiedBy>
  <cp:lastPrinted>2022-02-18T19:15:00Z</cp:lastPrinted>
  <dcterms:modified xsi:type="dcterms:W3CDTF">2024-01-31T01:35:40Z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13EE38C7EE944E0999AE905C1E9EB119_12</vt:lpwstr>
  </property>
</Properties>
</file>