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spacing w:line="60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w:t>
      </w:r>
    </w:p>
    <w:p>
      <w:pPr>
        <w:keepNext w:val="0"/>
        <w:keepLines w:val="0"/>
        <w:pageBreakBefore w:val="0"/>
        <w:widowControl w:val="0"/>
        <w:kinsoku/>
        <w:overflowPunct/>
        <w:topLinePunct w:val="0"/>
        <w:autoSpaceDE/>
        <w:autoSpaceDN/>
        <w:bidi w:val="0"/>
        <w:spacing w:line="600" w:lineRule="exact"/>
        <w:jc w:val="center"/>
        <w:textAlignment w:val="auto"/>
        <w:rPr>
          <w:rFonts w:hint="eastAsia" w:ascii="方正小标宋简体" w:hAnsi="华文中宋" w:eastAsia="方正小标宋简体"/>
          <w:sz w:val="44"/>
          <w:szCs w:val="44"/>
        </w:rPr>
      </w:pPr>
      <w:r>
        <w:rPr>
          <w:rFonts w:hint="eastAsia" w:ascii="方正小标宋简体" w:hAnsi="华文中宋" w:eastAsia="方正小标宋简体"/>
          <w:sz w:val="44"/>
          <w:szCs w:val="44"/>
        </w:rPr>
        <w:t>在社区举办100场社区剧团演出项目方案</w:t>
      </w:r>
    </w:p>
    <w:p>
      <w:pPr>
        <w:keepNext w:val="0"/>
        <w:keepLines w:val="0"/>
        <w:pageBreakBefore w:val="0"/>
        <w:widowControl w:val="0"/>
        <w:kinsoku/>
        <w:overflowPunct/>
        <w:topLinePunct w:val="0"/>
        <w:autoSpaceDE/>
        <w:autoSpaceDN/>
        <w:bidi w:val="0"/>
        <w:spacing w:line="600" w:lineRule="exact"/>
        <w:jc w:val="center"/>
        <w:textAlignment w:val="auto"/>
        <w:rPr>
          <w:rFonts w:ascii="华文中宋" w:hAnsi="华文中宋" w:eastAsia="华文中宋" w:cs="华文中宋"/>
          <w:b/>
          <w:bCs/>
          <w:sz w:val="36"/>
          <w:szCs w:val="36"/>
        </w:rPr>
      </w:pPr>
      <w:r>
        <w:rPr>
          <w:rFonts w:hint="eastAsia" w:ascii="方正小标宋简体" w:hAnsi="华文中宋" w:eastAsia="方正小标宋简体"/>
          <w:sz w:val="44"/>
          <w:szCs w:val="44"/>
        </w:rPr>
        <w:t>（征求意见稿）</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bookmarkStart w:id="0" w:name="_GoBack"/>
      <w:bookmarkEnd w:id="0"/>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为深入践行“人民城市人民建，人民城市为人民”重要理念，努力满足人民群众多样化、多层次、多方面的文化需求，拟调动和发挥区域优秀群众文艺资源积极性，</w:t>
      </w:r>
      <w:r>
        <w:rPr>
          <w:rFonts w:ascii="仿宋_GB2312" w:hAnsi="仿宋_GB2312" w:eastAsia="仿宋_GB2312" w:cs="仿宋_GB2312"/>
          <w:sz w:val="32"/>
          <w:szCs w:val="32"/>
        </w:rPr>
        <w:t>举办</w:t>
      </w:r>
      <w:r>
        <w:rPr>
          <w:rFonts w:hint="eastAsia" w:ascii="仿宋_GB2312" w:hAnsi="仿宋_GB2312" w:eastAsia="仿宋_GB2312" w:cs="仿宋_GB2312"/>
          <w:sz w:val="32"/>
          <w:szCs w:val="32"/>
        </w:rPr>
        <w:t>100场社区剧团演出，</w:t>
      </w:r>
      <w:r>
        <w:rPr>
          <w:rFonts w:ascii="仿宋_GB2312" w:hAnsi="仿宋_GB2312" w:eastAsia="仿宋_GB2312" w:cs="仿宋_GB2312"/>
          <w:sz w:val="32"/>
          <w:szCs w:val="32"/>
        </w:rPr>
        <w:t>以</w:t>
      </w:r>
      <w:r>
        <w:rPr>
          <w:rFonts w:hint="eastAsia" w:ascii="仿宋_GB2312" w:hAnsi="仿宋_GB2312" w:eastAsia="仿宋_GB2312" w:cs="仿宋_GB2312"/>
          <w:sz w:val="32"/>
          <w:szCs w:val="32"/>
        </w:rPr>
        <w:t>进一步加强基层治理体系和治理能力的现代化，进一步丰富市民精神文化生活</w:t>
      </w:r>
      <w:r>
        <w:rPr>
          <w:rFonts w:hint="eastAsia" w:ascii="仿宋_GB2312" w:hAnsi="仿宋_GB2312" w:eastAsia="仿宋_GB2312" w:cs="仿宋_GB2312"/>
          <w:sz w:val="32"/>
          <w:szCs w:val="32"/>
          <w:lang w:val="en-US" w:eastAsia="zh-CN"/>
        </w:rPr>
        <w:t>,</w:t>
      </w:r>
      <w:r>
        <w:rPr>
          <w:rFonts w:hint="eastAsia" w:ascii="仿宋_GB2312" w:hAnsi="宋体" w:eastAsia="仿宋_GB2312" w:cs="宋体"/>
          <w:sz w:val="32"/>
          <w:szCs w:val="32"/>
        </w:rPr>
        <w:t>结合《公共文化惠民工程三年行动计划（2023-2025）》</w:t>
      </w:r>
      <w:r>
        <w:rPr>
          <w:rFonts w:hint="eastAsia" w:ascii="仿宋_GB2312" w:hAnsi="仿宋" w:eastAsia="仿宋_GB2312"/>
          <w:sz w:val="32"/>
          <w:szCs w:val="32"/>
        </w:rPr>
        <w:t>《上海市公共文化服务高质量发展的意见》《中共闵行区委关于加强党建引领下的基层公共文化服务的指导意见》</w:t>
      </w:r>
      <w:r>
        <w:rPr>
          <w:rFonts w:ascii="仿宋_GB2312" w:hAnsi="仿宋" w:eastAsia="仿宋_GB2312"/>
          <w:sz w:val="32"/>
          <w:szCs w:val="30"/>
        </w:rPr>
        <w:t>《</w:t>
      </w:r>
      <w:r>
        <w:rPr>
          <w:rFonts w:hint="eastAsia" w:ascii="仿宋_GB2312" w:hAnsi="仿宋" w:eastAsia="仿宋_GB2312"/>
          <w:sz w:val="32"/>
          <w:szCs w:val="30"/>
        </w:rPr>
        <w:t>闵行区</w:t>
      </w:r>
      <w:r>
        <w:rPr>
          <w:rFonts w:ascii="仿宋_GB2312" w:hAnsi="仿宋" w:eastAsia="仿宋_GB2312"/>
          <w:sz w:val="32"/>
          <w:szCs w:val="30"/>
        </w:rPr>
        <w:t>群文团队参与社会治理实施细则》</w:t>
      </w:r>
      <w:r>
        <w:rPr>
          <w:rFonts w:ascii="仿宋_GB2312" w:hAnsi="宋体" w:eastAsia="仿宋_GB2312" w:cs="宋体"/>
          <w:sz w:val="32"/>
          <w:szCs w:val="32"/>
        </w:rPr>
        <w:t>等文件精神</w:t>
      </w:r>
      <w:r>
        <w:rPr>
          <w:rFonts w:hint="eastAsia" w:ascii="仿宋_GB2312" w:hAnsi="宋体" w:eastAsia="仿宋_GB2312" w:cs="宋体"/>
          <w:sz w:val="32"/>
          <w:szCs w:val="32"/>
        </w:rPr>
        <w:t>制定如下方案：</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黑体" w:hAnsi="黑体" w:eastAsia="黑体" w:cs="仿宋_GB2312"/>
          <w:sz w:val="32"/>
          <w:szCs w:val="32"/>
        </w:rPr>
      </w:pPr>
      <w:r>
        <w:rPr>
          <w:rFonts w:hint="eastAsia" w:ascii="黑体" w:hAnsi="黑体" w:eastAsia="黑体" w:cs="仿宋_GB2312"/>
          <w:sz w:val="32"/>
          <w:szCs w:val="32"/>
        </w:rPr>
        <w:t>一</w:t>
      </w:r>
      <w:r>
        <w:rPr>
          <w:rFonts w:ascii="黑体" w:hAnsi="黑体" w:eastAsia="黑体" w:cs="仿宋_GB2312"/>
          <w:sz w:val="32"/>
          <w:szCs w:val="32"/>
        </w:rPr>
        <w:t>、</w:t>
      </w:r>
      <w:r>
        <w:rPr>
          <w:rFonts w:hint="eastAsia" w:ascii="黑体" w:hAnsi="黑体" w:eastAsia="黑体" w:cs="仿宋_GB2312"/>
          <w:sz w:val="32"/>
          <w:szCs w:val="32"/>
        </w:rPr>
        <w:t>工作目标</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以区内</w:t>
      </w:r>
      <w:r>
        <w:rPr>
          <w:rFonts w:ascii="仿宋_GB2312" w:hAnsi="仿宋_GB2312" w:eastAsia="仿宋_GB2312" w:cs="仿宋_GB2312"/>
          <w:sz w:val="32"/>
          <w:szCs w:val="32"/>
        </w:rPr>
        <w:t>特色</w:t>
      </w:r>
      <w:r>
        <w:rPr>
          <w:rFonts w:hint="eastAsia" w:ascii="仿宋_GB2312" w:hAnsi="仿宋_GB2312" w:eastAsia="仿宋_GB2312" w:cs="仿宋_GB2312"/>
          <w:sz w:val="32"/>
          <w:szCs w:val="32"/>
        </w:rPr>
        <w:t>文艺团队资源为基础，以各镇、街道、莘庄工业区群众需求为导向，组建闵行区“社区剧团”赴各镇、街道、莘庄工业区开展100场社区</w:t>
      </w:r>
      <w:r>
        <w:rPr>
          <w:rFonts w:ascii="仿宋_GB2312" w:hAnsi="仿宋_GB2312" w:eastAsia="仿宋_GB2312" w:cs="仿宋_GB2312"/>
          <w:sz w:val="32"/>
          <w:szCs w:val="32"/>
        </w:rPr>
        <w:t>剧团</w:t>
      </w:r>
      <w:r>
        <w:rPr>
          <w:rFonts w:hint="eastAsia" w:ascii="仿宋_GB2312" w:hAnsi="仿宋_GB2312" w:eastAsia="仿宋_GB2312" w:cs="仿宋_GB2312"/>
          <w:sz w:val="32"/>
          <w:szCs w:val="32"/>
        </w:rPr>
        <w:t>演出活动，实现全区“长者照护之家”全覆盖、14个镇、街道、莘庄工业区全覆盖，切实增加</w:t>
      </w:r>
      <w:r>
        <w:rPr>
          <w:rFonts w:ascii="仿宋_GB2312" w:hAnsi="仿宋_GB2312" w:eastAsia="仿宋_GB2312" w:cs="仿宋_GB2312"/>
          <w:sz w:val="32"/>
          <w:szCs w:val="32"/>
        </w:rPr>
        <w:t>基层公共文化的有效供给</w:t>
      </w:r>
      <w:r>
        <w:rPr>
          <w:rFonts w:hint="eastAsia" w:ascii="仿宋_GB2312" w:hAnsi="仿宋_GB2312" w:eastAsia="仿宋_GB2312" w:cs="仿宋_GB2312"/>
          <w:sz w:val="32"/>
          <w:szCs w:val="32"/>
        </w:rPr>
        <w:t>。</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黑体" w:hAnsi="黑体" w:eastAsia="黑体" w:cs="仿宋_GB2312"/>
          <w:sz w:val="32"/>
          <w:szCs w:val="32"/>
        </w:rPr>
      </w:pPr>
      <w:r>
        <w:rPr>
          <w:rFonts w:hint="eastAsia" w:ascii="黑体" w:hAnsi="黑体" w:eastAsia="黑体" w:cs="仿宋_GB2312"/>
          <w:sz w:val="32"/>
          <w:szCs w:val="32"/>
        </w:rPr>
        <w:t>二、职责分工</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区文化旅游局为该项目牵头部门，负责区级</w:t>
      </w:r>
      <w:r>
        <w:rPr>
          <w:rFonts w:ascii="仿宋_GB2312" w:hAnsi="仿宋_GB2312" w:eastAsia="仿宋_GB2312" w:cs="仿宋_GB2312"/>
          <w:sz w:val="32"/>
          <w:szCs w:val="32"/>
        </w:rPr>
        <w:t>统筹、</w:t>
      </w:r>
      <w:r>
        <w:rPr>
          <w:rFonts w:hint="eastAsia" w:ascii="仿宋_GB2312" w:hAnsi="仿宋_GB2312" w:eastAsia="仿宋_GB2312" w:cs="仿宋_GB2312"/>
          <w:sz w:val="32"/>
          <w:szCs w:val="32"/>
        </w:rPr>
        <w:t>业务指导、项目</w:t>
      </w:r>
      <w:r>
        <w:rPr>
          <w:rFonts w:ascii="仿宋_GB2312" w:hAnsi="仿宋_GB2312" w:eastAsia="仿宋_GB2312" w:cs="仿宋_GB2312"/>
          <w:sz w:val="32"/>
          <w:szCs w:val="32"/>
        </w:rPr>
        <w:t>验收及资金落实</w:t>
      </w:r>
      <w:r>
        <w:rPr>
          <w:rFonts w:hint="eastAsia" w:ascii="仿宋_GB2312" w:hAnsi="仿宋_GB2312" w:eastAsia="仿宋_GB2312" w:cs="仿宋_GB2312"/>
          <w:sz w:val="32"/>
          <w:szCs w:val="32"/>
        </w:rPr>
        <w:t>等。</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各镇、街道、莘庄工业区文体中心负责</w:t>
      </w:r>
      <w:r>
        <w:rPr>
          <w:rFonts w:ascii="仿宋_GB2312" w:hAnsi="仿宋_GB2312" w:eastAsia="仿宋_GB2312" w:cs="仿宋_GB2312"/>
          <w:sz w:val="32"/>
          <w:szCs w:val="32"/>
        </w:rPr>
        <w:t>社区剧团组建，</w:t>
      </w:r>
      <w:r>
        <w:rPr>
          <w:rFonts w:hint="eastAsia" w:ascii="仿宋_GB2312" w:hAnsi="仿宋_GB2312" w:eastAsia="仿宋_GB2312" w:cs="仿宋_GB2312"/>
          <w:sz w:val="32"/>
          <w:szCs w:val="32"/>
        </w:rPr>
        <w:t>协调</w:t>
      </w:r>
      <w:r>
        <w:rPr>
          <w:rFonts w:ascii="仿宋_GB2312" w:hAnsi="仿宋_GB2312" w:eastAsia="仿宋_GB2312" w:cs="仿宋_GB2312"/>
          <w:sz w:val="32"/>
          <w:szCs w:val="32"/>
        </w:rPr>
        <w:t>推进</w:t>
      </w:r>
      <w:r>
        <w:rPr>
          <w:rFonts w:hint="eastAsia" w:ascii="仿宋_GB2312" w:hAnsi="仿宋_GB2312" w:eastAsia="仿宋_GB2312" w:cs="仿宋_GB2312"/>
          <w:sz w:val="32"/>
          <w:szCs w:val="32"/>
        </w:rPr>
        <w:t>辖区内</w:t>
      </w:r>
      <w:r>
        <w:rPr>
          <w:rFonts w:ascii="仿宋_GB2312" w:hAnsi="仿宋_GB2312" w:eastAsia="仿宋_GB2312" w:cs="仿宋_GB2312"/>
          <w:sz w:val="32"/>
          <w:szCs w:val="32"/>
        </w:rPr>
        <w:t>社区剧团演出服务。</w:t>
      </w:r>
      <w:r>
        <w:rPr>
          <w:rFonts w:hint="eastAsia" w:ascii="仿宋_GB2312" w:hAnsi="仿宋" w:eastAsia="仿宋_GB2312" w:cs="Times New Roman"/>
          <w:sz w:val="32"/>
          <w:szCs w:val="32"/>
        </w:rPr>
        <w:t>服务场次</w:t>
      </w:r>
      <w:r>
        <w:rPr>
          <w:rFonts w:hint="eastAsia" w:ascii="仿宋_GB2312" w:hAnsi="仿宋_GB2312" w:eastAsia="仿宋_GB2312" w:cs="仿宋_GB2312"/>
          <w:sz w:val="32"/>
          <w:szCs w:val="32"/>
        </w:rPr>
        <w:t>详见下表。</w:t>
      </w:r>
    </w:p>
    <w:tbl>
      <w:tblPr>
        <w:tblStyle w:val="5"/>
        <w:tblW w:w="5293" w:type="pct"/>
        <w:jc w:val="center"/>
        <w:tblLayout w:type="autofit"/>
        <w:tblCellMar>
          <w:top w:w="0" w:type="dxa"/>
          <w:left w:w="108" w:type="dxa"/>
          <w:bottom w:w="0" w:type="dxa"/>
          <w:right w:w="108" w:type="dxa"/>
        </w:tblCellMar>
      </w:tblPr>
      <w:tblGrid>
        <w:gridCol w:w="1764"/>
        <w:gridCol w:w="2916"/>
        <w:gridCol w:w="4911"/>
      </w:tblGrid>
      <w:tr>
        <w:tblPrEx>
          <w:tblCellMar>
            <w:top w:w="0" w:type="dxa"/>
            <w:left w:w="108" w:type="dxa"/>
            <w:bottom w:w="0" w:type="dxa"/>
            <w:right w:w="108" w:type="dxa"/>
          </w:tblCellMar>
        </w:tblPrEx>
        <w:trPr>
          <w:trHeight w:val="546" w:hRule="atLeast"/>
          <w:tblHeader/>
          <w:jc w:val="center"/>
        </w:trPr>
        <w:tc>
          <w:tcPr>
            <w:tcW w:w="920"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b/>
                <w:sz w:val="32"/>
                <w:szCs w:val="32"/>
              </w:rPr>
            </w:pPr>
            <w:r>
              <w:rPr>
                <w:rFonts w:hint="eastAsia" w:ascii="仿宋_GB2312" w:hAnsi="仿宋_GB2312" w:eastAsia="仿宋_GB2312" w:cs="仿宋_GB2312"/>
                <w:b/>
                <w:sz w:val="32"/>
                <w:szCs w:val="32"/>
              </w:rPr>
              <w:t>序号</w:t>
            </w:r>
          </w:p>
        </w:tc>
        <w:tc>
          <w:tcPr>
            <w:tcW w:w="1520" w:type="pct"/>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b/>
                <w:sz w:val="32"/>
                <w:szCs w:val="32"/>
              </w:rPr>
            </w:pPr>
            <w:r>
              <w:rPr>
                <w:rFonts w:hint="eastAsia" w:ascii="仿宋_GB2312" w:hAnsi="仿宋_GB2312" w:eastAsia="仿宋_GB2312" w:cs="仿宋_GB2312"/>
                <w:b/>
                <w:sz w:val="32"/>
                <w:szCs w:val="32"/>
              </w:rPr>
              <w:t>街镇</w:t>
            </w:r>
          </w:p>
        </w:tc>
        <w:tc>
          <w:tcPr>
            <w:tcW w:w="2560" w:type="pct"/>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b/>
                <w:sz w:val="32"/>
                <w:szCs w:val="32"/>
              </w:rPr>
            </w:pPr>
            <w:r>
              <w:rPr>
                <w:rFonts w:hint="eastAsia" w:ascii="仿宋_GB2312" w:hAnsi="仿宋_GB2312" w:eastAsia="仿宋_GB2312" w:cs="仿宋_GB2312"/>
                <w:b/>
                <w:sz w:val="32"/>
                <w:szCs w:val="32"/>
              </w:rPr>
              <w:t>在本地开展演出服务场次（场）</w:t>
            </w:r>
          </w:p>
        </w:tc>
      </w:tr>
      <w:tr>
        <w:tblPrEx>
          <w:tblCellMar>
            <w:top w:w="0" w:type="dxa"/>
            <w:left w:w="108" w:type="dxa"/>
            <w:bottom w:w="0" w:type="dxa"/>
            <w:right w:w="108" w:type="dxa"/>
          </w:tblCellMar>
        </w:tblPrEx>
        <w:trPr>
          <w:trHeight w:val="500"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浦江镇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8</w:t>
            </w:r>
          </w:p>
        </w:tc>
      </w:tr>
      <w:tr>
        <w:tblPrEx>
          <w:tblCellMar>
            <w:top w:w="0" w:type="dxa"/>
            <w:left w:w="108" w:type="dxa"/>
            <w:bottom w:w="0" w:type="dxa"/>
            <w:right w:w="108" w:type="dxa"/>
          </w:tblCellMar>
        </w:tblPrEx>
        <w:trPr>
          <w:trHeight w:val="450"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吴泾镇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r>
      <w:tr>
        <w:tblPrEx>
          <w:tblCellMar>
            <w:top w:w="0" w:type="dxa"/>
            <w:left w:w="108" w:type="dxa"/>
            <w:bottom w:w="0" w:type="dxa"/>
            <w:right w:w="108" w:type="dxa"/>
          </w:tblCellMar>
        </w:tblPrEx>
        <w:trPr>
          <w:trHeight w:val="52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马桥镇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r>
      <w:tr>
        <w:tblPrEx>
          <w:tblCellMar>
            <w:top w:w="0" w:type="dxa"/>
            <w:left w:w="108" w:type="dxa"/>
            <w:bottom w:w="0" w:type="dxa"/>
            <w:right w:w="108" w:type="dxa"/>
          </w:tblCellMar>
        </w:tblPrEx>
        <w:trPr>
          <w:trHeight w:val="5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颛桥镇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5</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梅陇镇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9</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6</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莘庄镇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8</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七宝镇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8</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8</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虹桥镇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9</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华漕镇</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10</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江川路街道</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11</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古美路街道</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12</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新虹街道</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6</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13</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浦锦街道</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8</w:t>
            </w:r>
          </w:p>
        </w:tc>
      </w:tr>
      <w:tr>
        <w:tblPrEx>
          <w:tblCellMar>
            <w:top w:w="0" w:type="dxa"/>
            <w:left w:w="108" w:type="dxa"/>
            <w:bottom w:w="0" w:type="dxa"/>
            <w:right w:w="108" w:type="dxa"/>
          </w:tblCellMar>
        </w:tblPrEx>
        <w:trPr>
          <w:trHeight w:val="375" w:hRule="atLeast"/>
          <w:jc w:val="center"/>
        </w:trPr>
        <w:tc>
          <w:tcPr>
            <w:tcW w:w="920" w:type="pc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14</w:t>
            </w:r>
          </w:p>
        </w:tc>
        <w:tc>
          <w:tcPr>
            <w:tcW w:w="152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莘庄工业区</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4</w:t>
            </w:r>
          </w:p>
        </w:tc>
      </w:tr>
      <w:tr>
        <w:tblPrEx>
          <w:tblCellMar>
            <w:top w:w="0" w:type="dxa"/>
            <w:left w:w="108" w:type="dxa"/>
            <w:bottom w:w="0" w:type="dxa"/>
            <w:right w:w="108" w:type="dxa"/>
          </w:tblCellMar>
        </w:tblPrEx>
        <w:trPr>
          <w:trHeight w:val="358" w:hRule="atLeast"/>
          <w:jc w:val="center"/>
        </w:trPr>
        <w:tc>
          <w:tcPr>
            <w:tcW w:w="244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合计</w:t>
            </w:r>
          </w:p>
        </w:tc>
        <w:tc>
          <w:tcPr>
            <w:tcW w:w="2560" w:type="pct"/>
            <w:tcBorders>
              <w:top w:val="nil"/>
              <w:left w:val="nil"/>
              <w:bottom w:val="single" w:color="auto" w:sz="4" w:space="0"/>
              <w:right w:val="single" w:color="auto" w:sz="4" w:space="0"/>
            </w:tcBorders>
            <w:shd w:val="clear" w:color="auto" w:fill="auto"/>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100</w:t>
            </w:r>
          </w:p>
        </w:tc>
      </w:tr>
    </w:tbl>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 w:eastAsia="仿宋_GB2312" w:cs="Times New Roman"/>
          <w:sz w:val="32"/>
          <w:szCs w:val="32"/>
        </w:rPr>
        <w:t>表1：各镇、街镇、莘庄工业区</w:t>
      </w:r>
      <w:r>
        <w:rPr>
          <w:rFonts w:hint="eastAsia" w:ascii="仿宋_GB2312" w:hAnsi="仿宋_GB2312" w:eastAsia="仿宋_GB2312" w:cs="仿宋_GB2312"/>
          <w:sz w:val="32"/>
          <w:szCs w:val="32"/>
        </w:rPr>
        <w:t>演出</w:t>
      </w:r>
      <w:r>
        <w:rPr>
          <w:rFonts w:hint="eastAsia" w:ascii="仿宋_GB2312" w:hAnsi="仿宋" w:eastAsia="仿宋_GB2312" w:cs="Times New Roman"/>
          <w:sz w:val="32"/>
          <w:szCs w:val="32"/>
        </w:rPr>
        <w:t>服务场次表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为强化</w:t>
      </w:r>
      <w:r>
        <w:rPr>
          <w:rFonts w:ascii="仿宋_GB2312" w:hAnsi="仿宋_GB2312" w:eastAsia="仿宋_GB2312" w:cs="仿宋_GB2312"/>
          <w:sz w:val="32"/>
          <w:szCs w:val="32"/>
        </w:rPr>
        <w:t>项目</w:t>
      </w:r>
      <w:r>
        <w:rPr>
          <w:rFonts w:hint="eastAsia" w:ascii="仿宋_GB2312" w:hAnsi="仿宋_GB2312" w:eastAsia="仿宋_GB2312" w:cs="仿宋_GB2312"/>
          <w:sz w:val="32"/>
          <w:szCs w:val="32"/>
        </w:rPr>
        <w:t>操作性</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拟</w:t>
      </w:r>
      <w:r>
        <w:rPr>
          <w:rFonts w:ascii="仿宋_GB2312" w:hAnsi="仿宋_GB2312" w:eastAsia="仿宋_GB2312" w:cs="仿宋_GB2312"/>
          <w:sz w:val="32"/>
          <w:szCs w:val="32"/>
        </w:rPr>
        <w:t>采用</w:t>
      </w:r>
      <w:r>
        <w:rPr>
          <w:rFonts w:hint="eastAsia" w:ascii="仿宋_GB2312" w:hAnsi="仿宋_GB2312" w:eastAsia="仿宋_GB2312" w:cs="仿宋_GB2312"/>
          <w:sz w:val="32"/>
          <w:szCs w:val="32"/>
        </w:rPr>
        <w:t>文化走亲、</w:t>
      </w:r>
      <w:r>
        <w:rPr>
          <w:rFonts w:ascii="仿宋_GB2312" w:hAnsi="仿宋_GB2312" w:eastAsia="仿宋_GB2312" w:cs="仿宋_GB2312"/>
          <w:sz w:val="32"/>
          <w:szCs w:val="32"/>
        </w:rPr>
        <w:t>两</w:t>
      </w:r>
      <w:r>
        <w:rPr>
          <w:rFonts w:hint="eastAsia" w:ascii="仿宋_GB2312" w:hAnsi="仿宋_GB2312" w:eastAsia="仿宋_GB2312" w:cs="仿宋_GB2312"/>
          <w:sz w:val="32"/>
          <w:szCs w:val="32"/>
        </w:rPr>
        <w:t>两</w:t>
      </w:r>
      <w:r>
        <w:rPr>
          <w:rFonts w:ascii="仿宋_GB2312" w:hAnsi="仿宋_GB2312" w:eastAsia="仿宋_GB2312" w:cs="仿宋_GB2312"/>
          <w:sz w:val="32"/>
          <w:szCs w:val="32"/>
        </w:rPr>
        <w:t>结对</w:t>
      </w:r>
      <w:r>
        <w:rPr>
          <w:rFonts w:hint="eastAsia" w:ascii="仿宋_GB2312" w:hAnsi="仿宋_GB2312" w:eastAsia="仿宋_GB2312" w:cs="仿宋_GB2312"/>
          <w:sz w:val="32"/>
          <w:szCs w:val="32"/>
        </w:rPr>
        <w:t>的</w:t>
      </w:r>
      <w:r>
        <w:rPr>
          <w:rFonts w:ascii="仿宋_GB2312" w:hAnsi="仿宋_GB2312" w:eastAsia="仿宋_GB2312" w:cs="仿宋_GB2312"/>
          <w:sz w:val="32"/>
          <w:szCs w:val="32"/>
        </w:rPr>
        <w:t>方式，</w:t>
      </w:r>
      <w:r>
        <w:rPr>
          <w:rFonts w:hint="eastAsia" w:ascii="仿宋_GB2312" w:hAnsi="仿宋_GB2312" w:eastAsia="仿宋_GB2312" w:cs="仿宋_GB2312"/>
          <w:sz w:val="32"/>
          <w:szCs w:val="32"/>
        </w:rPr>
        <w:t>推进100场</w:t>
      </w:r>
      <w:r>
        <w:rPr>
          <w:rFonts w:ascii="仿宋_GB2312" w:hAnsi="仿宋_GB2312" w:eastAsia="仿宋_GB2312" w:cs="仿宋_GB2312"/>
          <w:sz w:val="32"/>
          <w:szCs w:val="32"/>
        </w:rPr>
        <w:t>社区剧团演出服务</w:t>
      </w:r>
      <w:r>
        <w:rPr>
          <w:rFonts w:hint="eastAsia" w:ascii="仿宋_GB2312" w:hAnsi="仿宋_GB2312" w:eastAsia="仿宋_GB2312" w:cs="仿宋_GB2312"/>
          <w:sz w:val="32"/>
          <w:szCs w:val="32"/>
        </w:rPr>
        <w:t>，以</w:t>
      </w:r>
      <w:r>
        <w:rPr>
          <w:rFonts w:ascii="仿宋_GB2312" w:hAnsi="仿宋_GB2312" w:eastAsia="仿宋_GB2312" w:cs="仿宋_GB2312"/>
          <w:sz w:val="32"/>
          <w:szCs w:val="32"/>
        </w:rPr>
        <w:t>丰富</w:t>
      </w:r>
      <w:r>
        <w:rPr>
          <w:rFonts w:hint="eastAsia" w:ascii="仿宋_GB2312" w:hAnsi="仿宋_GB2312" w:eastAsia="仿宋_GB2312" w:cs="仿宋_GB2312"/>
          <w:sz w:val="32"/>
          <w:szCs w:val="32"/>
        </w:rPr>
        <w:t>社区剧团</w:t>
      </w:r>
      <w:r>
        <w:rPr>
          <w:rFonts w:ascii="仿宋_GB2312" w:hAnsi="仿宋_GB2312" w:eastAsia="仿宋_GB2312" w:cs="仿宋_GB2312"/>
          <w:sz w:val="32"/>
          <w:szCs w:val="32"/>
        </w:rPr>
        <w:t>的演出</w:t>
      </w:r>
      <w:r>
        <w:rPr>
          <w:rFonts w:hint="eastAsia" w:ascii="仿宋_GB2312" w:hAnsi="仿宋_GB2312" w:eastAsia="仿宋_GB2312" w:cs="仿宋_GB2312"/>
          <w:sz w:val="32"/>
          <w:szCs w:val="32"/>
        </w:rPr>
        <w:t>服务，增进</w:t>
      </w:r>
      <w:r>
        <w:rPr>
          <w:rFonts w:ascii="仿宋_GB2312" w:hAnsi="仿宋_GB2312" w:eastAsia="仿宋_GB2312" w:cs="仿宋_GB2312"/>
          <w:sz w:val="32"/>
          <w:szCs w:val="32"/>
        </w:rPr>
        <w:t>社区剧团间的交流与合作。</w:t>
      </w:r>
      <w:r>
        <w:rPr>
          <w:rFonts w:hint="eastAsia" w:ascii="仿宋_GB2312" w:hAnsi="仿宋_GB2312" w:eastAsia="仿宋_GB2312" w:cs="仿宋_GB2312"/>
          <w:sz w:val="32"/>
          <w:szCs w:val="32"/>
        </w:rPr>
        <w:t>各单位可根据实际自主安排本区域内走亲或跨区域走亲。跨区域走亲结对结详见下表。</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3"/>
        <w:gridCol w:w="7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b/>
                <w:sz w:val="32"/>
                <w:szCs w:val="32"/>
              </w:rPr>
            </w:pPr>
            <w:r>
              <w:rPr>
                <w:rFonts w:hint="eastAsia" w:ascii="仿宋_GB2312" w:hAnsi="仿宋_GB2312" w:eastAsia="仿宋_GB2312" w:cs="仿宋_GB2312"/>
                <w:b/>
                <w:sz w:val="32"/>
                <w:szCs w:val="32"/>
              </w:rPr>
              <w:t>序号</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b/>
                <w:sz w:val="32"/>
                <w:szCs w:val="32"/>
              </w:rPr>
            </w:pPr>
            <w:r>
              <w:rPr>
                <w:rFonts w:hint="eastAsia" w:ascii="仿宋_GB2312" w:hAnsi="仿宋_GB2312" w:eastAsia="仿宋_GB2312" w:cs="仿宋_GB2312"/>
                <w:b/>
                <w:sz w:val="32"/>
                <w:szCs w:val="32"/>
              </w:rPr>
              <w:t>跨区域走亲结对推荐表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浦江镇——浦锦街道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吴泾镇——梅陇镇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马桥镇——江川路街道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颛桥镇——莘庄工业区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5</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莘庄镇——古美路街道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6</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七宝镇——虹桥镇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3"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7</w:t>
            </w:r>
          </w:p>
        </w:tc>
        <w:tc>
          <w:tcPr>
            <w:tcW w:w="7721" w:type="dxa"/>
            <w:vAlign w:val="center"/>
          </w:tcPr>
          <w:p>
            <w:pPr>
              <w:keepNext w:val="0"/>
              <w:keepLines w:val="0"/>
              <w:pageBreakBefore w:val="0"/>
              <w:widowControl w:val="0"/>
              <w:kinsoku/>
              <w:overflowPunct/>
              <w:topLinePunct w:val="0"/>
              <w:autoSpaceDE/>
              <w:autoSpaceDN/>
              <w:bidi w:val="0"/>
              <w:spacing w:line="600" w:lineRule="exact"/>
              <w:jc w:val="center"/>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华漕镇——新虹街道</w:t>
            </w:r>
          </w:p>
        </w:tc>
      </w:tr>
    </w:tbl>
    <w:p>
      <w:pPr>
        <w:keepNext w:val="0"/>
        <w:keepLines w:val="0"/>
        <w:pageBreakBefore w:val="0"/>
        <w:widowControl w:val="0"/>
        <w:kinsoku/>
        <w:overflowPunct/>
        <w:topLinePunct w:val="0"/>
        <w:autoSpaceDE/>
        <w:autoSpaceDN/>
        <w:bidi w:val="0"/>
        <w:adjustRightInd w:val="0"/>
        <w:snapToGrid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表2：各镇、街道、莘庄工业区跨区域走亲结对推荐表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黑体" w:hAnsi="黑体" w:eastAsia="黑体" w:cs="仿宋_GB2312"/>
          <w:sz w:val="32"/>
          <w:szCs w:val="32"/>
        </w:rPr>
      </w:pPr>
      <w:r>
        <w:rPr>
          <w:rFonts w:hint="eastAsia" w:ascii="黑体" w:hAnsi="黑体" w:eastAsia="黑体" w:cs="仿宋_GB2312"/>
          <w:sz w:val="32"/>
          <w:szCs w:val="32"/>
        </w:rPr>
        <w:t>三</w:t>
      </w:r>
      <w:r>
        <w:rPr>
          <w:rFonts w:ascii="黑体" w:hAnsi="黑体" w:eastAsia="黑体" w:cs="仿宋_GB2312"/>
          <w:sz w:val="32"/>
          <w:szCs w:val="32"/>
        </w:rPr>
        <w:t>、</w:t>
      </w:r>
      <w:r>
        <w:rPr>
          <w:rFonts w:hint="eastAsia" w:ascii="黑体" w:hAnsi="黑体" w:eastAsia="黑体" w:cs="仿宋_GB2312"/>
          <w:sz w:val="32"/>
          <w:szCs w:val="32"/>
        </w:rPr>
        <w:t>每月实施计划及每月预计</w:t>
      </w:r>
      <w:r>
        <w:rPr>
          <w:rFonts w:ascii="黑体" w:hAnsi="黑体" w:eastAsia="黑体" w:cs="仿宋_GB2312"/>
          <w:sz w:val="32"/>
          <w:szCs w:val="32"/>
        </w:rPr>
        <w:t>完成进度</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2024年1月：制定实施方案初稿和项目管理办法。</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2024年2月：与各镇、街道、莘庄工业区文体中心沟通确认实施方案；主视觉设计。</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2024年3月：各镇、街道、莘庄工业区文体中心结合区级实施方案、基层需求上报全年服务点位和推进计划；启动项目。</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2024年4月:各镇、街道、莘庄工业区文体中心按计划开展演出活动。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2024年5月:各镇、街道、莘庄工业区文体中心围绕五一劳动节开展演出活动。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2024年6月:各镇、街道、莘庄工业区文体中心围绕端午节开展演出活动。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2024年7月:各镇、街道、莘庄工业区文体中心围绕建党节开展演出活动。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2024年8月:各镇、街道、莘庄工业区文体中心围绕建军节开展演出活动。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2024年9月:各镇、街道、莘庄工业区文体中心围绕中秋国庆节开展演出活动。</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2024年10月：10月8日前完成全年100场社区剧团演出，开展项目验收。</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黑体" w:hAnsi="黑体" w:eastAsia="黑体"/>
          <w:sz w:val="32"/>
          <w:szCs w:val="32"/>
        </w:rPr>
      </w:pPr>
      <w:r>
        <w:rPr>
          <w:rFonts w:hint="eastAsia" w:ascii="黑体" w:hAnsi="黑体" w:eastAsia="黑体"/>
          <w:sz w:val="32"/>
          <w:szCs w:val="32"/>
        </w:rPr>
        <w:t>四、总投资估算和资金渠道</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项目总投资40万元中，其中70场活动总预算28万元，列入区文旅局一般部门预算；另行申请30场活动预算12万元，由区文旅局申请，从中央专款中列支。</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黑体" w:hAnsi="黑体" w:eastAsia="黑体"/>
          <w:sz w:val="32"/>
          <w:szCs w:val="32"/>
        </w:rPr>
      </w:pPr>
      <w:r>
        <w:rPr>
          <w:rFonts w:hint="eastAsia" w:ascii="黑体" w:hAnsi="黑体" w:eastAsia="黑体"/>
          <w:sz w:val="32"/>
          <w:szCs w:val="32"/>
        </w:rPr>
        <w:t>五、工作要求</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“在社区举办100场社区剧团演出”是2024年闵行区为民办实事项目，各镇、街道、莘庄工业区要从社区</w:t>
      </w:r>
      <w:r>
        <w:rPr>
          <w:rFonts w:ascii="仿宋_GB2312" w:hAnsi="仿宋_GB2312" w:eastAsia="仿宋_GB2312" w:cs="仿宋_GB2312"/>
          <w:sz w:val="32"/>
          <w:szCs w:val="32"/>
        </w:rPr>
        <w:t>居民的</w:t>
      </w:r>
      <w:r>
        <w:rPr>
          <w:rFonts w:hint="eastAsia" w:ascii="仿宋_GB2312" w:hAnsi="仿宋_GB2312" w:eastAsia="仿宋_GB2312" w:cs="仿宋_GB2312"/>
          <w:sz w:val="32"/>
          <w:szCs w:val="32"/>
        </w:rPr>
        <w:t>需求出发，做好社区剧团演出的整体安排、宣传推广、</w:t>
      </w:r>
      <w:r>
        <w:rPr>
          <w:rFonts w:ascii="仿宋_GB2312" w:hAnsi="仿宋_GB2312" w:eastAsia="仿宋_GB2312" w:cs="仿宋_GB2312"/>
          <w:sz w:val="32"/>
          <w:szCs w:val="32"/>
        </w:rPr>
        <w:t>服务</w:t>
      </w:r>
      <w:r>
        <w:rPr>
          <w:rFonts w:hint="eastAsia" w:ascii="仿宋_GB2312" w:hAnsi="仿宋_GB2312" w:eastAsia="仿宋_GB2312" w:cs="仿宋_GB2312"/>
          <w:sz w:val="32"/>
          <w:szCs w:val="32"/>
        </w:rPr>
        <w:t>保障等工作，确保按时保质保量完成演出服务。</w:t>
      </w:r>
    </w:p>
    <w:p>
      <w:pPr>
        <w:keepNext w:val="0"/>
        <w:keepLines w:val="0"/>
        <w:pageBreakBefore w:val="0"/>
        <w:widowControl w:val="0"/>
        <w:kinsoku/>
        <w:overflowPunct/>
        <w:topLinePunct w:val="0"/>
        <w:autoSpaceDE/>
        <w:autoSpaceDN/>
        <w:bidi w:val="0"/>
        <w:spacing w:line="600" w:lineRule="exact"/>
        <w:ind w:firstLine="643" w:firstLineChars="200"/>
        <w:textAlignment w:val="auto"/>
        <w:rPr>
          <w:rFonts w:ascii="楷体_GB2312" w:hAnsi="宋体" w:eastAsia="楷体_GB2312"/>
          <w:b/>
          <w:sz w:val="32"/>
          <w:szCs w:val="32"/>
        </w:rPr>
      </w:pPr>
      <w:r>
        <w:rPr>
          <w:rFonts w:hint="eastAsia" w:ascii="楷体_GB2312" w:hAnsi="宋体" w:eastAsia="楷体_GB2312"/>
          <w:b/>
          <w:sz w:val="32"/>
          <w:szCs w:val="32"/>
        </w:rPr>
        <w:t>（一）统一形象视觉</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统一采用由区文化和旅游局设计并下发的闵行区社区剧团走亲服务主视觉。通过</w:t>
      </w:r>
      <w:r>
        <w:rPr>
          <w:rFonts w:ascii="仿宋_GB2312" w:hAnsi="仿宋_GB2312" w:eastAsia="仿宋_GB2312" w:cs="仿宋_GB2312"/>
          <w:sz w:val="32"/>
          <w:szCs w:val="32"/>
        </w:rPr>
        <w:t>电子屏</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易拉宝</w:t>
      </w:r>
      <w:r>
        <w:rPr>
          <w:rFonts w:hint="eastAsia" w:ascii="仿宋_GB2312" w:hAnsi="仿宋_GB2312" w:eastAsia="仿宋_GB2312" w:cs="仿宋_GB2312"/>
          <w:sz w:val="32"/>
          <w:szCs w:val="32"/>
        </w:rPr>
        <w:t>等</w:t>
      </w:r>
      <w:r>
        <w:rPr>
          <w:rFonts w:ascii="仿宋_GB2312" w:hAnsi="仿宋_GB2312" w:eastAsia="仿宋_GB2312" w:cs="仿宋_GB2312"/>
          <w:sz w:val="32"/>
          <w:szCs w:val="32"/>
        </w:rPr>
        <w:t>形式</w:t>
      </w:r>
      <w:r>
        <w:rPr>
          <w:rFonts w:hint="eastAsia" w:ascii="仿宋_GB2312" w:hAnsi="仿宋_GB2312" w:eastAsia="仿宋_GB2312" w:cs="仿宋_GB2312"/>
          <w:sz w:val="32"/>
          <w:szCs w:val="32"/>
        </w:rPr>
        <w:t>在演出</w:t>
      </w:r>
      <w:r>
        <w:rPr>
          <w:rFonts w:ascii="仿宋_GB2312" w:hAnsi="仿宋_GB2312" w:eastAsia="仿宋_GB2312" w:cs="仿宋_GB2312"/>
          <w:sz w:val="32"/>
          <w:szCs w:val="32"/>
        </w:rPr>
        <w:t>服务</w:t>
      </w:r>
      <w:r>
        <w:rPr>
          <w:rFonts w:hint="eastAsia" w:ascii="仿宋_GB2312" w:hAnsi="仿宋_GB2312" w:eastAsia="仿宋_GB2312" w:cs="仿宋_GB2312"/>
          <w:sz w:val="32"/>
          <w:szCs w:val="32"/>
        </w:rPr>
        <w:t>中呈现。</w:t>
      </w:r>
    </w:p>
    <w:p>
      <w:pPr>
        <w:keepNext w:val="0"/>
        <w:keepLines w:val="0"/>
        <w:pageBreakBefore w:val="0"/>
        <w:widowControl w:val="0"/>
        <w:kinsoku/>
        <w:overflowPunct/>
        <w:topLinePunct w:val="0"/>
        <w:autoSpaceDE/>
        <w:autoSpaceDN/>
        <w:bidi w:val="0"/>
        <w:spacing w:line="600" w:lineRule="exact"/>
        <w:ind w:firstLine="643" w:firstLineChars="200"/>
        <w:textAlignment w:val="auto"/>
        <w:rPr>
          <w:rFonts w:ascii="楷体_GB2312" w:hAnsi="宋体" w:eastAsia="楷体_GB2312"/>
          <w:b/>
          <w:sz w:val="32"/>
          <w:szCs w:val="32"/>
        </w:rPr>
      </w:pPr>
      <w:r>
        <w:rPr>
          <w:rFonts w:hint="eastAsia" w:ascii="楷体_GB2312" w:hAnsi="宋体" w:eastAsia="楷体_GB2312"/>
          <w:b/>
          <w:sz w:val="32"/>
          <w:szCs w:val="32"/>
        </w:rPr>
        <w:t>（二）确保工作实效</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项目为2024年闵行区人民政府为民办实事项目，各镇、街道、莘庄工业区应排定</w:t>
      </w:r>
      <w:r>
        <w:rPr>
          <w:rFonts w:ascii="仿宋_GB2312" w:hAnsi="仿宋_GB2312" w:eastAsia="仿宋_GB2312" w:cs="仿宋_GB2312"/>
          <w:sz w:val="32"/>
          <w:szCs w:val="32"/>
        </w:rPr>
        <w:t>全年演出计划</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加强</w:t>
      </w:r>
      <w:r>
        <w:rPr>
          <w:rFonts w:hint="eastAsia" w:ascii="仿宋_GB2312" w:hAnsi="仿宋_GB2312" w:eastAsia="仿宋_GB2312" w:cs="仿宋_GB2312"/>
          <w:sz w:val="32"/>
          <w:szCs w:val="32"/>
        </w:rPr>
        <w:t>过程</w:t>
      </w:r>
      <w:r>
        <w:rPr>
          <w:rFonts w:ascii="仿宋_GB2312" w:hAnsi="仿宋_GB2312" w:eastAsia="仿宋_GB2312" w:cs="仿宋_GB2312"/>
          <w:sz w:val="32"/>
          <w:szCs w:val="32"/>
        </w:rPr>
        <w:t>管理</w:t>
      </w:r>
      <w:r>
        <w:rPr>
          <w:rFonts w:hint="eastAsia" w:ascii="仿宋_GB2312" w:hAnsi="仿宋_GB2312" w:eastAsia="仿宋_GB2312" w:cs="仿宋_GB2312"/>
          <w:sz w:val="32"/>
          <w:szCs w:val="32"/>
        </w:rPr>
        <w:t>。提前</w:t>
      </w:r>
      <w:r>
        <w:rPr>
          <w:rFonts w:ascii="仿宋_GB2312" w:hAnsi="仿宋_GB2312" w:eastAsia="仿宋_GB2312" w:cs="仿宋_GB2312"/>
          <w:sz w:val="32"/>
          <w:szCs w:val="32"/>
        </w:rPr>
        <w:t>开展活动预告，</w:t>
      </w:r>
      <w:r>
        <w:rPr>
          <w:rFonts w:hint="eastAsia" w:ascii="仿宋_GB2312" w:hAnsi="仿宋_GB2312" w:eastAsia="仿宋_GB2312" w:cs="仿宋_GB2312"/>
          <w:sz w:val="32"/>
          <w:szCs w:val="32"/>
        </w:rPr>
        <w:t>每月25日前提交下月社区剧团演出服务计划、团队特色和节目信息；活动当天提交活动</w:t>
      </w:r>
      <w:r>
        <w:rPr>
          <w:rFonts w:ascii="仿宋_GB2312" w:hAnsi="仿宋_GB2312" w:eastAsia="仿宋_GB2312" w:cs="仿宋_GB2312"/>
          <w:sz w:val="32"/>
          <w:szCs w:val="32"/>
        </w:rPr>
        <w:t>总结及</w:t>
      </w:r>
      <w:r>
        <w:rPr>
          <w:rFonts w:hint="eastAsia" w:ascii="仿宋_GB2312" w:hAnsi="仿宋_GB2312" w:eastAsia="仿宋_GB2312" w:cs="仿宋_GB2312"/>
          <w:sz w:val="32"/>
          <w:szCs w:val="32"/>
        </w:rPr>
        <w:t>图片资料</w:t>
      </w:r>
      <w:r>
        <w:rPr>
          <w:rFonts w:ascii="仿宋_GB2312" w:hAnsi="仿宋_GB2312" w:eastAsia="仿宋_GB2312" w:cs="仿宋_GB2312"/>
          <w:sz w:val="32"/>
          <w:szCs w:val="32"/>
        </w:rPr>
        <w:t>，确保</w:t>
      </w:r>
      <w:r>
        <w:rPr>
          <w:rFonts w:hint="eastAsia" w:ascii="仿宋_GB2312" w:hAnsi="仿宋_GB2312" w:eastAsia="仿宋_GB2312" w:cs="仿宋_GB2312"/>
          <w:sz w:val="32"/>
          <w:szCs w:val="32"/>
        </w:rPr>
        <w:t>高效优质地完成全年演出任务。</w:t>
      </w: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overflowPunct/>
        <w:topLinePunct w:val="0"/>
        <w:autoSpaceDE/>
        <w:autoSpaceDN/>
        <w:bidi w:val="0"/>
        <w:spacing w:line="60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overflowPunct/>
        <w:topLinePunct w:val="0"/>
        <w:autoSpaceDE/>
        <w:autoSpaceDN/>
        <w:bidi w:val="0"/>
        <w:spacing w:line="600" w:lineRule="exact"/>
        <w:jc w:val="righ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闵行区文化和旅游局</w:t>
      </w:r>
    </w:p>
    <w:p>
      <w:pPr>
        <w:keepNext w:val="0"/>
        <w:keepLines w:val="0"/>
        <w:pageBreakBefore w:val="0"/>
        <w:widowControl w:val="0"/>
        <w:kinsoku/>
        <w:wordWrap w:val="0"/>
        <w:overflowPunct/>
        <w:topLinePunct w:val="0"/>
        <w:autoSpaceDE/>
        <w:autoSpaceDN/>
        <w:bidi w:val="0"/>
        <w:spacing w:line="600" w:lineRule="exact"/>
        <w:jc w:val="righ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2024年2月</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 xml:space="preserve">日 </w:t>
      </w:r>
    </w:p>
    <w:sectPr>
      <w:footerReference r:id="rId3" w:type="default"/>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方正书宋_GBK">
    <w:altName w:val="微软雅黑"/>
    <w:panose1 w:val="00000000000000000000"/>
    <w:charset w:val="00"/>
    <w:family w:val="auto"/>
    <w:pitch w:val="default"/>
    <w:sig w:usb0="00000000" w:usb1="00000000" w:usb2="00000000" w:usb3="00000000" w:csb0="00000000" w:csb1="00000000"/>
  </w:font>
  <w:font w:name="方正小标宋简体">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1</w:t>
    </w:r>
    <w:r>
      <w:rPr>
        <w:rFonts w:hint="eastAsia" w:ascii="宋体" w:hAnsi="宋体" w:eastAsia="宋体" w:cs="宋体"/>
        <w:sz w:val="28"/>
        <w:szCs w:val="28"/>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EzYWE2YThkNzg1Y2EyNGMyYmI5MGI5ZGIwYzE0YTUifQ=="/>
  </w:docVars>
  <w:rsids>
    <w:rsidRoot w:val="00D52FAD"/>
    <w:rsid w:val="00042E66"/>
    <w:rsid w:val="0004401D"/>
    <w:rsid w:val="00083011"/>
    <w:rsid w:val="00086994"/>
    <w:rsid w:val="000D21AA"/>
    <w:rsid w:val="0013622E"/>
    <w:rsid w:val="00143332"/>
    <w:rsid w:val="0016022F"/>
    <w:rsid w:val="00174EAD"/>
    <w:rsid w:val="00187BB4"/>
    <w:rsid w:val="001C4A3D"/>
    <w:rsid w:val="0024341E"/>
    <w:rsid w:val="00260D27"/>
    <w:rsid w:val="002970E6"/>
    <w:rsid w:val="00297A0D"/>
    <w:rsid w:val="002A48C0"/>
    <w:rsid w:val="003014ED"/>
    <w:rsid w:val="00324C0D"/>
    <w:rsid w:val="00367F83"/>
    <w:rsid w:val="0037644E"/>
    <w:rsid w:val="00384B9D"/>
    <w:rsid w:val="003A5450"/>
    <w:rsid w:val="003A74EF"/>
    <w:rsid w:val="003C0926"/>
    <w:rsid w:val="003C7D83"/>
    <w:rsid w:val="003D0776"/>
    <w:rsid w:val="003D238F"/>
    <w:rsid w:val="0041179C"/>
    <w:rsid w:val="00421E3E"/>
    <w:rsid w:val="004461E2"/>
    <w:rsid w:val="0048601C"/>
    <w:rsid w:val="004E748F"/>
    <w:rsid w:val="00560D87"/>
    <w:rsid w:val="00562AE1"/>
    <w:rsid w:val="0056435E"/>
    <w:rsid w:val="005822E7"/>
    <w:rsid w:val="005834F9"/>
    <w:rsid w:val="00604BE2"/>
    <w:rsid w:val="0063649A"/>
    <w:rsid w:val="0069468A"/>
    <w:rsid w:val="006A4277"/>
    <w:rsid w:val="006D5466"/>
    <w:rsid w:val="006E2213"/>
    <w:rsid w:val="006F7F44"/>
    <w:rsid w:val="00700919"/>
    <w:rsid w:val="0071014A"/>
    <w:rsid w:val="00731F3E"/>
    <w:rsid w:val="007511E5"/>
    <w:rsid w:val="00780DAE"/>
    <w:rsid w:val="007A695A"/>
    <w:rsid w:val="007D29F1"/>
    <w:rsid w:val="008203DC"/>
    <w:rsid w:val="00840DD9"/>
    <w:rsid w:val="008922BF"/>
    <w:rsid w:val="008A6969"/>
    <w:rsid w:val="008E2A9E"/>
    <w:rsid w:val="008E7189"/>
    <w:rsid w:val="0091476C"/>
    <w:rsid w:val="009519B3"/>
    <w:rsid w:val="009758CD"/>
    <w:rsid w:val="009E099F"/>
    <w:rsid w:val="009E5E13"/>
    <w:rsid w:val="00A27F8B"/>
    <w:rsid w:val="00A969C3"/>
    <w:rsid w:val="00B02097"/>
    <w:rsid w:val="00B07006"/>
    <w:rsid w:val="00BA5A46"/>
    <w:rsid w:val="00BB67FB"/>
    <w:rsid w:val="00BC7BB4"/>
    <w:rsid w:val="00BF63FE"/>
    <w:rsid w:val="00C50C97"/>
    <w:rsid w:val="00CC01C8"/>
    <w:rsid w:val="00D52FAD"/>
    <w:rsid w:val="00D6287C"/>
    <w:rsid w:val="00D831DC"/>
    <w:rsid w:val="00DA12B3"/>
    <w:rsid w:val="00DA3D4A"/>
    <w:rsid w:val="00DF7F14"/>
    <w:rsid w:val="00E2309F"/>
    <w:rsid w:val="00E2470A"/>
    <w:rsid w:val="00E350AD"/>
    <w:rsid w:val="00E761C1"/>
    <w:rsid w:val="00EA73C4"/>
    <w:rsid w:val="00EB3646"/>
    <w:rsid w:val="00EC25AF"/>
    <w:rsid w:val="00F00075"/>
    <w:rsid w:val="00FB28B5"/>
    <w:rsid w:val="00FB3276"/>
    <w:rsid w:val="01001B5E"/>
    <w:rsid w:val="015A3576"/>
    <w:rsid w:val="01D95F0B"/>
    <w:rsid w:val="01DA0EEE"/>
    <w:rsid w:val="026E6F9B"/>
    <w:rsid w:val="02801CEC"/>
    <w:rsid w:val="0287337D"/>
    <w:rsid w:val="02E338F3"/>
    <w:rsid w:val="034B73A8"/>
    <w:rsid w:val="03616208"/>
    <w:rsid w:val="03956A17"/>
    <w:rsid w:val="04D550AF"/>
    <w:rsid w:val="06285E98"/>
    <w:rsid w:val="06571155"/>
    <w:rsid w:val="067E2CDC"/>
    <w:rsid w:val="06DF4184"/>
    <w:rsid w:val="070752C8"/>
    <w:rsid w:val="07C77F71"/>
    <w:rsid w:val="07E01B6C"/>
    <w:rsid w:val="089D7C92"/>
    <w:rsid w:val="09835F85"/>
    <w:rsid w:val="09BC7A82"/>
    <w:rsid w:val="09EF5AE9"/>
    <w:rsid w:val="0A3B3C06"/>
    <w:rsid w:val="0A9B3D6C"/>
    <w:rsid w:val="0AFB4DDD"/>
    <w:rsid w:val="0B9A2932"/>
    <w:rsid w:val="0CA32D23"/>
    <w:rsid w:val="0CB4328F"/>
    <w:rsid w:val="0CCE2B10"/>
    <w:rsid w:val="0D7A1008"/>
    <w:rsid w:val="0DBE0DD6"/>
    <w:rsid w:val="0DC45C7F"/>
    <w:rsid w:val="0F595229"/>
    <w:rsid w:val="0F6C6610"/>
    <w:rsid w:val="0FDB26AE"/>
    <w:rsid w:val="0FE67F22"/>
    <w:rsid w:val="12524A3A"/>
    <w:rsid w:val="127C6797"/>
    <w:rsid w:val="12B55EEF"/>
    <w:rsid w:val="12E21F67"/>
    <w:rsid w:val="138C54D3"/>
    <w:rsid w:val="13C4740A"/>
    <w:rsid w:val="13F3470F"/>
    <w:rsid w:val="14CF33D4"/>
    <w:rsid w:val="157F0C1B"/>
    <w:rsid w:val="15EF3AF7"/>
    <w:rsid w:val="164B6AF4"/>
    <w:rsid w:val="16655F19"/>
    <w:rsid w:val="179E57D5"/>
    <w:rsid w:val="17B94F0F"/>
    <w:rsid w:val="17F6199C"/>
    <w:rsid w:val="189218F4"/>
    <w:rsid w:val="18F11F9F"/>
    <w:rsid w:val="18F54DF5"/>
    <w:rsid w:val="19B1359D"/>
    <w:rsid w:val="1AEA48DA"/>
    <w:rsid w:val="1AEF01E6"/>
    <w:rsid w:val="1B281F85"/>
    <w:rsid w:val="1B2D50FE"/>
    <w:rsid w:val="1B7021DA"/>
    <w:rsid w:val="1C1B3618"/>
    <w:rsid w:val="1C2344FA"/>
    <w:rsid w:val="1CBD5448"/>
    <w:rsid w:val="1D1A7884"/>
    <w:rsid w:val="1D321C15"/>
    <w:rsid w:val="1DF42C49"/>
    <w:rsid w:val="1E2525CA"/>
    <w:rsid w:val="1EC65D3D"/>
    <w:rsid w:val="1EEA541B"/>
    <w:rsid w:val="1FAE4963"/>
    <w:rsid w:val="1FBA6F24"/>
    <w:rsid w:val="20832A86"/>
    <w:rsid w:val="20CC172D"/>
    <w:rsid w:val="211C39FF"/>
    <w:rsid w:val="216B6728"/>
    <w:rsid w:val="2197751D"/>
    <w:rsid w:val="22124FE4"/>
    <w:rsid w:val="22412CD8"/>
    <w:rsid w:val="25290567"/>
    <w:rsid w:val="25E76469"/>
    <w:rsid w:val="2718270C"/>
    <w:rsid w:val="272F38BE"/>
    <w:rsid w:val="27D458A7"/>
    <w:rsid w:val="27FB162B"/>
    <w:rsid w:val="284321AC"/>
    <w:rsid w:val="28690ED7"/>
    <w:rsid w:val="28885BDA"/>
    <w:rsid w:val="28B7021D"/>
    <w:rsid w:val="291861CB"/>
    <w:rsid w:val="29250430"/>
    <w:rsid w:val="2996630C"/>
    <w:rsid w:val="2B1F0BDE"/>
    <w:rsid w:val="2CF61666"/>
    <w:rsid w:val="2E3D58F0"/>
    <w:rsid w:val="2E9A0002"/>
    <w:rsid w:val="2F25260C"/>
    <w:rsid w:val="2FBF6C12"/>
    <w:rsid w:val="2FED2BB4"/>
    <w:rsid w:val="30930524"/>
    <w:rsid w:val="30E127D5"/>
    <w:rsid w:val="314A65E0"/>
    <w:rsid w:val="315471D8"/>
    <w:rsid w:val="316025BD"/>
    <w:rsid w:val="32A268AE"/>
    <w:rsid w:val="348A460F"/>
    <w:rsid w:val="356524A2"/>
    <w:rsid w:val="35F36A03"/>
    <w:rsid w:val="36E118B7"/>
    <w:rsid w:val="37740E9C"/>
    <w:rsid w:val="37F012DD"/>
    <w:rsid w:val="38091EFE"/>
    <w:rsid w:val="38392C84"/>
    <w:rsid w:val="38E56968"/>
    <w:rsid w:val="394538AA"/>
    <w:rsid w:val="395B4E7C"/>
    <w:rsid w:val="39CA3733"/>
    <w:rsid w:val="39E12604"/>
    <w:rsid w:val="3C293808"/>
    <w:rsid w:val="3CAE5A6F"/>
    <w:rsid w:val="3D595B76"/>
    <w:rsid w:val="3DCF0187"/>
    <w:rsid w:val="3E556C1E"/>
    <w:rsid w:val="3F6E143F"/>
    <w:rsid w:val="405E2302"/>
    <w:rsid w:val="425B7C9B"/>
    <w:rsid w:val="431379ED"/>
    <w:rsid w:val="44734681"/>
    <w:rsid w:val="44D108E9"/>
    <w:rsid w:val="45434C21"/>
    <w:rsid w:val="45A030CC"/>
    <w:rsid w:val="463D7DE3"/>
    <w:rsid w:val="47BD685E"/>
    <w:rsid w:val="488A1C02"/>
    <w:rsid w:val="490C1736"/>
    <w:rsid w:val="49507E2D"/>
    <w:rsid w:val="49B9526D"/>
    <w:rsid w:val="49ED6D3B"/>
    <w:rsid w:val="4AE72885"/>
    <w:rsid w:val="4B960487"/>
    <w:rsid w:val="4C080E93"/>
    <w:rsid w:val="4CBF69F7"/>
    <w:rsid w:val="4DF07E31"/>
    <w:rsid w:val="4E3B0623"/>
    <w:rsid w:val="4E444595"/>
    <w:rsid w:val="4E4D216E"/>
    <w:rsid w:val="4E57106C"/>
    <w:rsid w:val="4EEF633A"/>
    <w:rsid w:val="4F4C1097"/>
    <w:rsid w:val="4F5D5C94"/>
    <w:rsid w:val="501871CB"/>
    <w:rsid w:val="50461F8A"/>
    <w:rsid w:val="51583D23"/>
    <w:rsid w:val="526B5CD8"/>
    <w:rsid w:val="52926953"/>
    <w:rsid w:val="52CA4EDC"/>
    <w:rsid w:val="53381A14"/>
    <w:rsid w:val="54060894"/>
    <w:rsid w:val="559A5522"/>
    <w:rsid w:val="566C0ED4"/>
    <w:rsid w:val="56AE232B"/>
    <w:rsid w:val="56BA5480"/>
    <w:rsid w:val="56DF0A43"/>
    <w:rsid w:val="56E513C4"/>
    <w:rsid w:val="579E60D3"/>
    <w:rsid w:val="57B27F05"/>
    <w:rsid w:val="57E24C8E"/>
    <w:rsid w:val="581B0AD4"/>
    <w:rsid w:val="5824731E"/>
    <w:rsid w:val="588A13FC"/>
    <w:rsid w:val="58EC00BC"/>
    <w:rsid w:val="59272C9B"/>
    <w:rsid w:val="599B159A"/>
    <w:rsid w:val="5A512369"/>
    <w:rsid w:val="5AA705B3"/>
    <w:rsid w:val="5AE66844"/>
    <w:rsid w:val="5AF54CD9"/>
    <w:rsid w:val="5B1769FD"/>
    <w:rsid w:val="5B2829B8"/>
    <w:rsid w:val="5B490AD6"/>
    <w:rsid w:val="5BA74539"/>
    <w:rsid w:val="5BBC04F1"/>
    <w:rsid w:val="5C341831"/>
    <w:rsid w:val="5D245401"/>
    <w:rsid w:val="5D716BFF"/>
    <w:rsid w:val="5E507999"/>
    <w:rsid w:val="5FCB425A"/>
    <w:rsid w:val="61D07906"/>
    <w:rsid w:val="61E6537B"/>
    <w:rsid w:val="621A5F31"/>
    <w:rsid w:val="621C0D9D"/>
    <w:rsid w:val="62A07F3E"/>
    <w:rsid w:val="630E2DDB"/>
    <w:rsid w:val="632B6D1F"/>
    <w:rsid w:val="644F7208"/>
    <w:rsid w:val="648B69EF"/>
    <w:rsid w:val="66304E17"/>
    <w:rsid w:val="67521ACB"/>
    <w:rsid w:val="67774C12"/>
    <w:rsid w:val="67EE6D37"/>
    <w:rsid w:val="68032580"/>
    <w:rsid w:val="688908DB"/>
    <w:rsid w:val="68B61146"/>
    <w:rsid w:val="69937DD2"/>
    <w:rsid w:val="69A86BF7"/>
    <w:rsid w:val="69AE677E"/>
    <w:rsid w:val="6A2F63BB"/>
    <w:rsid w:val="6B39476E"/>
    <w:rsid w:val="6B65663B"/>
    <w:rsid w:val="6BD44496"/>
    <w:rsid w:val="6CE86810"/>
    <w:rsid w:val="6CFF3EC9"/>
    <w:rsid w:val="6D454232"/>
    <w:rsid w:val="6D5120B3"/>
    <w:rsid w:val="6DED0DE4"/>
    <w:rsid w:val="6E391799"/>
    <w:rsid w:val="6E6C0EB5"/>
    <w:rsid w:val="6F1E7F02"/>
    <w:rsid w:val="6F2D7AE6"/>
    <w:rsid w:val="6F9E54E7"/>
    <w:rsid w:val="70F07A52"/>
    <w:rsid w:val="71BE3C1E"/>
    <w:rsid w:val="71EB2AA5"/>
    <w:rsid w:val="724C45DB"/>
    <w:rsid w:val="72C40B25"/>
    <w:rsid w:val="73423314"/>
    <w:rsid w:val="734C0E16"/>
    <w:rsid w:val="744C3764"/>
    <w:rsid w:val="74D67285"/>
    <w:rsid w:val="77963B82"/>
    <w:rsid w:val="78BB2A2B"/>
    <w:rsid w:val="795919F3"/>
    <w:rsid w:val="79D93F3F"/>
    <w:rsid w:val="7BE40DE4"/>
    <w:rsid w:val="7CC145C3"/>
    <w:rsid w:val="7D345250"/>
    <w:rsid w:val="7E191B65"/>
    <w:rsid w:val="7F5823A4"/>
    <w:rsid w:val="7FB97D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alloon Text"/>
    <w:basedOn w:val="1"/>
    <w:link w:val="10"/>
    <w:autoRedefine/>
    <w:semiHidden/>
    <w:unhideWhenUsed/>
    <w:qFormat/>
    <w:uiPriority w:val="99"/>
    <w:rPr>
      <w:sz w:val="18"/>
      <w:szCs w:val="18"/>
    </w:rPr>
  </w:style>
  <w:style w:type="paragraph" w:styleId="3">
    <w:name w:val="footer"/>
    <w:basedOn w:val="1"/>
    <w:link w:val="9"/>
    <w:autoRedefine/>
    <w:unhideWhenUsed/>
    <w:qFormat/>
    <w:uiPriority w:val="99"/>
    <w:pPr>
      <w:tabs>
        <w:tab w:val="center" w:pos="4153"/>
        <w:tab w:val="right" w:pos="8306"/>
      </w:tabs>
      <w:snapToGrid w:val="0"/>
      <w:jc w:val="left"/>
    </w:pPr>
    <w:rPr>
      <w:sz w:val="18"/>
      <w:szCs w:val="18"/>
    </w:rPr>
  </w:style>
  <w:style w:type="paragraph" w:styleId="4">
    <w:name w:val="header"/>
    <w:basedOn w:val="1"/>
    <w:link w:val="8"/>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4"/>
    <w:autoRedefine/>
    <w:qFormat/>
    <w:uiPriority w:val="99"/>
    <w:rPr>
      <w:sz w:val="18"/>
      <w:szCs w:val="18"/>
    </w:rPr>
  </w:style>
  <w:style w:type="character" w:customStyle="1" w:styleId="9">
    <w:name w:val="页脚 Char"/>
    <w:basedOn w:val="7"/>
    <w:link w:val="3"/>
    <w:autoRedefine/>
    <w:qFormat/>
    <w:uiPriority w:val="99"/>
    <w:rPr>
      <w:sz w:val="18"/>
      <w:szCs w:val="18"/>
    </w:rPr>
  </w:style>
  <w:style w:type="character" w:customStyle="1" w:styleId="10">
    <w:name w:val="批注框文本 Char"/>
    <w:basedOn w:val="7"/>
    <w:link w:val="2"/>
    <w:autoRedefine/>
    <w:semiHidden/>
    <w:qFormat/>
    <w:uiPriority w:val="99"/>
    <w:rPr>
      <w:kern w:val="2"/>
      <w:sz w:val="18"/>
      <w:szCs w:val="18"/>
    </w:rPr>
  </w:style>
  <w:style w:type="character" w:customStyle="1" w:styleId="11">
    <w:name w:val="font71"/>
    <w:basedOn w:val="7"/>
    <w:autoRedefine/>
    <w:qFormat/>
    <w:uiPriority w:val="0"/>
    <w:rPr>
      <w:rFonts w:hint="eastAsia" w:ascii="宋体" w:hAnsi="宋体" w:eastAsia="宋体" w:cs="宋体"/>
      <w:b/>
      <w:bCs/>
      <w:color w:val="000000"/>
      <w:sz w:val="24"/>
      <w:szCs w:val="24"/>
      <w:u w:val="none"/>
    </w:rPr>
  </w:style>
  <w:style w:type="character" w:customStyle="1" w:styleId="12">
    <w:name w:val="font111"/>
    <w:basedOn w:val="7"/>
    <w:autoRedefine/>
    <w:qFormat/>
    <w:uiPriority w:val="0"/>
    <w:rPr>
      <w:rFonts w:hint="eastAsia" w:ascii="宋体" w:hAnsi="宋体" w:eastAsia="宋体" w:cs="宋体"/>
      <w:b/>
      <w:bCs/>
      <w:color w:val="000000"/>
      <w:sz w:val="24"/>
      <w:szCs w:val="24"/>
      <w:u w:val="none"/>
      <w:vertAlign w:val="superscript"/>
    </w:rPr>
  </w:style>
  <w:style w:type="character" w:customStyle="1" w:styleId="13">
    <w:name w:val="font12"/>
    <w:basedOn w:val="7"/>
    <w:autoRedefine/>
    <w:qFormat/>
    <w:uiPriority w:val="0"/>
    <w:rPr>
      <w:rFonts w:hint="eastAsia" w:ascii="宋体" w:hAnsi="宋体" w:eastAsia="宋体" w:cs="宋体"/>
      <w:color w:val="000000"/>
      <w:sz w:val="22"/>
      <w:szCs w:val="22"/>
      <w:u w:val="none"/>
    </w:rPr>
  </w:style>
  <w:style w:type="character" w:customStyle="1" w:styleId="14">
    <w:name w:val="font01"/>
    <w:basedOn w:val="7"/>
    <w:autoRedefine/>
    <w:qFormat/>
    <w:uiPriority w:val="0"/>
    <w:rPr>
      <w:rFonts w:hint="default" w:ascii="Tahoma" w:hAnsi="Tahoma" w:eastAsia="Tahoma" w:cs="Tahoma"/>
      <w:color w:val="000000"/>
      <w:sz w:val="22"/>
      <w:szCs w:val="22"/>
      <w:u w:val="none"/>
    </w:rPr>
  </w:style>
  <w:style w:type="character" w:customStyle="1" w:styleId="15">
    <w:name w:val="font91"/>
    <w:basedOn w:val="7"/>
    <w:autoRedefine/>
    <w:qFormat/>
    <w:uiPriority w:val="0"/>
    <w:rPr>
      <w:rFonts w:hint="default" w:ascii="方正书宋_GBK" w:hAnsi="方正书宋_GBK" w:eastAsia="方正书宋_GBK" w:cs="方正书宋_GBK"/>
      <w:color w:val="000000"/>
      <w:sz w:val="22"/>
      <w:szCs w:val="22"/>
      <w:u w:val="none"/>
    </w:rPr>
  </w:style>
  <w:style w:type="paragraph" w:styleId="16">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268</Words>
  <Characters>1529</Characters>
  <Lines>12</Lines>
  <Paragraphs>3</Paragraphs>
  <TotalTime>96</TotalTime>
  <ScaleCrop>false</ScaleCrop>
  <LinksUpToDate>false</LinksUpToDate>
  <CharactersWithSpaces>1794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2024-02-18T09:34:00Z</dcterms:created>
  <dc:creator>孙卉</dc:creator>
  <cp:lastModifiedBy>糖醋排骨大法好</cp:lastModifiedBy>
  <cp:lastPrinted>2024-02-21T09:05:00Z</cp:lastPrinted>
  <dcterms:modified xsi:type="dcterms:W3CDTF">2024-02-21T09:14:27Z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D58A45B1257748FDA32F72CF83DE0B86_13</vt:lpwstr>
  </property>
</Properties>
</file>