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before="313" w:beforeLines="100" w:line="560" w:lineRule="exact"/>
        <w:jc w:val="center"/>
        <w:textAlignment w:val="auto"/>
        <w:rPr>
          <w:rFonts w:hint="eastAsia" w:ascii="华文中宋" w:hAnsi="华文中宋" w:eastAsia="华文中宋" w:cs="华文中宋"/>
          <w:color w:val="000000" w:themeColor="text1"/>
          <w:sz w:val="36"/>
          <w:szCs w:val="36"/>
          <w:lang w:val="en-US" w:eastAsia="zh-CN"/>
          <w14:textFill>
            <w14:solidFill>
              <w14:schemeClr w14:val="tx1"/>
            </w14:solidFill>
          </w14:textFill>
        </w:rPr>
      </w:pPr>
      <w:r>
        <w:rPr>
          <w:rFonts w:hint="eastAsia" w:ascii="华文中宋" w:hAnsi="华文中宋" w:eastAsia="华文中宋" w:cs="华文中宋"/>
          <w:color w:val="000000" w:themeColor="text1"/>
          <w:sz w:val="36"/>
          <w:szCs w:val="36"/>
          <w:lang w:val="en-US" w:eastAsia="zh-CN"/>
          <w14:textFill>
            <w14:solidFill>
              <w14:schemeClr w14:val="tx1"/>
            </w14:solidFill>
          </w14:textFill>
        </w:rPr>
        <w:t>闵行区社区卫生惠民服务“789”工程实施方案（试行）</w:t>
      </w:r>
    </w:p>
    <w:p>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313" w:afterLines="100" w:line="560" w:lineRule="exact"/>
        <w:jc w:val="center"/>
        <w:textAlignment w:val="auto"/>
        <w:rPr>
          <w:rFonts w:hint="eastAsia" w:ascii="楷体" w:hAnsi="楷体" w:eastAsia="楷体" w:cs="楷体"/>
          <w:color w:val="000000" w:themeColor="text1"/>
          <w:sz w:val="30"/>
          <w:szCs w:val="30"/>
          <w:lang w:val="en-US" w:eastAsia="zh-CN"/>
          <w14:textFill>
            <w14:solidFill>
              <w14:schemeClr w14:val="tx1"/>
            </w14:solidFill>
          </w14:textFill>
        </w:rPr>
      </w:pPr>
      <w:bookmarkStart w:id="0" w:name="_GoBack"/>
      <w:r>
        <w:rPr>
          <w:rFonts w:hint="eastAsia" w:ascii="楷体" w:hAnsi="楷体" w:eastAsia="楷体" w:cs="楷体"/>
          <w:color w:val="000000" w:themeColor="text1"/>
          <w:sz w:val="30"/>
          <w:szCs w:val="30"/>
          <w:lang w:val="en-US" w:eastAsia="zh-CN"/>
          <w14:textFill>
            <w14:solidFill>
              <w14:schemeClr w14:val="tx1"/>
            </w14:solidFill>
          </w14:textFill>
        </w:rPr>
        <w:t>（征求意见稿）</w:t>
      </w:r>
    </w:p>
    <w:bookmarkEnd w:id="0"/>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为全面深化《国家卫生健康委办公厅关于印发〈基层卫生健康便民惠民服务举措的通知〉》（国卫办基层发〔2023〕7 号）文件精神，认真贯彻落实党中央、国务院关于全面推进健康中国建设，实施积极应对人口老龄化国家战略的重大决策部署，加强老年健康服务工作，提升广大老年人的获得感、幸福感、安全感。结合闵行区实际工作，进一步强化70岁及以上老年人医疗服务供给，提供便捷、贴心的医疗服务，特制定此实施方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both"/>
        <w:textAlignment w:val="auto"/>
        <w:rPr>
          <w:rFonts w:hint="eastAsia" w:ascii="黑体" w:hAnsi="黑体" w:eastAsia="黑体" w:cs="黑体"/>
          <w:color w:val="000000" w:themeColor="text1"/>
          <w:sz w:val="30"/>
          <w:szCs w:val="30"/>
          <w:lang w:val="en-US" w:eastAsia="zh-CN"/>
          <w14:textFill>
            <w14:solidFill>
              <w14:schemeClr w14:val="tx1"/>
            </w14:solidFill>
          </w14:textFill>
        </w:rPr>
      </w:pPr>
      <w:r>
        <w:rPr>
          <w:rFonts w:hint="eastAsia" w:ascii="黑体" w:hAnsi="黑体" w:eastAsia="黑体" w:cs="黑体"/>
          <w:color w:val="000000" w:themeColor="text1"/>
          <w:sz w:val="30"/>
          <w:szCs w:val="30"/>
          <w:lang w:val="en-US" w:eastAsia="zh-CN"/>
          <w14:textFill>
            <w14:solidFill>
              <w14:schemeClr w14:val="tx1"/>
            </w14:solidFill>
          </w14:textFill>
        </w:rPr>
        <w:t>一、指导思想</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以习近平新时代中国特色社会主义思想为指导，深入贯彻习近平总书记关于老龄工作的重要指示，全面落实“老年人的就医养老，是家事也是国事，大家要共同努力，把这些事办好”的讲话精神，坚持以人民健康为根本出发点和落脚点，以满足老年人群多元化、个性化的健康需求为核心目标，深入推动闵行区社区卫生事业的全面进步，通过不断优化服务流程、提升服务质量、创新服务模式，切实提高老年健康服务质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both"/>
        <w:textAlignment w:val="auto"/>
        <w:rPr>
          <w:rFonts w:hint="default" w:ascii="黑体" w:hAnsi="黑体" w:eastAsia="黑体" w:cs="黑体"/>
          <w:color w:val="000000" w:themeColor="text1"/>
          <w:sz w:val="30"/>
          <w:szCs w:val="30"/>
          <w:lang w:val="en-US" w:eastAsia="zh-CN"/>
          <w14:textFill>
            <w14:solidFill>
              <w14:schemeClr w14:val="tx1"/>
            </w14:solidFill>
          </w14:textFill>
        </w:rPr>
      </w:pPr>
      <w:r>
        <w:rPr>
          <w:rFonts w:hint="eastAsia" w:ascii="黑体" w:hAnsi="黑体" w:eastAsia="黑体" w:cs="黑体"/>
          <w:color w:val="000000" w:themeColor="text1"/>
          <w:sz w:val="30"/>
          <w:szCs w:val="30"/>
          <w:lang w:val="en-US" w:eastAsia="zh-CN"/>
          <w14:textFill>
            <w14:solidFill>
              <w14:schemeClr w14:val="tx1"/>
            </w14:solidFill>
          </w14:textFill>
        </w:rPr>
        <w:t>二、服务对象</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“789”工程，针对70岁及以上、80岁及以上、90岁及以上老年人不同的身心状态、疾病状况分类提供便捷、连续、可及的医疗卫生服务。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both"/>
        <w:textAlignment w:val="auto"/>
        <w:rPr>
          <w:rFonts w:hint="eastAsia" w:ascii="黑体" w:hAnsi="黑体" w:eastAsia="黑体" w:cs="黑体"/>
          <w:color w:val="000000" w:themeColor="text1"/>
          <w:sz w:val="30"/>
          <w:szCs w:val="30"/>
          <w:lang w:val="en-US" w:eastAsia="zh-CN"/>
          <w14:textFill>
            <w14:solidFill>
              <w14:schemeClr w14:val="tx1"/>
            </w14:solidFill>
          </w14:textFill>
        </w:rPr>
      </w:pPr>
      <w:r>
        <w:rPr>
          <w:rFonts w:hint="eastAsia" w:ascii="黑体" w:hAnsi="黑体" w:eastAsia="黑体" w:cs="黑体"/>
          <w:color w:val="000000" w:themeColor="text1"/>
          <w:sz w:val="30"/>
          <w:szCs w:val="30"/>
          <w:lang w:val="en-US" w:eastAsia="zh-CN"/>
          <w14:textFill>
            <w14:solidFill>
              <w14:schemeClr w14:val="tx1"/>
            </w14:solidFill>
          </w14:textFill>
        </w:rPr>
        <w:t>三、服务举措</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制定《“789”工程健康惠民服务包》（附件1），为有上门需求的老年人群提供一体化、全方位的医疗服务：为70岁及以上老年人提供便捷就医包，实现“70”配药不出居委；为80岁及以上老年人提供上门关怀包，实现“80”季度送医上门；为90岁及以上老年人提供安养照护包，实现“90”无缝医养结合。</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黑体" w:hAnsi="黑体" w:eastAsia="黑体" w:cs="黑体"/>
          <w:color w:val="000000" w:themeColor="text1"/>
          <w:sz w:val="30"/>
          <w:szCs w:val="30"/>
          <w:lang w:val="en-US" w:eastAsia="zh-CN"/>
          <w14:textFill>
            <w14:solidFill>
              <w14:schemeClr w14:val="tx1"/>
            </w14:solidFill>
          </w14:textFill>
        </w:rPr>
      </w:pPr>
      <w:r>
        <w:rPr>
          <w:rFonts w:hint="eastAsia" w:ascii="黑体" w:hAnsi="黑体" w:eastAsia="黑体" w:cs="黑体"/>
          <w:color w:val="000000" w:themeColor="text1"/>
          <w:sz w:val="30"/>
          <w:szCs w:val="30"/>
          <w:lang w:val="en-US" w:eastAsia="zh-CN"/>
          <w14:textFill>
            <w14:solidFill>
              <w14:schemeClr w14:val="tx1"/>
            </w14:solidFill>
          </w14:textFill>
        </w:rPr>
        <w:t>四、服务要求</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楷体" w:hAnsi="楷体" w:eastAsia="楷体" w:cs="楷体"/>
          <w:b w:val="0"/>
          <w:bCs w:val="0"/>
          <w:color w:val="000000" w:themeColor="text1"/>
          <w:sz w:val="30"/>
          <w:szCs w:val="30"/>
          <w:lang w:val="en-US" w:eastAsia="zh-CN"/>
          <w14:textFill>
            <w14:solidFill>
              <w14:schemeClr w14:val="tx1"/>
            </w14:solidFill>
          </w14:textFill>
        </w:rPr>
      </w:pPr>
      <w:r>
        <w:rPr>
          <w:rFonts w:hint="eastAsia" w:ascii="楷体" w:hAnsi="楷体" w:eastAsia="楷体" w:cs="楷体"/>
          <w:b w:val="0"/>
          <w:bCs w:val="0"/>
          <w:color w:val="000000" w:themeColor="text1"/>
          <w:sz w:val="30"/>
          <w:szCs w:val="30"/>
          <w:lang w:val="en-US" w:eastAsia="zh-CN"/>
          <w14:textFill>
            <w14:solidFill>
              <w14:schemeClr w14:val="tx1"/>
            </w14:solidFill>
          </w14:textFill>
        </w:rPr>
        <w:t>1.机构资质</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基层医疗卫生机构应依法取得医疗机构执业许可或在卫生健康行政部门（含中医药主管部门）备案。开展居家医疗服务的医疗机构应具有与所开展居家医疗服务相应的诊疗科目并已具备家庭病床、巡诊等服务方式。紧密型城市医疗集团和医联体合作单位可作为外部支撑，提供技术支持和业务指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楷体" w:hAnsi="楷体" w:eastAsia="楷体" w:cs="楷体"/>
          <w:b w:val="0"/>
          <w:bCs w:val="0"/>
          <w:color w:val="000000" w:themeColor="text1"/>
          <w:sz w:val="30"/>
          <w:szCs w:val="30"/>
          <w:lang w:val="en-US" w:eastAsia="zh-CN"/>
          <w14:textFill>
            <w14:solidFill>
              <w14:schemeClr w14:val="tx1"/>
            </w14:solidFill>
          </w14:textFill>
        </w:rPr>
      </w:pPr>
      <w:r>
        <w:rPr>
          <w:rFonts w:hint="eastAsia" w:ascii="楷体" w:hAnsi="楷体" w:eastAsia="楷体" w:cs="楷体"/>
          <w:b w:val="0"/>
          <w:bCs w:val="0"/>
          <w:color w:val="000000" w:themeColor="text1"/>
          <w:sz w:val="30"/>
          <w:szCs w:val="30"/>
          <w:lang w:val="en-US" w:eastAsia="zh-CN"/>
          <w14:textFill>
            <w14:solidFill>
              <w14:schemeClr w14:val="tx1"/>
            </w14:solidFill>
          </w14:textFill>
        </w:rPr>
        <w:t>2.服务团队</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服务主体为家庭医生团队，原则上包括家庭医生、家庭医生助理、护士、康复师等专业技术人员，提供医疗、护理及康复指导等服务。团队成员应当具有相关部门颁发的执业资格证书或相应的专业技术职称。</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楷体" w:hAnsi="楷体" w:eastAsia="楷体" w:cs="楷体"/>
          <w:b w:val="0"/>
          <w:bCs w:val="0"/>
          <w:color w:val="000000" w:themeColor="text1"/>
          <w:sz w:val="30"/>
          <w:szCs w:val="30"/>
          <w:lang w:val="en-US" w:eastAsia="zh-CN"/>
          <w14:textFill>
            <w14:solidFill>
              <w14:schemeClr w14:val="tx1"/>
            </w14:solidFill>
          </w14:textFill>
        </w:rPr>
      </w:pPr>
      <w:r>
        <w:rPr>
          <w:rFonts w:hint="eastAsia" w:ascii="楷体" w:hAnsi="楷体" w:eastAsia="楷体" w:cs="楷体"/>
          <w:b w:val="0"/>
          <w:bCs w:val="0"/>
          <w:color w:val="000000" w:themeColor="text1"/>
          <w:sz w:val="30"/>
          <w:szCs w:val="30"/>
          <w:lang w:val="en-US" w:eastAsia="zh-CN"/>
          <w14:textFill>
            <w14:solidFill>
              <w14:schemeClr w14:val="tx1"/>
            </w14:solidFill>
          </w14:textFill>
        </w:rPr>
        <w:t>3.服务规范</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在提供上门医疗服务过程中，团队成员应当严格遵守有关法律法规、职业道德，规范服务行为，保障医疗质量和安全。服务过程中产生的医疗文书等相关资料应当留痕，并严格执行信息安全和医疗数据保密的有关法律法规，妥善保管患者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00" w:firstLineChars="200"/>
        <w:jc w:val="both"/>
        <w:textAlignment w:val="auto"/>
        <w:rPr>
          <w:rFonts w:hint="default" w:ascii="黑体" w:hAnsi="黑体" w:eastAsia="黑体" w:cs="黑体"/>
          <w:color w:val="000000" w:themeColor="text1"/>
          <w:sz w:val="30"/>
          <w:szCs w:val="30"/>
          <w:lang w:val="en-US" w:eastAsia="zh-CN"/>
          <w14:textFill>
            <w14:solidFill>
              <w14:schemeClr w14:val="tx1"/>
            </w14:solidFill>
          </w14:textFill>
        </w:rPr>
      </w:pPr>
      <w:r>
        <w:rPr>
          <w:rFonts w:hint="eastAsia" w:ascii="黑体" w:hAnsi="黑体" w:eastAsia="黑体" w:cs="黑体"/>
          <w:color w:val="000000" w:themeColor="text1"/>
          <w:sz w:val="30"/>
          <w:szCs w:val="30"/>
          <w:lang w:val="en-US" w:eastAsia="zh-CN"/>
          <w14:textFill>
            <w14:solidFill>
              <w14:schemeClr w14:val="tx1"/>
            </w14:solidFill>
          </w14:textFill>
        </w:rPr>
        <w:t>五、支撑保障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楷体" w:hAnsi="楷体" w:eastAsia="楷体" w:cs="楷体"/>
          <w:b w:val="0"/>
          <w:bCs w:val="0"/>
          <w:color w:val="000000" w:themeColor="text1"/>
          <w:sz w:val="30"/>
          <w:szCs w:val="30"/>
          <w:lang w:val="en-US" w:eastAsia="zh-CN"/>
          <w14:textFill>
            <w14:solidFill>
              <w14:schemeClr w14:val="tx1"/>
            </w14:solidFill>
          </w14:textFill>
        </w:rPr>
      </w:pPr>
      <w:r>
        <w:rPr>
          <w:rFonts w:hint="eastAsia" w:ascii="楷体" w:hAnsi="楷体" w:eastAsia="楷体" w:cs="楷体"/>
          <w:b w:val="0"/>
          <w:bCs w:val="0"/>
          <w:color w:val="000000" w:themeColor="text1"/>
          <w:sz w:val="30"/>
          <w:szCs w:val="30"/>
          <w:lang w:val="en-US" w:eastAsia="zh-CN"/>
          <w14:textFill>
            <w14:solidFill>
              <w14:schemeClr w14:val="tx1"/>
            </w14:solidFill>
          </w14:textFill>
        </w:rPr>
        <w:t>1.加强组织领导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区卫健委成立“789工程”专项工作小组，负责组织实施、业务指导和监督检查工作，提升社区医务人员的专业技术水平及服务质量；区民政局</w:t>
      </w:r>
      <w:r>
        <w:rPr>
          <w:rFonts w:hint="default" w:ascii="仿宋_GB2312" w:hAnsi="仿宋_GB2312" w:eastAsia="仿宋_GB2312" w:cs="仿宋_GB2312"/>
          <w:color w:val="000000" w:themeColor="text1"/>
          <w:sz w:val="30"/>
          <w:szCs w:val="30"/>
          <w:lang w:val="en-US" w:eastAsia="zh-CN"/>
          <w14:textFill>
            <w14:solidFill>
              <w14:schemeClr w14:val="tx1"/>
            </w14:solidFill>
          </w14:textFill>
        </w:rPr>
        <w:t>配合</w:t>
      </w: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区</w:t>
      </w:r>
      <w:r>
        <w:rPr>
          <w:rFonts w:hint="default" w:ascii="仿宋_GB2312" w:hAnsi="仿宋_GB2312" w:eastAsia="仿宋_GB2312" w:cs="仿宋_GB2312"/>
          <w:color w:val="000000" w:themeColor="text1"/>
          <w:sz w:val="30"/>
          <w:szCs w:val="30"/>
          <w:lang w:val="en-US" w:eastAsia="zh-CN"/>
          <w14:textFill>
            <w14:solidFill>
              <w14:schemeClr w14:val="tx1"/>
            </w14:solidFill>
          </w14:textFill>
        </w:rPr>
        <w:t>卫健</w:t>
      </w: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委提供医养结合服务，支持家庭医生进养老机构开展家庭病床；各街镇、莘庄工业区为家庭医生进居委开展巡回医疗提供场地，安排志愿者完成代配药服务。</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楷体" w:hAnsi="楷体" w:eastAsia="楷体" w:cs="楷体"/>
          <w:b w:val="0"/>
          <w:bCs w:val="0"/>
          <w:color w:val="000000" w:themeColor="text1"/>
          <w:sz w:val="30"/>
          <w:szCs w:val="30"/>
          <w:lang w:val="en-US" w:eastAsia="zh-CN"/>
          <w14:textFill>
            <w14:solidFill>
              <w14:schemeClr w14:val="tx1"/>
            </w14:solidFill>
          </w14:textFill>
        </w:rPr>
      </w:pPr>
      <w:r>
        <w:rPr>
          <w:rFonts w:hint="eastAsia" w:ascii="楷体" w:hAnsi="楷体" w:eastAsia="楷体" w:cs="楷体"/>
          <w:b w:val="0"/>
          <w:bCs w:val="0"/>
          <w:color w:val="000000" w:themeColor="text1"/>
          <w:sz w:val="30"/>
          <w:szCs w:val="30"/>
          <w:lang w:val="en-US" w:eastAsia="zh-CN"/>
          <w14:textFill>
            <w14:solidFill>
              <w14:schemeClr w14:val="tx1"/>
            </w14:solidFill>
          </w14:textFill>
        </w:rPr>
        <w:t>2.强化考核评价</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定期对服务开展的数量、质量及服务对象满意度进行监测及情况分析，稳步扩大服务覆盖面，持续改进服务质量。将“789”工程完成情况纳入各社区年度综合目标考核及星级家庭医生评定等评优评先工作。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楷体" w:hAnsi="楷体" w:eastAsia="楷体" w:cs="楷体"/>
          <w:b w:val="0"/>
          <w:bCs w:val="0"/>
          <w:color w:val="000000" w:themeColor="text1"/>
          <w:sz w:val="30"/>
          <w:szCs w:val="30"/>
          <w:lang w:val="en-US" w:eastAsia="zh-CN"/>
          <w14:textFill>
            <w14:solidFill>
              <w14:schemeClr w14:val="tx1"/>
            </w14:solidFill>
          </w14:textFill>
        </w:rPr>
      </w:pPr>
      <w:r>
        <w:rPr>
          <w:rFonts w:hint="eastAsia" w:ascii="楷体" w:hAnsi="楷体" w:eastAsia="楷体" w:cs="楷体"/>
          <w:b w:val="0"/>
          <w:bCs w:val="0"/>
          <w:color w:val="000000" w:themeColor="text1"/>
          <w:sz w:val="30"/>
          <w:szCs w:val="30"/>
          <w:lang w:val="en-US" w:eastAsia="zh-CN"/>
          <w14:textFill>
            <w14:solidFill>
              <w14:schemeClr w14:val="tx1"/>
            </w14:solidFill>
          </w14:textFill>
        </w:rPr>
        <w:t>3.推进基层实施</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各社区结合辖区内老年人管理情况，制定工作计划，明确责任分工，完善工作制度，做好绩效激励。加大医务人员的政策和业务培训，强化主动服务意识，持续提升服务能力。做好“789”工程惠民服务的宣传引导，营造良好社会氛围。</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ascii="仿宋_GB2312" w:hAnsi="仿宋_GB2312" w:eastAsia="仿宋_GB2312" w:cs="仿宋_GB2312"/>
          <w:b/>
          <w:color w:val="000000" w:themeColor="text1"/>
          <w:sz w:val="30"/>
          <w:szCs w:val="30"/>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附件1：《“789”工程健康惠民服务包》</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default" w:ascii="仿宋_GB2312" w:hAnsi="仿宋_GB2312" w:eastAsia="仿宋_GB2312" w:cs="仿宋_GB2312"/>
          <w:color w:val="000000" w:themeColor="text1"/>
          <w:sz w:val="30"/>
          <w:szCs w:val="3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both"/>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right"/>
        <w:textAlignment w:val="auto"/>
        <w:rPr>
          <w:rFonts w:hint="eastAsia" w:ascii="仿宋_GB2312" w:hAnsi="仿宋_GB2312" w:eastAsia="仿宋_GB2312" w:cs="仿宋_GB2312"/>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闵行区卫生健康委员会</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right"/>
        <w:textAlignment w:val="auto"/>
        <w:rPr>
          <w:rFonts w:hint="default" w:ascii="仿宋_GB2312" w:hAnsi="仿宋_GB2312" w:eastAsia="仿宋_GB2312" w:cs="仿宋_GB2312"/>
          <w:color w:val="000000" w:themeColor="text1"/>
          <w:sz w:val="30"/>
          <w:szCs w:val="30"/>
          <w:lang w:val="en-US" w:eastAsia="zh-CN"/>
          <w14:textFill>
            <w14:solidFill>
              <w14:schemeClr w14:val="tx1"/>
            </w14:solidFill>
          </w14:textFill>
        </w:rPr>
        <w:sectPr>
          <w:pgSz w:w="11906" w:h="16838"/>
          <w:pgMar w:top="1587" w:right="1474" w:bottom="1474" w:left="1587" w:header="851" w:footer="992" w:gutter="0"/>
          <w:cols w:space="425" w:num="1"/>
          <w:docGrid w:type="lines" w:linePitch="312" w:charSpace="0"/>
        </w:sectPr>
      </w:pPr>
      <w:r>
        <w:rPr>
          <w:rFonts w:hint="eastAsia" w:ascii="仿宋_GB2312" w:hAnsi="仿宋_GB2312" w:eastAsia="仿宋_GB2312" w:cs="仿宋_GB2312"/>
          <w:color w:val="000000" w:themeColor="text1"/>
          <w:sz w:val="30"/>
          <w:szCs w:val="30"/>
          <w:lang w:val="en-US" w:eastAsia="zh-CN"/>
          <w14:textFill>
            <w14:solidFill>
              <w14:schemeClr w14:val="tx1"/>
            </w14:solidFill>
          </w14:textFill>
        </w:rPr>
        <w:t>2024年3月20日</w:t>
      </w:r>
    </w:p>
    <w:p>
      <w:pPr>
        <w:spacing w:line="560" w:lineRule="exact"/>
        <w:jc w:val="both"/>
        <w:rPr>
          <w:rFonts w:hint="default" w:ascii="仿宋_GB2312" w:hAnsi="仿宋_GB2312" w:eastAsia="仿宋_GB2312" w:cs="仿宋_GB2312"/>
          <w:b/>
          <w:color w:val="000000" w:themeColor="text1"/>
          <w:sz w:val="30"/>
          <w:szCs w:val="30"/>
          <w:lang w:val="en-US" w:eastAsia="zh-CN"/>
          <w14:textFill>
            <w14:solidFill>
              <w14:schemeClr w14:val="tx1"/>
            </w14:solidFill>
          </w14:textFill>
        </w:rPr>
      </w:pPr>
      <w:r>
        <w:rPr>
          <w:rFonts w:hint="eastAsia" w:ascii="仿宋_GB2312" w:hAnsi="仿宋_GB2312" w:eastAsia="仿宋_GB2312" w:cs="仿宋_GB2312"/>
          <w:b/>
          <w:color w:val="000000" w:themeColor="text1"/>
          <w:sz w:val="30"/>
          <w:szCs w:val="30"/>
          <w:lang w:val="en-US" w:eastAsia="zh-CN"/>
          <w14:textFill>
            <w14:solidFill>
              <w14:schemeClr w14:val="tx1"/>
            </w14:solidFill>
          </w14:textFill>
        </w:rPr>
        <w:t>附件1：</w:t>
      </w:r>
    </w:p>
    <w:p>
      <w:pPr>
        <w:spacing w:line="560" w:lineRule="exact"/>
        <w:jc w:val="center"/>
        <w:rPr>
          <w:rFonts w:ascii="仿宋_GB2312" w:hAnsi="仿宋_GB2312" w:eastAsia="仿宋_GB2312" w:cs="仿宋_GB2312"/>
          <w:b/>
          <w:color w:val="000000" w:themeColor="text1"/>
          <w:sz w:val="30"/>
          <w:szCs w:val="30"/>
          <w14:textFill>
            <w14:solidFill>
              <w14:schemeClr w14:val="tx1"/>
            </w14:solidFill>
          </w14:textFill>
        </w:rPr>
      </w:pPr>
      <w:r>
        <w:rPr>
          <w:rFonts w:hint="eastAsia" w:ascii="仿宋_GB2312" w:hAnsi="仿宋_GB2312" w:eastAsia="仿宋_GB2312" w:cs="仿宋_GB2312"/>
          <w:b/>
          <w:color w:val="000000" w:themeColor="text1"/>
          <w:sz w:val="30"/>
          <w:szCs w:val="30"/>
          <w:lang w:val="en-US" w:eastAsia="zh-CN"/>
          <w14:textFill>
            <w14:solidFill>
              <w14:schemeClr w14:val="tx1"/>
            </w14:solidFill>
          </w14:textFill>
        </w:rPr>
        <w:t>“789”工程健康惠民服务包</w:t>
      </w:r>
    </w:p>
    <w:tbl>
      <w:tblPr>
        <w:tblStyle w:val="4"/>
        <w:tblW w:w="500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7"/>
        <w:gridCol w:w="5218"/>
        <w:gridCol w:w="1120"/>
        <w:gridCol w:w="1120"/>
        <w:gridCol w:w="1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0" w:type="auto"/>
            <w:vMerge w:val="restart"/>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
                <w:bCs/>
                <w:color w:val="000000" w:themeColor="text1"/>
                <w:sz w:val="24"/>
                <w:szCs w:val="24"/>
                <w:lang w:val="en-US" w:eastAsia="zh-CN"/>
                <w14:textFill>
                  <w14:solidFill>
                    <w14:schemeClr w14:val="tx1"/>
                  </w14:solidFill>
                </w14:textFill>
              </w:rPr>
            </w:pPr>
            <w:r>
              <w:rPr>
                <w:rFonts w:hint="eastAsia" w:ascii="仿宋_GB2312" w:hAnsi="仿宋_GB2312" w:eastAsia="仿宋_GB2312" w:cs="仿宋_GB2312"/>
                <w:b/>
                <w:bCs/>
                <w:color w:val="000000" w:themeColor="text1"/>
                <w:sz w:val="24"/>
                <w:szCs w:val="24"/>
                <w:lang w:val="en-US" w:eastAsia="zh-CN"/>
                <w14:textFill>
                  <w14:solidFill>
                    <w14:schemeClr w14:val="tx1"/>
                  </w14:solidFill>
                </w14:textFill>
              </w:rPr>
              <w:t>序号</w:t>
            </w:r>
          </w:p>
        </w:tc>
        <w:tc>
          <w:tcPr>
            <w:tcW w:w="0" w:type="auto"/>
            <w:vMerge w:val="restart"/>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kern w:val="2"/>
                <w:sz w:val="21"/>
                <w:szCs w:val="21"/>
                <w:highlight w:val="none"/>
                <w:lang w:val="en-US" w:eastAsia="zh-CN" w:bidi="ar-SA"/>
                <w14:textFill>
                  <w14:solidFill>
                    <w14:schemeClr w14:val="tx1"/>
                  </w14:solidFill>
                </w14:textFill>
              </w:rPr>
            </w:pPr>
            <w:r>
              <w:rPr>
                <w:rFonts w:hint="eastAsia" w:ascii="仿宋_GB2312" w:hAnsi="仿宋_GB2312" w:eastAsia="仿宋_GB2312" w:cs="仿宋_GB2312"/>
                <w:b/>
                <w:bCs/>
                <w:color w:val="000000" w:themeColor="text1"/>
                <w:sz w:val="24"/>
                <w:szCs w:val="24"/>
                <w14:textFill>
                  <w14:solidFill>
                    <w14:schemeClr w14:val="tx1"/>
                  </w14:solidFill>
                </w14:textFill>
              </w:rPr>
              <w:t>服务内容</w:t>
            </w:r>
          </w:p>
        </w:tc>
        <w:tc>
          <w:tcPr>
            <w:tcW w:w="0" w:type="auto"/>
            <w:gridSpan w:val="3"/>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kern w:val="2"/>
                <w:sz w:val="21"/>
                <w:szCs w:val="21"/>
                <w:highlight w:val="none"/>
                <w:lang w:val="en-US" w:eastAsia="zh-CN" w:bidi="ar-SA"/>
                <w14:textFill>
                  <w14:solidFill>
                    <w14:schemeClr w14:val="tx1"/>
                  </w14:solidFill>
                </w14:textFill>
              </w:rPr>
            </w:pPr>
            <w:r>
              <w:rPr>
                <w:rFonts w:hint="eastAsia" w:ascii="仿宋_GB2312" w:hAnsi="仿宋_GB2312" w:eastAsia="仿宋_GB2312" w:cs="仿宋_GB2312"/>
                <w:b/>
                <w:bCs/>
                <w:color w:val="000000" w:themeColor="text1"/>
                <w:sz w:val="24"/>
                <w:szCs w:val="24"/>
                <w14:textFill>
                  <w14:solidFill>
                    <w14:schemeClr w14:val="tx1"/>
                  </w14:solidFill>
                </w14:textFill>
              </w:rPr>
              <w:t>适用人群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Merge w:val="continue"/>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
                <w:bCs/>
                <w:color w:val="000000" w:themeColor="text1"/>
                <w:sz w:val="24"/>
                <w:szCs w:val="24"/>
                <w:lang w:eastAsia="zh-CN"/>
                <w14:textFill>
                  <w14:solidFill>
                    <w14:schemeClr w14:val="tx1"/>
                  </w14:solidFill>
                </w14:textFill>
              </w:rPr>
            </w:pPr>
          </w:p>
        </w:tc>
        <w:tc>
          <w:tcPr>
            <w:tcW w:w="0" w:type="auto"/>
            <w:vMerge w:val="continue"/>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
                <w:bCs/>
                <w:color w:val="000000" w:themeColor="text1"/>
                <w:sz w:val="24"/>
                <w:szCs w:val="24"/>
                <w:lang w:eastAsia="zh-CN"/>
                <w14:textFill>
                  <w14:solidFill>
                    <w14:schemeClr w14:val="tx1"/>
                  </w14:solidFill>
                </w14:textFill>
              </w:rPr>
            </w:pP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kern w:val="2"/>
                <w:sz w:val="21"/>
                <w:szCs w:val="21"/>
                <w:highlight w:val="none"/>
                <w:lang w:val="en-US" w:eastAsia="zh-CN" w:bidi="ar-SA"/>
                <w14:textFill>
                  <w14:solidFill>
                    <w14:schemeClr w14:val="tx1"/>
                  </w14:solidFill>
                </w14:textFill>
              </w:rPr>
            </w:pPr>
            <w:r>
              <w:rPr>
                <w:rFonts w:hint="eastAsia" w:ascii="仿宋_GB2312" w:hAnsi="仿宋_GB2312" w:eastAsia="仿宋_GB2312" w:cs="仿宋_GB2312"/>
                <w:b/>
                <w:bCs/>
                <w:color w:val="000000" w:themeColor="text1"/>
                <w:szCs w:val="21"/>
                <w14:textFill>
                  <w14:solidFill>
                    <w14:schemeClr w14:val="tx1"/>
                  </w14:solidFill>
                </w14:textFill>
              </w:rPr>
              <w:t>70-79岁人群</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kern w:val="2"/>
                <w:sz w:val="21"/>
                <w:szCs w:val="21"/>
                <w:highlight w:val="none"/>
                <w:lang w:val="en-US" w:eastAsia="zh-CN" w:bidi="ar-SA"/>
                <w14:textFill>
                  <w14:solidFill>
                    <w14:schemeClr w14:val="tx1"/>
                  </w14:solidFill>
                </w14:textFill>
              </w:rPr>
            </w:pPr>
            <w:r>
              <w:rPr>
                <w:rFonts w:hint="eastAsia" w:ascii="仿宋_GB2312" w:hAnsi="仿宋_GB2312" w:eastAsia="仿宋_GB2312" w:cs="仿宋_GB2312"/>
                <w:b/>
                <w:bCs/>
                <w:color w:val="000000" w:themeColor="text1"/>
                <w:szCs w:val="21"/>
                <w14:textFill>
                  <w14:solidFill>
                    <w14:schemeClr w14:val="tx1"/>
                  </w14:solidFill>
                </w14:textFill>
              </w:rPr>
              <w:t>80-89岁人群</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kern w:val="2"/>
                <w:sz w:val="21"/>
                <w:szCs w:val="21"/>
                <w:highlight w:val="none"/>
                <w:lang w:val="en-US" w:eastAsia="zh-CN" w:bidi="ar-SA"/>
                <w14:textFill>
                  <w14:solidFill>
                    <w14:schemeClr w14:val="tx1"/>
                  </w14:solidFill>
                </w14:textFill>
              </w:rPr>
            </w:pPr>
            <w:r>
              <w:rPr>
                <w:rFonts w:hint="eastAsia" w:ascii="仿宋_GB2312" w:hAnsi="仿宋_GB2312" w:eastAsia="仿宋_GB2312" w:cs="仿宋_GB2312"/>
                <w:b/>
                <w:bCs/>
                <w:color w:val="000000" w:themeColor="text1"/>
                <w:szCs w:val="21"/>
                <w14:textFill>
                  <w14:solidFill>
                    <w14:schemeClr w14:val="tx1"/>
                  </w14:solidFill>
                </w14:textFill>
              </w:rPr>
              <w:t>90岁以上人群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1</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按年度为</w:t>
            </w:r>
            <w:r>
              <w:rPr>
                <w:rFonts w:hint="eastAsia" w:ascii="仿宋_GB2312" w:hAnsi="仿宋_GB2312" w:eastAsia="仿宋_GB2312" w:cs="仿宋_GB2312"/>
                <w:bCs/>
                <w:color w:val="000000" w:themeColor="text1"/>
                <w:szCs w:val="21"/>
                <w:highlight w:val="none"/>
                <w14:textFill>
                  <w14:solidFill>
                    <w14:schemeClr w14:val="tx1"/>
                  </w14:solidFill>
                </w14:textFill>
              </w:rPr>
              <w:t>签约居民</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开展</w:t>
            </w:r>
            <w:r>
              <w:rPr>
                <w:rFonts w:hint="eastAsia" w:ascii="仿宋_GB2312" w:hAnsi="仿宋_GB2312" w:eastAsia="仿宋_GB2312" w:cs="仿宋_GB2312"/>
                <w:bCs/>
                <w:color w:val="000000" w:themeColor="text1"/>
                <w:szCs w:val="21"/>
                <w:highlight w:val="none"/>
                <w14:textFill>
                  <w14:solidFill>
                    <w14:schemeClr w14:val="tx1"/>
                  </w14:solidFill>
                </w14:textFill>
              </w:rPr>
              <w:t>健康评估，出具并</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解读健康</w:t>
            </w:r>
            <w:r>
              <w:rPr>
                <w:rFonts w:hint="eastAsia" w:ascii="仿宋_GB2312" w:hAnsi="仿宋_GB2312" w:eastAsia="仿宋_GB2312" w:cs="仿宋_GB2312"/>
                <w:bCs/>
                <w:color w:val="000000" w:themeColor="text1"/>
                <w:szCs w:val="21"/>
                <w:highlight w:val="none"/>
                <w14:textFill>
                  <w14:solidFill>
                    <w14:schemeClr w14:val="tx1"/>
                  </w14:solidFill>
                </w14:textFill>
              </w:rPr>
              <w:t>评估报告</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制定有针对性的健康管理方案</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2</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14:textFill>
                  <w14:solidFill>
                    <w14:schemeClr w14:val="tx1"/>
                  </w14:solidFill>
                </w14:textFill>
              </w:rPr>
              <w:t>定期开展健康</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科普</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Cs w:val="21"/>
                <w:highlight w:val="none"/>
                <w14:textFill>
                  <w14:solidFill>
                    <w14:schemeClr w14:val="tx1"/>
                  </w14:solidFill>
                </w14:textFill>
              </w:rPr>
              <w:t>提供</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各类</w:t>
            </w:r>
            <w:r>
              <w:rPr>
                <w:rFonts w:hint="eastAsia" w:ascii="仿宋_GB2312" w:hAnsi="仿宋_GB2312" w:eastAsia="仿宋_GB2312" w:cs="仿宋_GB2312"/>
                <w:bCs/>
                <w:color w:val="000000" w:themeColor="text1"/>
                <w:szCs w:val="21"/>
                <w:highlight w:val="none"/>
                <w14:textFill>
                  <w14:solidFill>
                    <w14:schemeClr w14:val="tx1"/>
                  </w14:solidFill>
                </w14:textFill>
              </w:rPr>
              <w:t>健康咨询</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中医药保健</w:t>
            </w:r>
            <w:r>
              <w:rPr>
                <w:rFonts w:hint="eastAsia" w:ascii="仿宋_GB2312" w:hAnsi="仿宋_GB2312" w:eastAsia="仿宋_GB2312" w:cs="仿宋_GB2312"/>
                <w:bCs/>
                <w:color w:val="000000" w:themeColor="text1"/>
                <w:szCs w:val="21"/>
                <w:highlight w:val="none"/>
                <w14:textFill>
                  <w14:solidFill>
                    <w14:schemeClr w14:val="tx1"/>
                  </w14:solidFill>
                </w14:textFill>
              </w:rPr>
              <w:t>指导</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疫苗接种咨询等</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3</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14:textFill>
                  <w14:solidFill>
                    <w14:schemeClr w14:val="tx1"/>
                  </w14:solidFill>
                </w14:textFill>
              </w:rPr>
              <w:t>为</w:t>
            </w:r>
            <w:r>
              <w:rPr>
                <w:rFonts w:hint="eastAsia" w:ascii="仿宋_GB2312" w:hAnsi="仿宋_GB2312" w:eastAsia="仿宋_GB2312" w:cs="仿宋_GB2312"/>
                <w:bCs/>
                <w:color w:val="000000" w:themeColor="text1"/>
                <w:szCs w:val="21"/>
                <w:lang w:val="en-US" w:eastAsia="zh-CN"/>
                <w14:textFill>
                  <w14:solidFill>
                    <w14:schemeClr w14:val="tx1"/>
                  </w14:solidFill>
                </w14:textFill>
              </w:rPr>
              <w:t>老年人</w:t>
            </w:r>
            <w:r>
              <w:rPr>
                <w:rFonts w:hint="eastAsia" w:ascii="仿宋_GB2312" w:hAnsi="仿宋_GB2312" w:eastAsia="仿宋_GB2312" w:cs="仿宋_GB2312"/>
                <w:bCs/>
                <w:color w:val="000000" w:themeColor="text1"/>
                <w:szCs w:val="21"/>
                <w14:textFill>
                  <w14:solidFill>
                    <w14:schemeClr w14:val="tx1"/>
                  </w14:solidFill>
                </w14:textFill>
              </w:rPr>
              <w:t>提供绿色</w:t>
            </w:r>
            <w:r>
              <w:rPr>
                <w:rFonts w:hint="eastAsia" w:ascii="仿宋_GB2312" w:hAnsi="仿宋_GB2312" w:eastAsia="仿宋_GB2312" w:cs="仿宋_GB2312"/>
                <w:bCs/>
                <w:color w:val="000000" w:themeColor="text1"/>
                <w:szCs w:val="21"/>
                <w:lang w:val="en-US" w:eastAsia="zh-CN"/>
                <w14:textFill>
                  <w14:solidFill>
                    <w14:schemeClr w14:val="tx1"/>
                  </w14:solidFill>
                </w14:textFill>
              </w:rPr>
              <w:t>转诊</w:t>
            </w:r>
            <w:r>
              <w:rPr>
                <w:rFonts w:hint="eastAsia" w:ascii="仿宋_GB2312" w:hAnsi="仿宋_GB2312" w:eastAsia="仿宋_GB2312" w:cs="仿宋_GB2312"/>
                <w:bCs/>
                <w:color w:val="000000" w:themeColor="text1"/>
                <w:szCs w:val="21"/>
                <w14:textFill>
                  <w14:solidFill>
                    <w14:schemeClr w14:val="tx1"/>
                  </w14:solidFill>
                </w14:textFill>
              </w:rPr>
              <w:t>通道，优先</w:t>
            </w:r>
            <w:r>
              <w:rPr>
                <w:rFonts w:hint="eastAsia" w:ascii="仿宋_GB2312" w:hAnsi="仿宋_GB2312" w:eastAsia="仿宋_GB2312" w:cs="仿宋_GB2312"/>
                <w:bCs/>
                <w:color w:val="000000" w:themeColor="text1"/>
                <w:szCs w:val="21"/>
                <w:lang w:val="en-US" w:eastAsia="zh-CN"/>
                <w14:textFill>
                  <w14:solidFill>
                    <w14:schemeClr w14:val="tx1"/>
                  </w14:solidFill>
                </w14:textFill>
              </w:rPr>
              <w:t>预约</w:t>
            </w:r>
            <w:r>
              <w:rPr>
                <w:rFonts w:hint="eastAsia" w:ascii="仿宋_GB2312" w:hAnsi="仿宋_GB2312" w:eastAsia="仿宋_GB2312" w:cs="仿宋_GB2312"/>
                <w:bCs/>
                <w:color w:val="000000" w:themeColor="text1"/>
                <w:szCs w:val="21"/>
                <w14:textFill>
                  <w14:solidFill>
                    <w14:schemeClr w14:val="tx1"/>
                  </w14:solidFill>
                </w14:textFill>
              </w:rPr>
              <w:t>上级医院专科、专家号源</w:t>
            </w:r>
            <w:r>
              <w:rPr>
                <w:rFonts w:hint="eastAsia" w:ascii="仿宋_GB2312" w:hAnsi="仿宋_GB2312" w:eastAsia="仿宋_GB2312" w:cs="仿宋_GB2312"/>
                <w:bCs/>
                <w:color w:val="000000" w:themeColor="text1"/>
                <w:szCs w:val="21"/>
                <w:lang w:eastAsia="zh-CN"/>
                <w14:textFill>
                  <w14:solidFill>
                    <w14:schemeClr w14:val="tx1"/>
                  </w14:solidFill>
                </w14:textFill>
              </w:rPr>
              <w:t>，</w:t>
            </w:r>
            <w:r>
              <w:rPr>
                <w:rFonts w:hint="eastAsia" w:ascii="仿宋_GB2312" w:hAnsi="仿宋_GB2312" w:eastAsia="仿宋_GB2312" w:cs="仿宋_GB2312"/>
                <w:bCs/>
                <w:color w:val="000000" w:themeColor="text1"/>
                <w:szCs w:val="21"/>
                <w:lang w:val="en-US" w:eastAsia="zh-CN"/>
                <w14:textFill>
                  <w14:solidFill>
                    <w14:schemeClr w14:val="tx1"/>
                  </w14:solidFill>
                </w14:textFill>
              </w:rPr>
              <w:t>享受120优先转运服务</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4</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14:textFill>
                  <w14:solidFill>
                    <w14:schemeClr w14:val="tx1"/>
                  </w14:solidFill>
                </w14:textFill>
              </w:rPr>
              <w:t>优先</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建立</w:t>
            </w:r>
            <w:r>
              <w:rPr>
                <w:rFonts w:hint="eastAsia" w:ascii="仿宋_GB2312" w:hAnsi="仿宋_GB2312" w:eastAsia="仿宋_GB2312" w:cs="仿宋_GB2312"/>
                <w:bCs/>
                <w:color w:val="000000" w:themeColor="text1"/>
                <w:szCs w:val="21"/>
                <w:highlight w:val="none"/>
                <w14:textFill>
                  <w14:solidFill>
                    <w14:schemeClr w14:val="tx1"/>
                  </w14:solidFill>
                </w14:textFill>
              </w:rPr>
              <w:t>家庭病床</w:t>
            </w:r>
            <w:r>
              <w:rPr>
                <w:rFonts w:hint="eastAsia" w:ascii="仿宋_GB2312" w:hAnsi="仿宋_GB2312" w:eastAsia="仿宋_GB2312" w:cs="仿宋_GB2312"/>
                <w:bCs/>
                <w:color w:val="000000" w:themeColor="text1"/>
                <w:szCs w:val="21"/>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提供上门医疗服务（如</w:t>
            </w:r>
            <w:r>
              <w:rPr>
                <w:rFonts w:hint="eastAsia" w:ascii="仿宋_GB2312" w:hAnsi="仿宋_GB2312" w:eastAsia="仿宋_GB2312" w:cs="仿宋_GB2312"/>
                <w:bCs/>
                <w:color w:val="000000" w:themeColor="text1"/>
                <w:szCs w:val="21"/>
                <w14:textFill>
                  <w14:solidFill>
                    <w14:schemeClr w14:val="tx1"/>
                  </w14:solidFill>
                </w14:textFill>
              </w:rPr>
              <w:t>血液检测、心电图</w:t>
            </w:r>
            <w:r>
              <w:rPr>
                <w:rFonts w:hint="eastAsia" w:ascii="仿宋_GB2312" w:hAnsi="仿宋_GB2312" w:eastAsia="仿宋_GB2312" w:cs="仿宋_GB2312"/>
                <w:bCs/>
                <w:color w:val="000000" w:themeColor="text1"/>
                <w:szCs w:val="21"/>
                <w:lang w:val="en-US" w:eastAsia="zh-CN"/>
                <w14:textFill>
                  <w14:solidFill>
                    <w14:schemeClr w14:val="tx1"/>
                  </w14:solidFill>
                </w14:textFill>
              </w:rPr>
              <w:t>检查</w:t>
            </w:r>
            <w:r>
              <w:rPr>
                <w:rFonts w:hint="eastAsia" w:ascii="仿宋_GB2312" w:hAnsi="仿宋_GB2312" w:eastAsia="仿宋_GB2312" w:cs="仿宋_GB2312"/>
                <w:bCs/>
                <w:color w:val="000000" w:themeColor="text1"/>
                <w:szCs w:val="21"/>
                <w14:textFill>
                  <w14:solidFill>
                    <w14:schemeClr w14:val="tx1"/>
                  </w14:solidFill>
                </w14:textFill>
              </w:rPr>
              <w:t>、伤口护理</w:t>
            </w:r>
            <w:r>
              <w:rPr>
                <w:rFonts w:hint="eastAsia" w:ascii="仿宋_GB2312" w:hAnsi="仿宋_GB2312" w:eastAsia="仿宋_GB2312" w:cs="仿宋_GB2312"/>
                <w:bCs/>
                <w:color w:val="000000" w:themeColor="text1"/>
                <w:szCs w:val="21"/>
                <w:lang w:val="en-US" w:eastAsia="zh-CN"/>
                <w14:textFill>
                  <w14:solidFill>
                    <w14:schemeClr w14:val="tx1"/>
                  </w14:solidFill>
                </w14:textFill>
              </w:rPr>
              <w:t>或</w:t>
            </w:r>
            <w:r>
              <w:rPr>
                <w:rFonts w:hint="eastAsia" w:ascii="仿宋_GB2312" w:hAnsi="仿宋_GB2312" w:eastAsia="仿宋_GB2312" w:cs="仿宋_GB2312"/>
                <w:bCs/>
                <w:color w:val="000000" w:themeColor="text1"/>
                <w:szCs w:val="21"/>
                <w14:textFill>
                  <w14:solidFill>
                    <w14:schemeClr w14:val="tx1"/>
                  </w14:solidFill>
                </w14:textFill>
              </w:rPr>
              <w:t>PICC维护等</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5</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highlight w:val="none"/>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14:textFill>
                  <w14:solidFill>
                    <w14:schemeClr w14:val="tx1"/>
                  </w14:solidFill>
                </w14:textFill>
              </w:rPr>
              <w:t>为</w:t>
            </w: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签约居民提供长处方、延伸处方服务</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highlight w:val="none"/>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6</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解读居民体检报告，给予针对性指导、跟踪随访异常指标</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7</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指导老年人口腔保健，优先预约口腔就诊服务</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8</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对有康复需求的老年人提供康复指导，制定个性化的康复治疗计划</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9</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default" w:ascii="仿宋_GB2312" w:hAnsi="仿宋_GB2312" w:eastAsia="仿宋_GB2312" w:cs="仿宋_GB2312"/>
                <w:bCs/>
                <w:color w:val="000000" w:themeColor="text1"/>
                <w:kern w:val="2"/>
                <w:sz w:val="21"/>
                <w:szCs w:val="21"/>
                <w:lang w:val="en-US" w:eastAsia="zh-CN" w:bidi="ar-SA"/>
                <w14:textFill>
                  <w14:solidFill>
                    <w14:schemeClr w14:val="tx1"/>
                  </w14:solidFill>
                </w14:textFill>
              </w:rPr>
            </w:pPr>
            <w:r>
              <w:rPr>
                <w:rFonts w:hint="eastAsia" w:ascii="仿宋_GB2312" w:hAnsi="仿宋_GB2312" w:eastAsia="仿宋_GB2312" w:cs="仿宋_GB2312"/>
                <w:bCs/>
                <w:color w:val="000000" w:themeColor="text1"/>
                <w:szCs w:val="21"/>
                <w14:textFill>
                  <w14:solidFill>
                    <w14:schemeClr w14:val="tx1"/>
                  </w14:solidFill>
                </w14:textFill>
              </w:rPr>
              <w:t>每1-2周开展1次送医、送药服务进</w:t>
            </w:r>
            <w:r>
              <w:rPr>
                <w:rFonts w:hint="eastAsia" w:ascii="仿宋_GB2312" w:hAnsi="仿宋_GB2312" w:eastAsia="仿宋_GB2312" w:cs="仿宋_GB2312"/>
                <w:bCs/>
                <w:color w:val="000000" w:themeColor="text1"/>
                <w:szCs w:val="21"/>
                <w:lang w:val="en-US" w:eastAsia="zh-CN"/>
                <w14:textFill>
                  <w14:solidFill>
                    <w14:schemeClr w14:val="tx1"/>
                  </w14:solidFill>
                </w14:textFill>
              </w:rPr>
              <w:t>居委</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10</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kern w:val="2"/>
                <w:sz w:val="21"/>
                <w:szCs w:val="21"/>
                <w:lang w:val="en-US" w:eastAsia="zh-CN" w:bidi="ar-SA"/>
                <w14:textFill>
                  <w14:solidFill>
                    <w14:schemeClr w14:val="tx1"/>
                  </w14:solidFill>
                </w14:textFill>
              </w:rPr>
            </w:pPr>
            <w:r>
              <w:rPr>
                <w:rFonts w:hint="eastAsia" w:ascii="仿宋_GB2312" w:hAnsi="仿宋_GB2312" w:eastAsia="仿宋_GB2312" w:cs="仿宋_GB2312"/>
                <w:bCs/>
                <w:color w:val="000000" w:themeColor="text1"/>
                <w:szCs w:val="21"/>
                <w14:textFill>
                  <w14:solidFill>
                    <w14:schemeClr w14:val="tx1"/>
                  </w14:solidFill>
                </w14:textFill>
              </w:rPr>
              <w:t>每月在</w:t>
            </w:r>
            <w:r>
              <w:rPr>
                <w:rFonts w:hint="eastAsia" w:ascii="仿宋_GB2312" w:hAnsi="仿宋_GB2312" w:eastAsia="仿宋_GB2312" w:cs="仿宋_GB2312"/>
                <w:bCs/>
                <w:color w:val="000000" w:themeColor="text1"/>
                <w:szCs w:val="21"/>
                <w:lang w:val="en-US" w:eastAsia="zh-CN"/>
                <w14:textFill>
                  <w14:solidFill>
                    <w14:schemeClr w14:val="tx1"/>
                  </w14:solidFill>
                </w14:textFill>
              </w:rPr>
              <w:t>居委集中开展</w:t>
            </w:r>
            <w:r>
              <w:rPr>
                <w:rFonts w:hint="eastAsia" w:ascii="仿宋_GB2312" w:hAnsi="仿宋_GB2312" w:eastAsia="仿宋_GB2312" w:cs="仿宋_GB2312"/>
                <w:bCs/>
                <w:color w:val="000000" w:themeColor="text1"/>
                <w:szCs w:val="21"/>
                <w14:textFill>
                  <w14:solidFill>
                    <w14:schemeClr w14:val="tx1"/>
                  </w14:solidFill>
                </w14:textFill>
              </w:rPr>
              <w:t>用药指导、整理家庭药箱服务</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11</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每季度开展1次免费随访服务，提供身体状况评估、健康咨询、健康及医疗指导等健康管理服务</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6"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12</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14:textFill>
                  <w14:solidFill>
                    <w14:schemeClr w14:val="tx1"/>
                  </w14:solidFill>
                </w14:textFill>
              </w:rPr>
              <w:t>根据病情评估，优先为住养老人预约社区住院床位，或通过绿色通道转诊至集团内上级医院就诊</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default" w:ascii="仿宋_GB2312" w:hAnsi="仿宋_GB2312" w:eastAsia="仿宋_GB2312" w:cs="仿宋_GB2312"/>
                <w:bCs/>
                <w:color w:val="000000" w:themeColor="text1"/>
                <w:szCs w:val="21"/>
                <w:lang w:val="en-US" w:eastAsia="zh-CN"/>
                <w14:textFill>
                  <w14:solidFill>
                    <w14:schemeClr w14:val="tx1"/>
                  </w14:solidFill>
                </w14:textFill>
              </w:rPr>
            </w:pPr>
            <w:r>
              <w:rPr>
                <w:rFonts w:hint="eastAsia" w:ascii="仿宋_GB2312" w:hAnsi="仿宋_GB2312" w:eastAsia="仿宋_GB2312" w:cs="仿宋_GB2312"/>
                <w:bCs/>
                <w:color w:val="000000" w:themeColor="text1"/>
                <w:szCs w:val="21"/>
                <w:lang w:val="en-US" w:eastAsia="zh-CN"/>
                <w14:textFill>
                  <w14:solidFill>
                    <w14:schemeClr w14:val="tx1"/>
                  </w14:solidFill>
                </w14:textFill>
              </w:rPr>
              <w:t>13</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14:textFill>
                  <w14:solidFill>
                    <w14:schemeClr w14:val="tx1"/>
                  </w14:solidFill>
                </w14:textFill>
              </w:rPr>
              <w:t>为建立家庭病床</w:t>
            </w:r>
            <w:r>
              <w:rPr>
                <w:rFonts w:hint="eastAsia" w:ascii="仿宋_GB2312" w:hAnsi="仿宋_GB2312" w:eastAsia="仿宋_GB2312" w:cs="仿宋_GB2312"/>
                <w:bCs/>
                <w:color w:val="000000" w:themeColor="text1"/>
                <w:szCs w:val="21"/>
                <w:lang w:val="en-US" w:eastAsia="zh-CN"/>
                <w14:textFill>
                  <w14:solidFill>
                    <w14:schemeClr w14:val="tx1"/>
                  </w14:solidFill>
                </w14:textFill>
              </w:rPr>
              <w:t>的</w:t>
            </w:r>
            <w:r>
              <w:rPr>
                <w:rFonts w:hint="eastAsia" w:ascii="仿宋_GB2312" w:hAnsi="仿宋_GB2312" w:eastAsia="仿宋_GB2312" w:cs="仿宋_GB2312"/>
                <w:bCs/>
                <w:color w:val="000000" w:themeColor="text1"/>
                <w:szCs w:val="21"/>
                <w14:textFill>
                  <w14:solidFill>
                    <w14:schemeClr w14:val="tx1"/>
                  </w14:solidFill>
                </w14:textFill>
              </w:rPr>
              <w:t>百岁以上老人每月</w:t>
            </w:r>
            <w:r>
              <w:rPr>
                <w:rFonts w:hint="eastAsia" w:ascii="仿宋_GB2312" w:hAnsi="仿宋_GB2312" w:eastAsia="仿宋_GB2312" w:cs="仿宋_GB2312"/>
                <w:bCs/>
                <w:color w:val="000000" w:themeColor="text1"/>
                <w:szCs w:val="21"/>
                <w:lang w:val="en-US" w:eastAsia="zh-CN"/>
                <w14:textFill>
                  <w14:solidFill>
                    <w14:schemeClr w14:val="tx1"/>
                  </w14:solidFill>
                </w14:textFill>
              </w:rPr>
              <w:t>提供</w:t>
            </w:r>
            <w:r>
              <w:rPr>
                <w:rFonts w:hint="eastAsia" w:ascii="仿宋_GB2312" w:hAnsi="仿宋_GB2312" w:eastAsia="仿宋_GB2312" w:cs="仿宋_GB2312"/>
                <w:bCs/>
                <w:color w:val="000000" w:themeColor="text1"/>
                <w:szCs w:val="21"/>
                <w14:textFill>
                  <w14:solidFill>
                    <w14:schemeClr w14:val="tx1"/>
                  </w14:solidFill>
                </w14:textFill>
              </w:rPr>
              <w:t>2次免费上门巡诊、心理疏导服务</w:t>
            </w: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both"/>
              <w:textAlignment w:val="auto"/>
              <w:rPr>
                <w:rFonts w:hint="eastAsia" w:ascii="仿宋_GB2312" w:hAnsi="仿宋_GB2312" w:eastAsia="仿宋_GB2312" w:cs="仿宋_GB2312"/>
                <w:bCs/>
                <w:color w:val="000000" w:themeColor="text1"/>
                <w:szCs w:val="21"/>
                <w14:textFill>
                  <w14:solidFill>
                    <w14:schemeClr w14:val="tx1"/>
                  </w14:solidFill>
                </w14:textFill>
              </w:rPr>
            </w:pPr>
          </w:p>
        </w:tc>
        <w:tc>
          <w:tcPr>
            <w:tcW w:w="0" w:type="auto"/>
            <w:vAlign w:val="center"/>
          </w:tcPr>
          <w:p>
            <w:pPr>
              <w:keepNext w:val="0"/>
              <w:keepLines w:val="0"/>
              <w:pageBreakBefore w:val="0"/>
              <w:widowControl w:val="0"/>
              <w:kinsoku w:val="0"/>
              <w:wordWrap/>
              <w:overflowPunct w:val="0"/>
              <w:topLinePunct w:val="0"/>
              <w:autoSpaceDE/>
              <w:autoSpaceDN/>
              <w:bidi w:val="0"/>
              <w:adjustRightInd/>
              <w:snapToGrid/>
              <w:jc w:val="center"/>
              <w:textAlignment w:val="auto"/>
              <w:rPr>
                <w:rFonts w:hint="eastAsia" w:ascii="仿宋_GB2312" w:hAnsi="仿宋_GB2312" w:eastAsia="仿宋_GB2312" w:cs="仿宋_GB2312"/>
                <w:bCs/>
                <w:color w:val="000000" w:themeColor="text1"/>
                <w:szCs w:val="21"/>
                <w14:textFill>
                  <w14:solidFill>
                    <w14:schemeClr w14:val="tx1"/>
                  </w14:solidFill>
                </w14:textFill>
              </w:rPr>
            </w:pPr>
            <w:r>
              <w:rPr>
                <w:rFonts w:hint="eastAsia" w:ascii="仿宋_GB2312" w:hAnsi="仿宋_GB2312" w:eastAsia="仿宋_GB2312" w:cs="仿宋_GB2312"/>
                <w:bCs/>
                <w:color w:val="000000" w:themeColor="text1"/>
                <w:szCs w:val="21"/>
                <w:highlight w:val="none"/>
                <w:lang w:val="en-US" w:eastAsia="zh-CN"/>
                <w14:textFill>
                  <w14:solidFill>
                    <w14:schemeClr w14:val="tx1"/>
                  </w14:solidFill>
                </w14:textFill>
              </w:rPr>
              <w:t>√</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color w:val="000000" w:themeColor="text1"/>
          <w:sz w:val="30"/>
          <w:szCs w:val="30"/>
          <w:lang w:val="en-US" w:eastAsia="zh-CN"/>
          <w14:textFill>
            <w14:solidFill>
              <w14:schemeClr w14:val="tx1"/>
            </w14:solidFill>
          </w14:textFill>
        </w:rPr>
      </w:pPr>
    </w:p>
    <w:sectPr>
      <w:pgSz w:w="11906" w:h="16838"/>
      <w:pgMar w:top="1587" w:right="1474" w:bottom="147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34ADCF0-B49D-48F8-A216-EADFEC24258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embedRegular r:id="rId2" w:fontKey="{32BCB6AF-5018-465D-8621-233A48BB5F3F}"/>
  </w:font>
  <w:font w:name="楷体">
    <w:panose1 w:val="02010609060101010101"/>
    <w:charset w:val="86"/>
    <w:family w:val="auto"/>
    <w:pitch w:val="default"/>
    <w:sig w:usb0="800002BF" w:usb1="38CF7CFA" w:usb2="00000016" w:usb3="00000000" w:csb0="00040001" w:csb1="00000000"/>
    <w:embedRegular r:id="rId3" w:fontKey="{52A34739-F126-462F-8B21-F585B2607F0C}"/>
  </w:font>
  <w:font w:name="仿宋_GB2312">
    <w:panose1 w:val="02010609030101010101"/>
    <w:charset w:val="86"/>
    <w:family w:val="auto"/>
    <w:pitch w:val="default"/>
    <w:sig w:usb0="00000001" w:usb1="080E0000" w:usb2="00000000" w:usb3="00000000" w:csb0="00040000" w:csb1="00000000"/>
    <w:embedRegular r:id="rId4" w:fontKey="{E4960194-FB19-4CD8-8808-A096B5CBB88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mMDAyNzUwMWE4Mzg2YWFiMjgwNmQ4Y2IwNTBiZDUifQ=="/>
  </w:docVars>
  <w:rsids>
    <w:rsidRoot w:val="00000000"/>
    <w:rsid w:val="018A4D5A"/>
    <w:rsid w:val="01D628BE"/>
    <w:rsid w:val="024E06A7"/>
    <w:rsid w:val="029B0885"/>
    <w:rsid w:val="046E6DDE"/>
    <w:rsid w:val="05384898"/>
    <w:rsid w:val="059A3C03"/>
    <w:rsid w:val="07886300"/>
    <w:rsid w:val="092E7847"/>
    <w:rsid w:val="0BA92F85"/>
    <w:rsid w:val="0D8C6254"/>
    <w:rsid w:val="0FF46464"/>
    <w:rsid w:val="10861954"/>
    <w:rsid w:val="1279351E"/>
    <w:rsid w:val="142851FC"/>
    <w:rsid w:val="144731A8"/>
    <w:rsid w:val="167364D6"/>
    <w:rsid w:val="19E5629D"/>
    <w:rsid w:val="19F8741E"/>
    <w:rsid w:val="1CEC04F3"/>
    <w:rsid w:val="1D65194E"/>
    <w:rsid w:val="1E1252C2"/>
    <w:rsid w:val="20DA2DD7"/>
    <w:rsid w:val="24ED38F7"/>
    <w:rsid w:val="25012B97"/>
    <w:rsid w:val="25C95704"/>
    <w:rsid w:val="2B57010A"/>
    <w:rsid w:val="2EF124EC"/>
    <w:rsid w:val="3000384E"/>
    <w:rsid w:val="30093CDB"/>
    <w:rsid w:val="3029612C"/>
    <w:rsid w:val="311628ED"/>
    <w:rsid w:val="345C04F7"/>
    <w:rsid w:val="36CF6997"/>
    <w:rsid w:val="370276D6"/>
    <w:rsid w:val="37B11105"/>
    <w:rsid w:val="3A502507"/>
    <w:rsid w:val="3B135FD4"/>
    <w:rsid w:val="3B442A75"/>
    <w:rsid w:val="3DD8069C"/>
    <w:rsid w:val="3EA6303D"/>
    <w:rsid w:val="40152225"/>
    <w:rsid w:val="40656FDC"/>
    <w:rsid w:val="413D4D28"/>
    <w:rsid w:val="42907FB1"/>
    <w:rsid w:val="42E354D6"/>
    <w:rsid w:val="43020A85"/>
    <w:rsid w:val="43827BD5"/>
    <w:rsid w:val="43D01448"/>
    <w:rsid w:val="44670CDB"/>
    <w:rsid w:val="459736E0"/>
    <w:rsid w:val="461E08A8"/>
    <w:rsid w:val="46D573B4"/>
    <w:rsid w:val="46D70238"/>
    <w:rsid w:val="4874033D"/>
    <w:rsid w:val="4934037B"/>
    <w:rsid w:val="4C5D5B32"/>
    <w:rsid w:val="4D747B9B"/>
    <w:rsid w:val="51D71A1A"/>
    <w:rsid w:val="5219033F"/>
    <w:rsid w:val="539D6365"/>
    <w:rsid w:val="541B7624"/>
    <w:rsid w:val="54D544A0"/>
    <w:rsid w:val="59501639"/>
    <w:rsid w:val="59934A88"/>
    <w:rsid w:val="5C9F6CAA"/>
    <w:rsid w:val="60A21481"/>
    <w:rsid w:val="625C5AFD"/>
    <w:rsid w:val="65CC58E1"/>
    <w:rsid w:val="667A23C0"/>
    <w:rsid w:val="668A4527"/>
    <w:rsid w:val="67642FCA"/>
    <w:rsid w:val="69ED10D8"/>
    <w:rsid w:val="6B120F8F"/>
    <w:rsid w:val="6B3158B9"/>
    <w:rsid w:val="6D720A79"/>
    <w:rsid w:val="6EAE5472"/>
    <w:rsid w:val="6FDA2E93"/>
    <w:rsid w:val="703D53E0"/>
    <w:rsid w:val="72F528FF"/>
    <w:rsid w:val="73E93E3F"/>
    <w:rsid w:val="74C12756"/>
    <w:rsid w:val="77477B00"/>
    <w:rsid w:val="78462278"/>
    <w:rsid w:val="78A23952"/>
    <w:rsid w:val="7B360EB2"/>
    <w:rsid w:val="7B39121D"/>
    <w:rsid w:val="7D6C2781"/>
    <w:rsid w:val="7F4E28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table" w:styleId="4">
    <w:name w:val="Table Grid"/>
    <w:basedOn w:val="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Strong"/>
    <w:basedOn w:val="5"/>
    <w:autoRedefine/>
    <w:qFormat/>
    <w:uiPriority w:val="0"/>
    <w:rPr>
      <w:b/>
    </w:rPr>
  </w:style>
  <w:style w:type="character" w:styleId="7">
    <w:name w:val="Emphasis"/>
    <w:basedOn w:val="5"/>
    <w:autoRedefine/>
    <w:qFormat/>
    <w:uiPriority w:val="0"/>
    <w:rPr>
      <w:i/>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1834</Words>
  <Characters>1893</Characters>
  <Lines>0</Lines>
  <Paragraphs>0</Paragraphs>
  <TotalTime>26</TotalTime>
  <ScaleCrop>false</ScaleCrop>
  <LinksUpToDate>false</LinksUpToDate>
  <CharactersWithSpaces>1894</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2024-01-10T01:51:00Z</dcterms:created>
  <dc:creator>Administrator</dc:creator>
  <cp:lastModifiedBy>王春杰</cp:lastModifiedBy>
  <cp:lastPrinted>2024-03-19T03:56:00Z</cp:lastPrinted>
  <dcterms:modified xsi:type="dcterms:W3CDTF">2024-03-25T07:39:44Z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AD070D633FC444289A3E10516121BA61_13</vt:lpwstr>
  </property>
</Properties>
</file>