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D3" w:rsidRDefault="00F059D3">
      <w:pPr>
        <w:spacing w:line="3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:rsidR="00F059D3" w:rsidRDefault="00F059D3">
      <w:pPr>
        <w:spacing w:line="380" w:lineRule="exact"/>
        <w:rPr>
          <w:rFonts w:ascii="黑体" w:eastAsia="黑体" w:hAnsi="宋体"/>
          <w:color w:val="000000"/>
          <w:kern w:val="0"/>
          <w:sz w:val="30"/>
          <w:szCs w:val="30"/>
        </w:rPr>
      </w:pPr>
    </w:p>
    <w:p w:rsidR="00F059D3" w:rsidRDefault="00F059D3">
      <w:pPr>
        <w:spacing w:line="76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p w:rsidR="00F059D3" w:rsidRDefault="009E2393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pacing w:val="62"/>
          <w:kern w:val="0"/>
          <w:sz w:val="72"/>
          <w:szCs w:val="72"/>
          <w:fitText w:val="8320" w:id="184295936"/>
        </w:rPr>
        <w:t>上海市教育委员会文</w:t>
      </w:r>
      <w:r>
        <w:rPr>
          <w:rFonts w:ascii="方正小标宋简体" w:eastAsia="方正小标宋简体" w:hAnsi="宋体" w:hint="eastAsia"/>
          <w:color w:val="FF0000"/>
          <w:spacing w:val="2"/>
          <w:kern w:val="0"/>
          <w:sz w:val="72"/>
          <w:szCs w:val="72"/>
          <w:fitText w:val="8320" w:id="184295936"/>
        </w:rPr>
        <w:t>件</w:t>
      </w:r>
    </w:p>
    <w:p w:rsidR="00F059D3" w:rsidRDefault="00F059D3">
      <w:pPr>
        <w:spacing w:line="580" w:lineRule="exact"/>
        <w:rPr>
          <w:rFonts w:ascii="黑体" w:eastAsia="黑体" w:hAnsi="华文中宋"/>
          <w:sz w:val="30"/>
          <w:szCs w:val="30"/>
        </w:rPr>
      </w:pPr>
    </w:p>
    <w:p w:rsidR="00F059D3" w:rsidRDefault="00F059D3">
      <w:pPr>
        <w:spacing w:line="580" w:lineRule="exact"/>
        <w:rPr>
          <w:rFonts w:ascii="文鼎大标宋简" w:eastAsia="文鼎大标宋简" w:hAnsi="华文中宋"/>
          <w:sz w:val="36"/>
          <w:szCs w:val="36"/>
        </w:rPr>
      </w:pPr>
    </w:p>
    <w:p w:rsidR="00F059D3" w:rsidRDefault="009E2393">
      <w:pPr>
        <w:pBdr>
          <w:top w:val="none" w:sz="0" w:space="1" w:color="auto"/>
          <w:left w:val="none" w:sz="0" w:space="4" w:color="auto"/>
          <w:bottom w:val="single" w:sz="12" w:space="1" w:color="FF0000"/>
          <w:right w:val="none" w:sz="0" w:space="4" w:color="auto"/>
        </w:pBdr>
        <w:spacing w:line="560" w:lineRule="exact"/>
        <w:ind w:rightChars="15" w:right="3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  <w:szCs w:val="30"/>
        </w:rPr>
        <w:t>沪教委终</w:t>
      </w:r>
      <w:r>
        <w:rPr>
          <w:rFonts w:ascii="仿宋_GB2312" w:eastAsia="仿宋_GB2312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 xml:space="preserve">2号                     </w:t>
      </w:r>
    </w:p>
    <w:p w:rsidR="00F059D3" w:rsidRDefault="00F059D3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F059D3" w:rsidRDefault="00F059D3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F059D3" w:rsidRDefault="009E2393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上海市教育委员会关于公布20</w:t>
      </w:r>
      <w:r>
        <w:rPr>
          <w:rFonts w:ascii="方正小标宋简体" w:eastAsia="方正小标宋简体"/>
          <w:sz w:val="38"/>
          <w:szCs w:val="38"/>
        </w:rPr>
        <w:t>24</w:t>
      </w:r>
      <w:r>
        <w:rPr>
          <w:rFonts w:ascii="方正小标宋简体" w:eastAsia="方正小标宋简体" w:hint="eastAsia"/>
          <w:sz w:val="38"/>
          <w:szCs w:val="38"/>
        </w:rPr>
        <w:t>年度上海市社区</w:t>
      </w:r>
    </w:p>
    <w:p w:rsidR="00F059D3" w:rsidRDefault="009E2393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教育实验项目的通知</w:t>
      </w:r>
    </w:p>
    <w:p w:rsidR="00F059D3" w:rsidRDefault="00F059D3">
      <w:pPr>
        <w:spacing w:line="560" w:lineRule="exact"/>
        <w:rPr>
          <w:rFonts w:ascii="方正小标宋简体" w:eastAsia="方正小标宋简体"/>
          <w:color w:val="FF0000"/>
          <w:sz w:val="30"/>
          <w:szCs w:val="30"/>
        </w:rPr>
      </w:pPr>
    </w:p>
    <w:p w:rsidR="00F059D3" w:rsidRDefault="009E2393">
      <w:pPr>
        <w:overflowPunct w:val="0"/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各区教育局、各有关单位：</w:t>
      </w:r>
    </w:p>
    <w:p w:rsidR="00F059D3" w:rsidRDefault="009E2393">
      <w:pPr>
        <w:overflowPunct w:val="0"/>
        <w:spacing w:line="600" w:lineRule="exact"/>
        <w:ind w:firstLineChars="200" w:firstLine="600"/>
        <w:rPr>
          <w:rFonts w:ascii="仿宋_GB2312" w:eastAsia="仿宋_GB2312"/>
          <w:spacing w:val="-8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根据《教育部等九部门关于进一步推进社区教育发展的实施意见》(教职成〔201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号)、《上海市人民政府办公厅印发&lt;关于进一步深化学习型城市建设的意见&gt;的通知》（沪府办发〔2023〕</w:t>
      </w:r>
      <w:r w:rsidR="00EA0A72">
        <w:rPr>
          <w:rFonts w:ascii="仿宋_GB2312" w:eastAsia="仿宋_GB2312" w:hint="eastAsia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号）以及《上海市终身教育发展“十四五”规划》（沪教委终〔2022〕2号）等要求，为进一步加强上海市社区教育基础能力建设，提高社区教育服务能力，根据本市终身教育工作年度目标和发展要求，经过自主申报、专家评审等环节，确定20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年度上海市社区教育实验委托项目5个、社区教育实验重点项目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3个、社区教育实验一般项</w:t>
      </w:r>
      <w:r>
        <w:rPr>
          <w:rFonts w:ascii="仿宋_GB2312" w:eastAsia="仿宋_GB2312" w:hint="eastAsia"/>
          <w:spacing w:val="-8"/>
          <w:sz w:val="30"/>
          <w:szCs w:val="30"/>
        </w:rPr>
        <w:lastRenderedPageBreak/>
        <w:t>目103个，现予以公布（详见附件）。</w:t>
      </w:r>
    </w:p>
    <w:p w:rsidR="00F059D3" w:rsidRDefault="009E2393">
      <w:pPr>
        <w:overflowPunct w:val="0"/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希望各区教育局、各有关单位加强指导，推进本市社区教育实验项目有序开展。各实验项目申报单位在实验过程中要开拓创新、注重研究，确保按期高质量完成实验内容，努力</w:t>
      </w:r>
      <w:r>
        <w:rPr>
          <w:rFonts w:ascii="仿宋_GB2312" w:eastAsia="仿宋_GB2312" w:hint="eastAsia"/>
          <w:color w:val="000000"/>
          <w:sz w:val="30"/>
          <w:szCs w:val="30"/>
        </w:rPr>
        <w:t>为本市社区教育创新发展提供新思路和新示范。</w:t>
      </w:r>
    </w:p>
    <w:p w:rsidR="00F059D3" w:rsidRDefault="00F059D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059D3" w:rsidRDefault="009E239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附件：1.20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年度上海市社区教育实验委托项目名单</w:t>
      </w:r>
    </w:p>
    <w:p w:rsidR="00F059D3" w:rsidRDefault="009E239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2.20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年度上海市社区教育实验重点项目名单</w:t>
      </w:r>
    </w:p>
    <w:p w:rsidR="00F059D3" w:rsidRDefault="009E239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3.20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年度上海市社区教育实验一般项目名单</w:t>
      </w:r>
    </w:p>
    <w:p w:rsidR="00F059D3" w:rsidRDefault="00F059D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059D3" w:rsidRDefault="00F059D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059D3" w:rsidRDefault="00F059D3">
      <w:pPr>
        <w:overflowPunct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059D3" w:rsidRDefault="00EA0A72">
      <w:pPr>
        <w:spacing w:line="560" w:lineRule="exact"/>
        <w:ind w:right="361"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9E2393">
        <w:rPr>
          <w:rFonts w:ascii="仿宋_GB2312" w:eastAsia="仿宋_GB2312" w:hint="eastAsia"/>
          <w:sz w:val="30"/>
          <w:szCs w:val="30"/>
        </w:rPr>
        <w:t>上 海 市 教 育 委 员 会</w:t>
      </w:r>
    </w:p>
    <w:p w:rsidR="00F059D3" w:rsidRDefault="00EA0A72">
      <w:pPr>
        <w:tabs>
          <w:tab w:val="left" w:pos="7380"/>
          <w:tab w:val="left" w:pos="7560"/>
        </w:tabs>
        <w:spacing w:line="560" w:lineRule="exact"/>
        <w:ind w:right="361"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9E2393">
        <w:rPr>
          <w:rFonts w:ascii="仿宋_GB2312" w:eastAsia="仿宋_GB2312" w:hint="eastAsia"/>
          <w:sz w:val="30"/>
          <w:szCs w:val="30"/>
        </w:rPr>
        <w:t>2024年3月13日</w:t>
      </w:r>
    </w:p>
    <w:p w:rsidR="00F059D3" w:rsidRDefault="009E2393" w:rsidP="00EA0A72">
      <w:pPr>
        <w:jc w:val="left"/>
      </w:pPr>
      <w:r>
        <w:rPr>
          <w:rFonts w:ascii="黑体" w:eastAsia="黑体" w:hint="eastAsia"/>
          <w:sz w:val="32"/>
          <w:szCs w:val="32"/>
        </w:rPr>
        <w:br w:type="page"/>
      </w:r>
    </w:p>
    <w:p w:rsidR="00F059D3" w:rsidRDefault="009E2393">
      <w:pPr>
        <w:widowControl/>
        <w:overflowPunct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059D3" w:rsidRDefault="009E2393">
      <w:pPr>
        <w:widowControl/>
        <w:spacing w:line="360" w:lineRule="auto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202</w:t>
      </w:r>
      <w:r>
        <w:rPr>
          <w:rFonts w:ascii="方正小标宋简体" w:eastAsia="方正小标宋简体" w:hAnsi="华文中宋"/>
          <w:sz w:val="38"/>
          <w:szCs w:val="38"/>
        </w:rPr>
        <w:t>4</w:t>
      </w:r>
      <w:r>
        <w:rPr>
          <w:rFonts w:ascii="方正小标宋简体" w:eastAsia="方正小标宋简体" w:hAnsi="华文中宋" w:hint="eastAsia"/>
          <w:sz w:val="38"/>
          <w:szCs w:val="38"/>
        </w:rPr>
        <w:t>年度上海市社区教育实验委托项目名单</w:t>
      </w:r>
    </w:p>
    <w:p w:rsidR="00F059D3" w:rsidRDefault="00F059D3">
      <w:pPr>
        <w:jc w:val="center"/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225"/>
        <w:gridCol w:w="5125"/>
        <w:gridCol w:w="1183"/>
      </w:tblGrid>
      <w:tr w:rsidR="00F059D3">
        <w:trPr>
          <w:trHeight w:val="604"/>
          <w:jc w:val="center"/>
        </w:trPr>
        <w:tc>
          <w:tcPr>
            <w:tcW w:w="704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22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委托单位</w:t>
            </w:r>
          </w:p>
        </w:tc>
        <w:tc>
          <w:tcPr>
            <w:tcW w:w="51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实验项目名称</w:t>
            </w:r>
          </w:p>
        </w:tc>
        <w:tc>
          <w:tcPr>
            <w:tcW w:w="1183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实验时间</w:t>
            </w:r>
          </w:p>
        </w:tc>
      </w:tr>
      <w:tr w:rsidR="00F059D3">
        <w:trPr>
          <w:trHeight w:val="940"/>
          <w:jc w:val="center"/>
        </w:trPr>
        <w:tc>
          <w:tcPr>
            <w:tcW w:w="704" w:type="dxa"/>
            <w:vAlign w:val="center"/>
          </w:tcPr>
          <w:p w:rsidR="00F059D3" w:rsidRDefault="00F059D3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25" w:type="dxa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上海市教育委员会教育技术装备中心</w:t>
            </w:r>
          </w:p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长宁区社区学院 </w:t>
            </w:r>
          </w:p>
        </w:tc>
        <w:tc>
          <w:tcPr>
            <w:tcW w:w="51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老年教育智慧学习场景运用的实验</w:t>
            </w:r>
          </w:p>
        </w:tc>
        <w:tc>
          <w:tcPr>
            <w:tcW w:w="1183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1年</w:t>
            </w:r>
          </w:p>
        </w:tc>
      </w:tr>
      <w:tr w:rsidR="00F059D3">
        <w:trPr>
          <w:trHeight w:val="492"/>
          <w:jc w:val="center"/>
        </w:trPr>
        <w:tc>
          <w:tcPr>
            <w:tcW w:w="704" w:type="dxa"/>
            <w:vAlign w:val="center"/>
          </w:tcPr>
          <w:p w:rsidR="00F059D3" w:rsidRDefault="00F059D3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25" w:type="dxa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静安区业余大学</w:t>
            </w:r>
          </w:p>
        </w:tc>
        <w:tc>
          <w:tcPr>
            <w:tcW w:w="51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老年人跨越数字鸿沟标准指南建设的实验</w:t>
            </w:r>
          </w:p>
        </w:tc>
        <w:tc>
          <w:tcPr>
            <w:tcW w:w="1183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492"/>
          <w:jc w:val="center"/>
        </w:trPr>
        <w:tc>
          <w:tcPr>
            <w:tcW w:w="704" w:type="dxa"/>
            <w:vAlign w:val="center"/>
          </w:tcPr>
          <w:p w:rsidR="00F059D3" w:rsidRDefault="00F059D3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25" w:type="dxa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虹口区社区学院</w:t>
            </w:r>
          </w:p>
        </w:tc>
        <w:tc>
          <w:tcPr>
            <w:tcW w:w="51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社区教育助力上海海派文化传承与创新的实验</w:t>
            </w:r>
          </w:p>
        </w:tc>
        <w:tc>
          <w:tcPr>
            <w:tcW w:w="1183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940"/>
          <w:jc w:val="center"/>
        </w:trPr>
        <w:tc>
          <w:tcPr>
            <w:tcW w:w="704" w:type="dxa"/>
            <w:vAlign w:val="center"/>
          </w:tcPr>
          <w:p w:rsidR="00F059D3" w:rsidRDefault="00F059D3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宝山区社区学院</w:t>
            </w:r>
          </w:p>
        </w:tc>
        <w:tc>
          <w:tcPr>
            <w:tcW w:w="51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社区教育融入社区治理，构建“三级联动”培训体系的实验</w:t>
            </w:r>
          </w:p>
        </w:tc>
        <w:tc>
          <w:tcPr>
            <w:tcW w:w="1183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537"/>
          <w:jc w:val="center"/>
        </w:trPr>
        <w:tc>
          <w:tcPr>
            <w:tcW w:w="704" w:type="dxa"/>
            <w:vAlign w:val="center"/>
          </w:tcPr>
          <w:p w:rsidR="00F059D3" w:rsidRDefault="00F059D3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奉贤区社区学院</w:t>
            </w:r>
          </w:p>
        </w:tc>
        <w:tc>
          <w:tcPr>
            <w:tcW w:w="5125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社区教育助力学习型乡村建设的实验</w:t>
            </w:r>
          </w:p>
        </w:tc>
        <w:tc>
          <w:tcPr>
            <w:tcW w:w="1183" w:type="dxa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</w:tbl>
    <w:p w:rsidR="00F059D3" w:rsidRDefault="00F059D3"/>
    <w:p w:rsidR="00F059D3" w:rsidRDefault="009E2393">
      <w:pPr>
        <w:widowControl/>
        <w:spacing w:line="360" w:lineRule="auto"/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 w:hint="eastAsia"/>
          <w:sz w:val="32"/>
          <w:szCs w:val="32"/>
        </w:rPr>
        <w:t>附件2</w:t>
      </w:r>
    </w:p>
    <w:p w:rsidR="00F059D3" w:rsidRDefault="00F059D3">
      <w:pPr>
        <w:widowControl/>
        <w:spacing w:line="360" w:lineRule="auto"/>
        <w:rPr>
          <w:rFonts w:ascii="黑体" w:eastAsia="黑体"/>
          <w:sz w:val="32"/>
          <w:szCs w:val="32"/>
        </w:rPr>
      </w:pPr>
    </w:p>
    <w:p w:rsidR="00F059D3" w:rsidRDefault="009E2393">
      <w:pPr>
        <w:widowControl/>
        <w:spacing w:line="50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202</w:t>
      </w:r>
      <w:r>
        <w:rPr>
          <w:rFonts w:ascii="方正小标宋简体" w:eastAsia="方正小标宋简体" w:hAnsi="华文中宋"/>
          <w:sz w:val="38"/>
          <w:szCs w:val="38"/>
        </w:rPr>
        <w:t>4</w:t>
      </w:r>
      <w:r>
        <w:rPr>
          <w:rFonts w:ascii="方正小标宋简体" w:eastAsia="方正小标宋简体" w:hAnsi="华文中宋" w:hint="eastAsia"/>
          <w:sz w:val="38"/>
          <w:szCs w:val="38"/>
        </w:rPr>
        <w:t>年度上海市社区教育实验重点项目名单</w:t>
      </w:r>
    </w:p>
    <w:tbl>
      <w:tblPr>
        <w:tblW w:w="52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"/>
        <w:gridCol w:w="1527"/>
        <w:gridCol w:w="2563"/>
        <w:gridCol w:w="4055"/>
        <w:gridCol w:w="808"/>
      </w:tblGrid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承担单位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实验项目名称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实验</w:t>
            </w:r>
          </w:p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时间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三林镇社区（老年）学校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党建引领社区教育三步走——走深、走宽、走实的实验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机构改革背景下，加强浦东新区社区教育教师队伍建设的实验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黄浦区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上海市商贸旅游学校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校企融通共建“一路一河一步道”人文行走学习共同体的实验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静安区业余大学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基于ADDIE模型的老年人数字素养课程建设的实验 ——以《智能应用与生活》课程为个案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静安区老年大学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新型老年大学助推“银发族”数字素养提升的实验——以静安乐龄老年大学为例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1年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“汇地图”：社会参与视角下徐汇终身学习人文行走数字地图建设与推广的实验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虹梅街道社区学校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社校企协同开展“园区科技课进校园”的实验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长宁区业余大学（长宁区社区学院）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依托“硅巷NO1创新空间”，打造“双创”实践基地的实验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华阳路街道办事处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“15分钟社区美好生活圈”建设背景下社区新型学习点位培育的实验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生成式大模型在老年智慧学习团队中创新应用的实验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上海市真北中学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红色文化影视创作传播的实验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普陀区老年大学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积极心理学赋能“心理悦成长”老年学习团队创新发展的实验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四川北路街道文化活动中心、四川北路街道社区（老年）学校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老年学习团队促进文化传承与推广的实验——以虹口区四川北路街道为例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依托跨时空学习场景，拓展社区传统文化课程路径的实验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开发社区老年人数字健康素养课程资源的实验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杨浦区学习型社会建设与终身教育促进委员会办公室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挖掘“社区”家庭教育本体优势实践研究的实验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宝山区业余大学（宝山家长学校）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三教融通背景下，家庭教育亲子品牌建设的实验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</w:rPr>
              <w:t>宝山区社区学院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社区教育助推市民绿色低碳生活方式养成的实验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庙行镇中环国际第二居民委员会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整合优质资源，打造儿童友好社区的实验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Style w:val="FontStyle15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古美路街道社区学校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以“双师型”教师队伍建设为抓手，促进社区教育协同社区治理的实验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Style w:val="FontStyle15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浦江镇社区学校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浦江镇社区教育助力社区治理“两网融合、三治推进”模式的实验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枫泾镇社区学校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《其乐无涯》乐高特色课程建设的实验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廊下镇社区学校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“三耕”乡土特色课程建设的实验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“银龄计划”背景下构建社区教育银龄讲师培育体系的实验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菊园新区教育委员会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“双减”背景下菊园新区建设“青少年第二课堂”的实验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Style w:val="FontStyle15"/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小昆山成人中等文化技术学校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打造校企合作体验基地，丰富市民个性化学习方式的实验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Style w:val="FontStyle15"/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石湖荡成人中等文化技术学校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社会治理共同体视域下社区教育促进老漂族融入城市新生活的实验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682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白鹤成人中等文化技术学校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“双减”背景下青少年学农劳动实践基地课程建设的实验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香花桥成人中等文化技术学校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依托“治汇坊”提升社区居民协商民主议事能力的实验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sz w:val="24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</w:rPr>
              <w:t>中共奉贤区奉城镇朱墩村总支部委员会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田间大课堂赋能乡村振兴的新乡村教育的实验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崇明区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崇明区社区学院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依托社区教育名师孵化室培育骨干教师的实验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崇明区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崇明区社区学院、新河镇成人中等文化技术学校、庙镇成人中等文化技术学校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走读长江口美丽乡村，服务生态岛绿色发展的实验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55" w:type="pct"/>
            <w:vAlign w:val="center"/>
          </w:tcPr>
          <w:p w:rsidR="00F059D3" w:rsidRDefault="00F059D3">
            <w:pPr>
              <w:pStyle w:val="Style7"/>
              <w:numPr>
                <w:ilvl w:val="0"/>
                <w:numId w:val="2"/>
              </w:numPr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——</w:t>
            </w:r>
          </w:p>
        </w:tc>
        <w:tc>
          <w:tcPr>
            <w:tcW w:w="135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上海南湖职业技术学院</w:t>
            </w:r>
          </w:p>
        </w:tc>
        <w:tc>
          <w:tcPr>
            <w:tcW w:w="214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职继融通视域下职业院校服务市民终身学习的实验</w:t>
            </w:r>
          </w:p>
        </w:tc>
        <w:tc>
          <w:tcPr>
            <w:tcW w:w="428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</w:tbl>
    <w:p w:rsidR="00F059D3" w:rsidRDefault="009E2393">
      <w:pPr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Ansi="华文中宋"/>
          <w:sz w:val="38"/>
          <w:szCs w:val="38"/>
        </w:rPr>
        <w:br w:type="page"/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F059D3" w:rsidRDefault="009E2393" w:rsidP="00EA0A72">
      <w:pPr>
        <w:widowControl/>
        <w:spacing w:afterLines="100" w:line="360" w:lineRule="auto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2024年度上海市社区教育实验一般项目名单</w:t>
      </w:r>
    </w:p>
    <w:tbl>
      <w:tblPr>
        <w:tblW w:w="53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456"/>
        <w:gridCol w:w="2390"/>
        <w:gridCol w:w="4133"/>
        <w:gridCol w:w="1142"/>
      </w:tblGrid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承担单位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实验项目名称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实验时间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浦东新区社区学院南汇新城镇社区教育部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以智慧学习赋能南汇新城镇社区教育发展的实验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大团镇社区学校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社区教育促进优秀传统文化的传承和发展的实验——以锣鼓书为例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浦东新区社区学院泥城镇社区教育部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社区教育助力社区居民养成健康生活方式的实验——以太极拳教学为例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陆家嘴街道隧成居委学习点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建设隧成居委学习点延伸课堂的实验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浦东新区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三林镇社区（老年）学校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国学理论教学与太极拳单架练习结合的实验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上海市第八中学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老年人AI绘画课程开发的实验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黄浦区社区学院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人文行走为主题的社区教育课程设计建设的实验——以《行走中的歌声》为例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整体性治理视域下推进老年大学多校区教学管理的实验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1年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“知情行”三向度综合模式推进老年大学生命教育的实验——以静安乐龄老年大学为例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积极老龄化视角下完善养教结合推进策略的实验——以上海市静安区为例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基于泰勒目标评价模式开展老年教学评价的实验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面向快速迭代的终身教育虚拟仿真课件设计平台的实验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社区心理健康课程建设研究的实验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北站街道社区学校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市民人文行走的创新与发展的实验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数字技术赋能老年教育课程教学创新的实验——以静安区老年大学为例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静安区业余大学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线上线下融合教学模式在社区老年法制教育中应用探索的实验——以《民法典进社区——婚姻家庭、继承篇》课程为例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静安社区学院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促进共享，提升社区教育资源配送服务的实验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打造数字化赋能的新型老年大学的实验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徐汇区业余大学（徐汇区社区学院）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发挥区域平台型院校优势，推进新形势下社区财经素养教育的实验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漕河泾街道社区学校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借助数字化服务提升老年学习团队发展的实验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枫林街道社区学校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学习型社会视域下辖区多元主体参与社区教育的实验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斜土街道社区学校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老有所为、服务社区：斜土社区学校开展“13+1”课程新模式的实验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田林街道社区学校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“双减”背景下社区教育活动促进“校家社”协同育人的实验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康健街道社区学校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在社区学校课程建设中开展课程思政的实验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徐汇区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湖南街道社区学校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文化强国建设背景下社区教育促进优秀传统文化传承与发展的实验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周家桥街道社区服务办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依托社区教育培育老年健康生活方式的实验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长宁区老年（老干部）大学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“乐进”式老年教育实践基地创新探索的实验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仙霞新村街道办事处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建设智慧学习场景，打造智享智慧生活的实验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程家桥街道办事处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社区教育服务居民智慧生活的实验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新泾镇社区学校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社会力量参与社区教育模式创新的实验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虹桥街道社区学校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美好生活主题下探索社校联动推进思政教育的实验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长宁区特殊教育指导中心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基于专科医院合作的0-3岁高危婴幼儿家长融合课堂的实验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北新泾街道办事处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构建“智慧康养”老年教育智慧学习场景的实验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新华路街道社区服务办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创新发展校外学习点服务社区美好生活的实验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长宁区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江苏路街道社区服务办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整合社会资源提升社区教育服务能级的实验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普陀区青少年教育活动中心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社区教育助力科学普及——“奇妙水之旅”系列科普课程建设的实验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老年教育艺术与思政融合的实验——以普陀区老年大学《广场舞》课程为例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普陀区业余大学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社区教育促进家校社协同育人的实验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适合老年人学习特点的梯级英语课程建设的实验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甘泉路街道社区学校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甘泉社区教育助力“双减”政策落实的实验——开展“节气知识与传统文化”科普项目研究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普陀区业余大学（普陀区社区学院）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老年教育影视鉴赏课程美育与德育融合的实验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桃浦镇社区学校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探索“社区+园区”模式，多元共建校外教育圈的实验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万里街道社区学校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依托社区教育非遗资源促进残疾人社会融合的实验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普陀区业余大学（普陀区社区学院）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信息化背景下老年教育课程资源整合的实验——以普陀区老年大学日语初级课程为例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普陀区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长寿路街道社区学校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以香调心：开发社区香学课程，弘扬优秀传统文化的实验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江湾镇街道社区学校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多元融合，推进大思政数字化资源建设的实验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北外滩街道社区学校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挖掘区域资源，探索北外滩“一江一河”文化前世今生的实验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嘉兴路街道社区学校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社区美术教育助力社区文化建设的实验——以嘉兴路街道“老街新城”主题美术活动为例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上海畅舞信息科技有限公司、虹口区社区学院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虹口区社区教育专兼职教师培训中的数字化应用的实验——以“形体舞蹈”为例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欧阳路街道社区学校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教育数字化转型背景下助推老年数字教育进社区的实验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凉城新村街道社区学校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社区教育助力儿童友好社区建设的实验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虹口区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广中路街道社区（老年）学校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特殊人群社区手工课程建设的实验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杨浦区残疾人“咖啡学院”人才培养帮扶模式建设的实验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大桥街道社区学校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“双减”背景下社区教育促进家校社协同育人模式的实验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</w:rPr>
              <w:t>长白新村街道办事处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社区教育课程思政助力社区治理的实验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定海路街道社区学校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整合社区资源促进优秀传统文化的传承与发展的实验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社会治理共同体视域下社区志愿者参与基层自治的实验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snapToGrid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社区教育拼课教学的实验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Style w:val="FontStyle15"/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宝山区业余大学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老年大学课程思政路径研究实践的实验——以“朗诵表演课”为例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宝山区业余大学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老年学习团队驱动智慧助老服务的实验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庙行镇中环国际第二居民委员会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墨香斋书法班：探索书法教育对于提升社区文化和传承中华传统文化的实验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社区教育提升市民生活品质的实验</w:t>
            </w:r>
          </w:p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——以实用技能类课程为例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庙行镇社区学校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社区教育助力居民养成健康生活方式的实验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数字化赋能老年教育，提高电钢琴学习效率的实验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拓宽社区教育服务，探索实训基地运作新模式的实验——以中西点实训基地建设及运行模式为例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宝山区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杨行镇社区学校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助力老年人跨越数字鸿沟，乐享老年生活的实验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莘庄镇社区学校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智慧助老融入社区治理的实验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华漕镇社区学校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开展邮票党课，加强老年群体思政素养的实验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江川路街道社区学校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基于江川教育资源的“四善”家庭教育实践与研究的实验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浦锦街道社区学校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社区教育助推红色文化传承及发展的实验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闵行区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虹桥镇社区学校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拓展社区教育课程，推进智慧助老的实验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吕巷镇社区学校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吕巷镇社区教育助力本土灶花与乡贤文化挖掘与发展的实验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pStyle w:val="Style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FontStyle15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张堰镇社区学校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运用随机通达教学解决老年课堂班内分层教学困境的实验——以《手机短视频制作》课程为例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石化街道社区学校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“龙文化”一校一品建设的实验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漕泾镇社区学校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智能手机助力农村老年人跨越数字鸿沟的实验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朱泾镇社区学校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乡镇非遗文化学习型团队建设的实验——以朱泾”花样花灯“学习型团队为例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山阳镇社区学校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培育本土特色品牌团队的实验——以常青树故事队为例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吕巷镇社区学校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吕巷镇水果公园人文行走中思政课程打造与推进的实验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金山卫镇社区学校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虚拟演播系统在老年教育中应用的实验——以金山卫镇社区学校康城校区为例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亭林镇社区学校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以亭林黑陶促进良渚文化传承与发扬的实验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金山区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上海湾区高新技术产业开发区社区学校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智慧助老行动助推学习型乡村建设的实验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安亭镇成人中等文化技术学校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“学悦双城·1+”项目中“学悦护照”建设的实验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华亭镇成人中等文化技术学校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数字化转型背景下乡村社区老年教育发展的实验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外冈镇成人中等文化技术学校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老年学习团队培育方法和策略的实验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嘉定区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新成路街道成人中等文化技术学校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新成路街道老年数字化课程体系建设的实验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洞泾镇成人中等文化技术学校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社区教育推动非物质文化传承与发展的实验——以洞泾镇茶担舞为例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九里亭街道社区学校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机构调整优化背景下，基于地域特点推动社区教育的实验——以松江区九里亭街道为例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佘山成人中等文化技术学校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“墨香女性课堂”特色课程数字化设计与教学的实验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永丰街道社区学校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学习坊的创建与工作开展路径探索的实验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泖港成人中等文化技术学校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基于项目学习的生态文化教育模式探索的实验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学习团队孵化与培育的实验——以上海市松江区拉丁舞团队为例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松江区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中山街道社区学校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社区教育助力“智慧助老”的实验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积极老龄化背景下社区教育推动老年人数字融入的实验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金泽成人中等文化技术学校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创新学习团队培育与发展——社区教育探索学习团队培育创新实践的实验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重固成人中等文化技术学校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党建引领社区教育，促进中华优秀传统文化的传承与发展的实验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徐泾成人中等文化技术学校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社区教育教研组内涵提升的实践与探索的实验——以青浦区“艺术与人文”教研组为例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青浦区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赵巷成人中等文化技术学校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社区教育助力社区居民养成健康科学生活方式的实验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四团镇成人中等文化技术学校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郊区农村思政教育进村居的实验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柘林镇成人中等文化技术学校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社区教育智慧学习场景建设、多维学习空间构建的实验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庄行成人中等文化技术学校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社区教育助力新农村建设的实验——以庄行成校《新型农民“红十字”现场救护技能培训项目》为例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奉贤区社区学院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学习型城市建设视域下奉贤人文行走创新发展的实验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崇明区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崇明瀛通老年大学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老年大学学制改革，推进学校内涵建设的实验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  <w:tr w:rsidR="00F059D3">
        <w:trPr>
          <w:trHeight w:val="184"/>
          <w:jc w:val="center"/>
        </w:trPr>
        <w:tc>
          <w:tcPr>
            <w:tcW w:w="279" w:type="pct"/>
            <w:vAlign w:val="center"/>
          </w:tcPr>
          <w:p w:rsidR="00F059D3" w:rsidRDefault="00F059D3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3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崇明区</w:t>
            </w:r>
          </w:p>
        </w:tc>
        <w:tc>
          <w:tcPr>
            <w:tcW w:w="1237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堡镇成人中等文化技术学校</w:t>
            </w:r>
          </w:p>
        </w:tc>
        <w:tc>
          <w:tcPr>
            <w:tcW w:w="2139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社区教育数字化学习资源开发与应用的实验</w:t>
            </w:r>
          </w:p>
        </w:tc>
        <w:tc>
          <w:tcPr>
            <w:tcW w:w="591" w:type="pct"/>
            <w:vAlign w:val="center"/>
          </w:tcPr>
          <w:p w:rsidR="00F059D3" w:rsidRDefault="009E239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</w:p>
        </w:tc>
      </w:tr>
    </w:tbl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>
      <w:pPr>
        <w:sectPr w:rsidR="00F059D3">
          <w:footerReference w:type="even" r:id="rId7"/>
          <w:footerReference w:type="default" r:id="rId8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/>
    <w:p w:rsidR="00F059D3" w:rsidRDefault="00F059D3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F059D3" w:rsidRDefault="00F059D3" w:rsidP="00EA0A72">
      <w:pPr>
        <w:spacing w:line="560" w:lineRule="exact"/>
        <w:ind w:right="361"/>
        <w:rPr>
          <w:rFonts w:ascii="仿宋_GB2312" w:eastAsia="仿宋_GB2312"/>
          <w:sz w:val="30"/>
          <w:szCs w:val="30"/>
        </w:rPr>
      </w:pPr>
    </w:p>
    <w:p w:rsidR="00F059D3" w:rsidRDefault="00F059D3" w:rsidP="00EA0A72">
      <w:pPr>
        <w:spacing w:line="560" w:lineRule="exact"/>
        <w:ind w:right="361"/>
        <w:rPr>
          <w:rFonts w:ascii="仿宋_GB2312" w:eastAsia="仿宋_GB2312"/>
          <w:sz w:val="30"/>
          <w:szCs w:val="30"/>
        </w:rPr>
      </w:pPr>
    </w:p>
    <w:p w:rsidR="00F059D3" w:rsidRDefault="00F059D3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tbl>
      <w:tblPr>
        <w:tblpPr w:leftFromText="180" w:rightFromText="180" w:vertAnchor="text" w:horzAnchor="margin" w:tblpY="656"/>
        <w:tblW w:w="0" w:type="auto"/>
        <w:tblBorders>
          <w:top w:val="single" w:sz="12" w:space="0" w:color="000000" w:themeColor="text1"/>
          <w:bottom w:val="single" w:sz="12" w:space="0" w:color="auto"/>
        </w:tblBorders>
        <w:tblLook w:val="04A0"/>
      </w:tblPr>
      <w:tblGrid>
        <w:gridCol w:w="4068"/>
        <w:gridCol w:w="4680"/>
        <w:gridCol w:w="289"/>
      </w:tblGrid>
      <w:tr w:rsidR="00F059D3">
        <w:tc>
          <w:tcPr>
            <w:tcW w:w="4068" w:type="dxa"/>
            <w:tcBorders>
              <w:tl2br w:val="nil"/>
              <w:tr2bl w:val="nil"/>
            </w:tcBorders>
          </w:tcPr>
          <w:p w:rsidR="00F059D3" w:rsidRDefault="009E2393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:rsidR="00F059D3" w:rsidRDefault="009E2393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2024年3月13日印发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</w:tcPr>
          <w:p w:rsidR="00F059D3" w:rsidRDefault="00F059D3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059D3" w:rsidRDefault="00F059D3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 w:rsidR="00F059D3" w:rsidSect="00F059D3">
      <w:footerReference w:type="default" r:id="rId9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00" w:rsidRDefault="00F67200" w:rsidP="00F059D3">
      <w:r>
        <w:separator/>
      </w:r>
    </w:p>
  </w:endnote>
  <w:endnote w:type="continuationSeparator" w:id="0">
    <w:p w:rsidR="00F67200" w:rsidRDefault="00F67200" w:rsidP="00F0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93" w:rsidRDefault="00F6720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E23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393">
      <w:rPr>
        <w:rStyle w:val="a5"/>
      </w:rPr>
      <w:t>1</w:t>
    </w:r>
    <w:r>
      <w:rPr>
        <w:rStyle w:val="a5"/>
      </w:rPr>
      <w:fldChar w:fldCharType="end"/>
    </w:r>
  </w:p>
  <w:p w:rsidR="009E2393" w:rsidRDefault="009E239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93" w:rsidRDefault="009E2393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 w:rsidR="00F67200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F67200">
      <w:rPr>
        <w:rStyle w:val="a5"/>
        <w:rFonts w:ascii="宋体" w:hAnsi="宋体"/>
        <w:sz w:val="28"/>
      </w:rPr>
      <w:fldChar w:fldCharType="separate"/>
    </w:r>
    <w:r w:rsidR="00F67200">
      <w:rPr>
        <w:rStyle w:val="a5"/>
        <w:rFonts w:ascii="宋体" w:hAnsi="宋体"/>
        <w:noProof/>
        <w:sz w:val="28"/>
      </w:rPr>
      <w:t>1</w:t>
    </w:r>
    <w:r w:rsidR="00F67200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9E2393" w:rsidRDefault="009E239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93" w:rsidRDefault="009E239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00" w:rsidRDefault="00F67200" w:rsidP="00F059D3">
      <w:r>
        <w:separator/>
      </w:r>
    </w:p>
  </w:footnote>
  <w:footnote w:type="continuationSeparator" w:id="0">
    <w:p w:rsidR="00F67200" w:rsidRDefault="00F67200" w:rsidP="00F05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6388B"/>
    <w:multiLevelType w:val="singleLevel"/>
    <w:tmpl w:val="8156388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1">
    <w:nsid w:val="85D8319C"/>
    <w:multiLevelType w:val="singleLevel"/>
    <w:tmpl w:val="85D8319C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1D9C16DD"/>
    <w:multiLevelType w:val="multilevel"/>
    <w:tmpl w:val="1D9C16D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</w:compat>
  <w:rsids>
    <w:rsidRoot w:val="7FF936CC"/>
    <w:rsid w:val="007A2957"/>
    <w:rsid w:val="7FF936CC"/>
    <w:rsid w:val="EF5BC255"/>
    <w:rsid w:val="F57F3FF0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2E6D6F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E2393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11821"/>
    <w:rsid w:val="00D50530"/>
    <w:rsid w:val="00D51BBA"/>
    <w:rsid w:val="00D540F3"/>
    <w:rsid w:val="00D7185A"/>
    <w:rsid w:val="00DE3403"/>
    <w:rsid w:val="00EA0A72"/>
    <w:rsid w:val="00EA3773"/>
    <w:rsid w:val="00ED3BF6"/>
    <w:rsid w:val="00EF69E5"/>
    <w:rsid w:val="00F059D3"/>
    <w:rsid w:val="00F67200"/>
    <w:rsid w:val="00F90E73"/>
    <w:rsid w:val="00FE259A"/>
    <w:rsid w:val="00FF63C3"/>
    <w:rsid w:val="7FF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59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059D3"/>
  </w:style>
  <w:style w:type="paragraph" w:styleId="a6">
    <w:name w:val="List Paragraph"/>
    <w:basedOn w:val="a"/>
    <w:uiPriority w:val="34"/>
    <w:qFormat/>
    <w:rsid w:val="00F059D3"/>
    <w:pPr>
      <w:ind w:firstLineChars="200" w:firstLine="420"/>
    </w:pPr>
    <w:rPr>
      <w:szCs w:val="24"/>
    </w:rPr>
  </w:style>
  <w:style w:type="paragraph" w:customStyle="1" w:styleId="Style7">
    <w:name w:val="Style7"/>
    <w:basedOn w:val="a"/>
    <w:uiPriority w:val="99"/>
    <w:qFormat/>
    <w:rsid w:val="00F059D3"/>
    <w:pPr>
      <w:jc w:val="center"/>
    </w:pPr>
    <w:rPr>
      <w:szCs w:val="22"/>
    </w:rPr>
  </w:style>
  <w:style w:type="character" w:customStyle="1" w:styleId="FontStyle15">
    <w:name w:val="Font Style15"/>
    <w:uiPriority w:val="99"/>
    <w:qFormat/>
    <w:rsid w:val="00F059D3"/>
    <w:rPr>
      <w:rFonts w:ascii="宋体" w:eastAsia="宋体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jw3218\Desktop\2024&#24180;&#25991;&#20214;&#27169;&#26495;\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95</TotalTime>
  <Pages>11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cp:lastModifiedBy>刘瑜</cp:lastModifiedBy>
  <cp:revision>5</cp:revision>
  <cp:lastPrinted>2024-03-13T14:41:00Z</cp:lastPrinted>
  <dcterms:created xsi:type="dcterms:W3CDTF">2024-03-13T14:35:00Z</dcterms:created>
  <dcterms:modified xsi:type="dcterms:W3CDTF">2024-04-03T06:52:00Z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B6F6E27145D9E09C4C49F165D19764DB</vt:lpwstr>
  </property>
</Properties>
</file>