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hint="eastAsia" w:ascii="黑体" w:hAnsi="黑体" w:eastAsia="黑体"/>
          <w:b w:val="0"/>
          <w:bCs/>
          <w:sz w:val="36"/>
          <w:szCs w:val="36"/>
        </w:rPr>
      </w:pPr>
      <w:r>
        <w:rPr>
          <w:rFonts w:hint="eastAsia" w:ascii="黑体" w:hAnsi="黑体" w:eastAsia="黑体"/>
          <w:b w:val="0"/>
          <w:bCs/>
          <w:sz w:val="36"/>
          <w:szCs w:val="36"/>
        </w:rPr>
        <w:t>闵行区关于进一步促进残疾人就业的实施意见</w:t>
      </w:r>
    </w:p>
    <w:p>
      <w:pPr>
        <w:adjustRightInd w:val="0"/>
        <w:snapToGrid w:val="0"/>
        <w:spacing w:line="360" w:lineRule="auto"/>
        <w:jc w:val="center"/>
        <w:rPr>
          <w:rFonts w:hint="eastAsia" w:ascii="黑体" w:hAnsi="黑体" w:eastAsia="黑体" w:cs="Times New Roman"/>
          <w:b w:val="0"/>
          <w:bCs/>
          <w:sz w:val="36"/>
          <w:szCs w:val="36"/>
          <w:lang w:val="en" w:eastAsia="zh-CN"/>
        </w:rPr>
      </w:pPr>
      <w:r>
        <w:rPr>
          <w:rFonts w:hint="eastAsia" w:ascii="黑体" w:hAnsi="黑体" w:eastAsia="黑体" w:cs="Times New Roman"/>
          <w:b w:val="0"/>
          <w:bCs/>
          <w:sz w:val="36"/>
          <w:szCs w:val="36"/>
          <w:lang w:val="en" w:eastAsia="zh-CN"/>
        </w:rPr>
        <w:t>征求意见稿解读</w:t>
      </w:r>
    </w:p>
    <w:p>
      <w:pPr>
        <w:adjustRightInd w:val="0"/>
        <w:snapToGrid w:val="0"/>
        <w:spacing w:line="360" w:lineRule="auto"/>
        <w:ind w:firstLine="600" w:firstLineChars="200"/>
        <w:rPr>
          <w:rFonts w:hint="eastAsia" w:ascii="CESI仿宋-GB2312" w:hAnsi="CESI仿宋-GB2312" w:eastAsia="CESI仿宋-GB2312" w:cs="CESI仿宋-GB2312"/>
          <w:color w:val="000000"/>
          <w:kern w:val="0"/>
          <w:sz w:val="30"/>
          <w:szCs w:val="30"/>
        </w:rPr>
      </w:pP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color w:val="000000"/>
          <w:kern w:val="0"/>
          <w:sz w:val="30"/>
          <w:szCs w:val="30"/>
          <w:lang w:eastAsia="zh-CN"/>
        </w:rPr>
      </w:pPr>
      <w:r>
        <w:rPr>
          <w:rFonts w:hint="eastAsia" w:ascii="CESI仿宋-GB2312" w:hAnsi="CESI仿宋-GB2312" w:eastAsia="CESI仿宋-GB2312" w:cs="CESI仿宋-GB2312"/>
          <w:color w:val="000000"/>
          <w:kern w:val="0"/>
          <w:sz w:val="30"/>
          <w:szCs w:val="30"/>
          <w:lang w:eastAsia="zh-CN"/>
        </w:rPr>
        <w:t>为深入实施就业优先战略，不断完善我区残疾人就业促进政策，持续推进残疾人就业工作，实现更为充分、更高质量的就业目标，根据上海市人民政府办公厅《关于印发&lt;上海市促进残疾人就业行动方案（2023—2024年）&gt;的通知》（沪府办规〔2023〕7号）和《闵行区残疾人事业发展“十四五”规划》有关精神和要求，结合本区实际，闵行区残联牵头起草了《闵行区关于进一步促进残疾人就业的实施意见》（以下简称《实施意见》），简要说明如下：</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color w:val="000000"/>
          <w:kern w:val="0"/>
          <w:sz w:val="30"/>
          <w:szCs w:val="30"/>
          <w:lang w:val="en-US" w:eastAsia="zh-CN"/>
        </w:rPr>
      </w:pPr>
      <w:r>
        <w:rPr>
          <w:rFonts w:hint="eastAsia" w:ascii="CESI仿宋-GB2312" w:hAnsi="CESI仿宋-GB2312" w:eastAsia="CESI仿宋-GB2312" w:cs="CESI仿宋-GB2312"/>
          <w:color w:val="000000"/>
          <w:kern w:val="0"/>
          <w:sz w:val="30"/>
          <w:szCs w:val="30"/>
          <w:lang w:eastAsia="zh-CN"/>
        </w:rPr>
        <w:t>《实施意见》</w:t>
      </w:r>
      <w:r>
        <w:rPr>
          <w:rFonts w:hint="eastAsia" w:ascii="CESI仿宋-GB2312" w:hAnsi="CESI仿宋-GB2312" w:eastAsia="CESI仿宋-GB2312" w:cs="CESI仿宋-GB2312"/>
          <w:color w:val="000000"/>
          <w:kern w:val="0"/>
          <w:sz w:val="30"/>
          <w:szCs w:val="30"/>
        </w:rPr>
        <w:t>以习近平新时代中国特色社会主义思想为指导，全面贯彻党的二十大精神，落实市委、市政府和区委对残疾人事业发展的工作部署，</w:t>
      </w:r>
      <w:r>
        <w:rPr>
          <w:rFonts w:hint="eastAsia" w:ascii="CESI仿宋-GB2312" w:hAnsi="CESI仿宋-GB2312" w:eastAsia="CESI仿宋-GB2312" w:cs="CESI仿宋-GB2312"/>
          <w:color w:val="000000"/>
          <w:kern w:val="0"/>
          <w:sz w:val="30"/>
          <w:szCs w:val="30"/>
          <w:lang w:eastAsia="zh-CN"/>
        </w:rPr>
        <w:t>建立与我区全面建设创新开放、生态人文现代化主城区相适应，与加快推进中国式现代化、实现共同富裕战略目标闵行实践相衔接的就业保障体系。设定的任务目标是：</w:t>
      </w:r>
      <w:r>
        <w:rPr>
          <w:rFonts w:hint="eastAsia" w:ascii="CESI仿宋-GB2312" w:hAnsi="CESI仿宋-GB2312" w:eastAsia="CESI仿宋-GB2312" w:cs="CESI仿宋-GB2312"/>
          <w:color w:val="000000"/>
          <w:kern w:val="0"/>
          <w:sz w:val="30"/>
          <w:szCs w:val="30"/>
          <w:lang w:val="en-US" w:eastAsia="zh-CN"/>
        </w:rPr>
        <w:t>2024—</w:t>
      </w:r>
      <w:bookmarkStart w:id="0" w:name="_GoBack"/>
      <w:bookmarkEnd w:id="0"/>
      <w:r>
        <w:rPr>
          <w:rFonts w:hint="eastAsia" w:ascii="CESI仿宋-GB2312" w:hAnsi="CESI仿宋-GB2312" w:eastAsia="CESI仿宋-GB2312" w:cs="CESI仿宋-GB2312"/>
          <w:color w:val="000000"/>
          <w:kern w:val="0"/>
          <w:sz w:val="30"/>
          <w:szCs w:val="30"/>
          <w:lang w:val="en-US" w:eastAsia="zh-CN"/>
        </w:rPr>
        <w:t>2029年，实现本区城乡新增残疾人就业1500人，推动残疾人就业工作更加贴合残疾人对美好生活的期盼和需求。</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color w:val="000000"/>
          <w:kern w:val="0"/>
          <w:sz w:val="30"/>
          <w:szCs w:val="30"/>
          <w:lang w:val="en-US" w:eastAsia="zh-CN"/>
        </w:rPr>
      </w:pPr>
      <w:r>
        <w:rPr>
          <w:rFonts w:hint="eastAsia" w:ascii="CESI仿宋-GB2312" w:hAnsi="CESI仿宋-GB2312" w:eastAsia="CESI仿宋-GB2312" w:cs="CESI仿宋-GB2312"/>
          <w:color w:val="000000"/>
          <w:kern w:val="0"/>
          <w:sz w:val="30"/>
          <w:szCs w:val="30"/>
          <w:lang w:val="en-US" w:eastAsia="zh-CN"/>
        </w:rPr>
        <w:t>为顺利实现设定的任务目标，《实施意见》从四个方面制定了十二条主要举措。其中，在充分发挥机关事业单位和政府部门在促进残疾人就业的带头示范作用方面，拟定了“推进机关事业单位带头安排残疾人就业工作”“推进政府雇员队伍安排残疾人就业工作”“推进社区工作者队伍安排残疾人就业工作”和“推进国有企业安排残疾人就业工作”四条举措；在加大对残疾人的就业帮扶力度方面，拟定了“帮扶残疾人灵活就业”“</w:t>
      </w:r>
      <w:r>
        <w:rPr>
          <w:rFonts w:hint="eastAsia" w:ascii="CESI仿宋-GB2312" w:hAnsi="CESI仿宋-GB2312" w:eastAsia="CESI仿宋-GB2312" w:cs="CESI仿宋-GB2312"/>
          <w:color w:val="000000"/>
          <w:kern w:val="0"/>
          <w:sz w:val="30"/>
          <w:szCs w:val="30"/>
          <w:lang w:val="en" w:eastAsia="zh-CN"/>
        </w:rPr>
        <w:t>扶持残疾人辅助性就业</w:t>
      </w:r>
      <w:r>
        <w:rPr>
          <w:rFonts w:hint="eastAsia" w:ascii="CESI仿宋-GB2312" w:hAnsi="CESI仿宋-GB2312" w:eastAsia="CESI仿宋-GB2312" w:cs="CESI仿宋-GB2312"/>
          <w:color w:val="000000"/>
          <w:kern w:val="0"/>
          <w:sz w:val="30"/>
          <w:szCs w:val="30"/>
          <w:lang w:val="en-US" w:eastAsia="zh-CN"/>
        </w:rPr>
        <w:t>”“</w:t>
      </w:r>
      <w:r>
        <w:rPr>
          <w:rFonts w:hint="eastAsia" w:ascii="CESI仿宋-GB2312" w:hAnsi="CESI仿宋-GB2312" w:eastAsia="CESI仿宋-GB2312" w:cs="CESI仿宋-GB2312"/>
          <w:color w:val="000000"/>
          <w:kern w:val="0"/>
          <w:sz w:val="30"/>
          <w:szCs w:val="30"/>
          <w:lang w:val="en" w:eastAsia="zh-CN"/>
        </w:rPr>
        <w:t>鼓励残疾人自主创业</w:t>
      </w:r>
      <w:r>
        <w:rPr>
          <w:rFonts w:hint="eastAsia" w:ascii="CESI仿宋-GB2312" w:hAnsi="CESI仿宋-GB2312" w:eastAsia="CESI仿宋-GB2312" w:cs="CESI仿宋-GB2312"/>
          <w:color w:val="000000"/>
          <w:kern w:val="0"/>
          <w:sz w:val="30"/>
          <w:szCs w:val="30"/>
          <w:lang w:val="en-US" w:eastAsia="zh-CN"/>
        </w:rPr>
        <w:t>”和“提升残疾人集中就业单位助残服务能力”四条举措；在进一步提高残疾人就业竞争力方面，拟定了“支持残疾人提升学历”“加大残疾人职业技能培训扶持力度”和“鼓励残疾人参加技能竞赛”三条举措；在支持鼓励残疾人自主就业创业方面，拟定了“深化对残疾人的公共就业创业服务”一条举措，并明确了相关的责任单位</w:t>
      </w:r>
      <w:r>
        <w:rPr>
          <w:rFonts w:hint="eastAsia" w:ascii="CESI仿宋-GB2312" w:hAnsi="CESI仿宋-GB2312" w:eastAsia="CESI仿宋-GB2312" w:cs="CESI仿宋-GB2312"/>
          <w:sz w:val="30"/>
          <w:szCs w:val="30"/>
          <w:lang w:eastAsia="zh-CN"/>
        </w:rPr>
        <w:t>和职责分工</w:t>
      </w:r>
      <w:r>
        <w:rPr>
          <w:rFonts w:hint="eastAsia" w:ascii="CESI仿宋-GB2312" w:hAnsi="CESI仿宋-GB2312" w:eastAsia="CESI仿宋-GB2312" w:cs="CESI仿宋-GB2312"/>
          <w:color w:val="000000"/>
          <w:kern w:val="0"/>
          <w:sz w:val="30"/>
          <w:szCs w:val="30"/>
          <w:lang w:val="en-US" w:eastAsia="zh-CN"/>
        </w:rPr>
        <w:t>。同时，组织保障、资金保障、信息支持、宣传动员、监督落实五个方面提出了相关的工作要求，确保各项政策措施的执行和落实。</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lang w:val="en" w:eastAsia="zh-CN"/>
        </w:rPr>
      </w:pPr>
      <w:r>
        <w:rPr>
          <w:rFonts w:hint="eastAsia" w:ascii="CESI仿宋-GB2312" w:hAnsi="CESI仿宋-GB2312" w:eastAsia="CESI仿宋-GB2312" w:cs="CESI仿宋-GB2312"/>
          <w:color w:val="000000"/>
          <w:kern w:val="0"/>
          <w:sz w:val="30"/>
          <w:szCs w:val="30"/>
          <w:lang w:val="en" w:eastAsia="zh-CN"/>
        </w:rPr>
        <w:t>前期，区残联已初步征求</w:t>
      </w:r>
      <w:r>
        <w:rPr>
          <w:rFonts w:hint="eastAsia" w:ascii="CESI仿宋-GB2312" w:hAnsi="CESI仿宋-GB2312" w:eastAsia="CESI仿宋-GB2312" w:cs="CESI仿宋-GB2312"/>
          <w:sz w:val="30"/>
          <w:szCs w:val="30"/>
          <w:lang w:val="en" w:eastAsia="zh-CN"/>
        </w:rPr>
        <w:t>了区委组织部、区委编办、区人社局、区民政局、区国资委、区财政局等相关责任单位的意见和建议，逐步优化形成了公开征求意见稿。</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lang w:val="en" w:eastAsia="zh-CN"/>
        </w:rPr>
      </w:pPr>
      <w:r>
        <w:rPr>
          <w:rFonts w:hint="eastAsia" w:ascii="CESI仿宋-GB2312" w:hAnsi="CESI仿宋-GB2312" w:eastAsia="CESI仿宋-GB2312" w:cs="CESI仿宋-GB2312"/>
          <w:sz w:val="30"/>
          <w:szCs w:val="30"/>
          <w:lang w:val="en" w:eastAsia="zh-CN"/>
        </w:rPr>
        <w:t>下一步，我们将根据意见征集情况进一步予以完善，按照程序推进《实施意见》的制定出台，推动我区残疾人就业工作持续深入高质量发展。</w:t>
      </w:r>
    </w:p>
    <w:p>
      <w:pPr>
        <w:keepNext w:val="0"/>
        <w:keepLines w:val="0"/>
        <w:pageBreakBefore w:val="0"/>
        <w:kinsoku/>
        <w:wordWrap/>
        <w:overflowPunct/>
        <w:topLinePunct w:val="0"/>
        <w:bidi w:val="0"/>
        <w:adjustRightInd w:val="0"/>
        <w:snapToGrid w:val="0"/>
        <w:spacing w:line="560" w:lineRule="exact"/>
        <w:ind w:firstLine="600" w:firstLineChars="200"/>
        <w:textAlignment w:val="auto"/>
        <w:rPr>
          <w:rFonts w:hint="eastAsia" w:ascii="CESI仿宋-GB2312" w:hAnsi="CESI仿宋-GB2312" w:eastAsia="CESI仿宋-GB2312" w:cs="CESI仿宋-GB2312"/>
          <w:sz w:val="30"/>
          <w:szCs w:val="30"/>
          <w:lang w:val="en" w:eastAsia="zh-CN"/>
        </w:rPr>
      </w:pPr>
    </w:p>
    <w:p>
      <w:pPr>
        <w:keepNext w:val="0"/>
        <w:keepLines w:val="0"/>
        <w:pageBreakBefore w:val="0"/>
        <w:kinsoku/>
        <w:wordWrap/>
        <w:overflowPunct/>
        <w:topLinePunct w:val="0"/>
        <w:bidi w:val="0"/>
        <w:adjustRightInd w:val="0"/>
        <w:snapToGrid w:val="0"/>
        <w:spacing w:line="560" w:lineRule="exact"/>
        <w:ind w:left="0" w:leftChars="0" w:firstLine="4200" w:firstLineChars="1400"/>
        <w:jc w:val="center"/>
        <w:textAlignment w:val="auto"/>
        <w:rPr>
          <w:rFonts w:hint="eastAsia" w:ascii="CESI仿宋-GB2312" w:hAnsi="CESI仿宋-GB2312" w:eastAsia="CESI仿宋-GB2312" w:cs="CESI仿宋-GB2312"/>
          <w:sz w:val="30"/>
          <w:szCs w:val="30"/>
          <w:lang w:val="en" w:eastAsia="zh-CN"/>
        </w:rPr>
      </w:pPr>
      <w:r>
        <w:rPr>
          <w:rFonts w:hint="eastAsia" w:ascii="CESI仿宋-GB2312" w:hAnsi="CESI仿宋-GB2312" w:eastAsia="CESI仿宋-GB2312" w:cs="CESI仿宋-GB2312"/>
          <w:sz w:val="30"/>
          <w:szCs w:val="30"/>
          <w:lang w:val="en" w:eastAsia="zh-CN"/>
        </w:rPr>
        <w:t>闵行区残疾人联合会</w:t>
      </w:r>
    </w:p>
    <w:p>
      <w:pPr>
        <w:keepNext w:val="0"/>
        <w:keepLines w:val="0"/>
        <w:pageBreakBefore w:val="0"/>
        <w:kinsoku/>
        <w:wordWrap/>
        <w:overflowPunct/>
        <w:topLinePunct w:val="0"/>
        <w:bidi w:val="0"/>
        <w:adjustRightInd w:val="0"/>
        <w:snapToGrid w:val="0"/>
        <w:spacing w:line="560" w:lineRule="exact"/>
        <w:ind w:left="0" w:leftChars="0" w:firstLine="4200" w:firstLineChars="1400"/>
        <w:jc w:val="center"/>
        <w:textAlignment w:val="auto"/>
        <w:rPr>
          <w:rFonts w:hint="default" w:ascii="CESI仿宋-GB2312" w:hAnsi="CESI仿宋-GB2312" w:eastAsia="CESI仿宋-GB2312" w:cs="CESI仿宋-GB2312"/>
          <w:sz w:val="30"/>
          <w:szCs w:val="30"/>
          <w:lang w:val="en-US" w:eastAsia="zh-CN"/>
        </w:rPr>
      </w:pPr>
      <w:r>
        <w:rPr>
          <w:rFonts w:hint="eastAsia" w:ascii="CESI仿宋-GB2312" w:hAnsi="CESI仿宋-GB2312" w:eastAsia="CESI仿宋-GB2312" w:cs="CESI仿宋-GB2312"/>
          <w:sz w:val="30"/>
          <w:szCs w:val="30"/>
          <w:lang w:val="en-US" w:eastAsia="zh-CN"/>
        </w:rPr>
        <w:t>2023年12月26日</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文泉驿微米黑"/>
    <w:panose1 w:val="02010600030101010101"/>
    <w:charset w:val="86"/>
    <w:family w:val="auto"/>
    <w:pitch w:val="default"/>
    <w:sig w:usb0="00000203" w:usb1="288F0000" w:usb2="0000001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黑体">
    <w:altName w:val="文泉驿微米黑"/>
    <w:panose1 w:val="02010609060101010101"/>
    <w:charset w:val="00"/>
    <w:family w:val="auto"/>
    <w:pitch w:val="default"/>
    <w:sig w:usb0="800002BF" w:usb1="38CF7CFA" w:usb2="00000016" w:usb3="00000000" w:csb0="00040001" w:csb1="00000000"/>
  </w:font>
  <w:font w:name="CESI仿宋-GB2312">
    <w:panose1 w:val="02000500000000000000"/>
    <w:charset w:val="86"/>
    <w:family w:val="auto"/>
    <w:pitch w:val="default"/>
    <w:sig w:usb0="800002AF" w:usb1="084F6CF8" w:usb2="00000010" w:usb3="00000000" w:csb0="0004000F" w:csb1="00000000"/>
  </w:font>
  <w:font w:name="文泉驿微米黑">
    <w:panose1 w:val="020B0606030804020204"/>
    <w:charset w:val="86"/>
    <w:family w:val="auto"/>
    <w:pitch w:val="default"/>
    <w:sig w:usb0="E10002EF" w:usb1="6BDFFCFB" w:usb2="00800036" w:usb3="00000000" w:csb0="603E019F" w:csb1="DFD7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3"/>
                          </w:pPr>
                          <w:r>
                            <w:fldChar w:fldCharType="begin"/>
                          </w:r>
                          <w:r>
                            <w:instrText xml:space="preserve"> PAGE  \* MERGEFORMAT </w:instrText>
                          </w:r>
                          <w:r>
                            <w:fldChar w:fldCharType="separate"/>
                          </w:r>
                          <w:r>
                            <w:t>1</w:t>
                          </w:r>
                          <w:r>
                            <w:fldChar w:fldCharType="end"/>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JmMTE0ODY1NmE2Nzk2OGUxYmE2ZWI2YmJiZWYzOWMifQ=="/>
  </w:docVars>
  <w:rsids>
    <w:rsidRoot w:val="7EFDF89D"/>
    <w:rsid w:val="002A44F2"/>
    <w:rsid w:val="00323B4D"/>
    <w:rsid w:val="00775B64"/>
    <w:rsid w:val="0090635E"/>
    <w:rsid w:val="00AD3146"/>
    <w:rsid w:val="00C21926"/>
    <w:rsid w:val="00FB5AE4"/>
    <w:rsid w:val="07D771D8"/>
    <w:rsid w:val="0ABF2644"/>
    <w:rsid w:val="29EF0FD2"/>
    <w:rsid w:val="2ABE2E6A"/>
    <w:rsid w:val="2DDF99BF"/>
    <w:rsid w:val="2E3F39E2"/>
    <w:rsid w:val="2F16504A"/>
    <w:rsid w:val="37CEF927"/>
    <w:rsid w:val="38FFEA80"/>
    <w:rsid w:val="3AF17FC9"/>
    <w:rsid w:val="3BA74BED"/>
    <w:rsid w:val="3BFDC5D7"/>
    <w:rsid w:val="3BFF283D"/>
    <w:rsid w:val="3DFF8BA8"/>
    <w:rsid w:val="3DFFB13A"/>
    <w:rsid w:val="3FFFFDCC"/>
    <w:rsid w:val="51FED7AB"/>
    <w:rsid w:val="5773EAE1"/>
    <w:rsid w:val="5AF3D647"/>
    <w:rsid w:val="5BF99BEE"/>
    <w:rsid w:val="5EFA7CCD"/>
    <w:rsid w:val="5F7F18BD"/>
    <w:rsid w:val="5FE490D2"/>
    <w:rsid w:val="5FF3E0C9"/>
    <w:rsid w:val="5FF771CD"/>
    <w:rsid w:val="5FF9F988"/>
    <w:rsid w:val="5FFF76AC"/>
    <w:rsid w:val="62710253"/>
    <w:rsid w:val="657B790C"/>
    <w:rsid w:val="68E657CB"/>
    <w:rsid w:val="6C7F7B0A"/>
    <w:rsid w:val="6DF377D9"/>
    <w:rsid w:val="6DF75D9E"/>
    <w:rsid w:val="6DFE42B8"/>
    <w:rsid w:val="6E794583"/>
    <w:rsid w:val="6F7B2A09"/>
    <w:rsid w:val="6FB708C1"/>
    <w:rsid w:val="6FBB27F8"/>
    <w:rsid w:val="6FDF8899"/>
    <w:rsid w:val="6FF701F6"/>
    <w:rsid w:val="6FFDBA7C"/>
    <w:rsid w:val="73761BE3"/>
    <w:rsid w:val="75F87EB4"/>
    <w:rsid w:val="76EF6D8C"/>
    <w:rsid w:val="76FB0AAE"/>
    <w:rsid w:val="776CD785"/>
    <w:rsid w:val="77A70DDD"/>
    <w:rsid w:val="77DF2E34"/>
    <w:rsid w:val="77F5E55C"/>
    <w:rsid w:val="77FB8675"/>
    <w:rsid w:val="77FF09DF"/>
    <w:rsid w:val="77FF73FA"/>
    <w:rsid w:val="7ADE5FD0"/>
    <w:rsid w:val="7AFB266B"/>
    <w:rsid w:val="7B7558D8"/>
    <w:rsid w:val="7BFF5846"/>
    <w:rsid w:val="7CE928E1"/>
    <w:rsid w:val="7D3FEB05"/>
    <w:rsid w:val="7E679E67"/>
    <w:rsid w:val="7E6EF59D"/>
    <w:rsid w:val="7E7BD215"/>
    <w:rsid w:val="7E7FA1E6"/>
    <w:rsid w:val="7EEF4B56"/>
    <w:rsid w:val="7EFDF89D"/>
    <w:rsid w:val="7EFF92C8"/>
    <w:rsid w:val="7EFFAE3E"/>
    <w:rsid w:val="7EFFFD4F"/>
    <w:rsid w:val="7F33D6A3"/>
    <w:rsid w:val="7F6F943F"/>
    <w:rsid w:val="7F7FFA49"/>
    <w:rsid w:val="7F9EDF0A"/>
    <w:rsid w:val="7FBBA5DE"/>
    <w:rsid w:val="7FFFC9DC"/>
    <w:rsid w:val="86FE600E"/>
    <w:rsid w:val="873EFF1E"/>
    <w:rsid w:val="8FE2E4E0"/>
    <w:rsid w:val="91DDE63A"/>
    <w:rsid w:val="937FE362"/>
    <w:rsid w:val="97FFE6A4"/>
    <w:rsid w:val="9FFF9900"/>
    <w:rsid w:val="ABFF2C55"/>
    <w:rsid w:val="AF7FF5BC"/>
    <w:rsid w:val="B7F68AF0"/>
    <w:rsid w:val="BA7B23C6"/>
    <w:rsid w:val="BAF2523C"/>
    <w:rsid w:val="BBFFF398"/>
    <w:rsid w:val="BCFF8E8A"/>
    <w:rsid w:val="BD5F5464"/>
    <w:rsid w:val="BF268A90"/>
    <w:rsid w:val="BF6F4786"/>
    <w:rsid w:val="C77FE086"/>
    <w:rsid w:val="D5BBE647"/>
    <w:rsid w:val="D7E8BC2B"/>
    <w:rsid w:val="DAD7B512"/>
    <w:rsid w:val="DBFD85DC"/>
    <w:rsid w:val="DBFF3BCA"/>
    <w:rsid w:val="DCDCF96E"/>
    <w:rsid w:val="E3EAA148"/>
    <w:rsid w:val="E6FE7FE8"/>
    <w:rsid w:val="E7672B88"/>
    <w:rsid w:val="E7BB3A66"/>
    <w:rsid w:val="E7D79599"/>
    <w:rsid w:val="E7F7E46B"/>
    <w:rsid w:val="E7FD8AB0"/>
    <w:rsid w:val="ED7E5E3F"/>
    <w:rsid w:val="EE2DE78D"/>
    <w:rsid w:val="EE3911D4"/>
    <w:rsid w:val="EEF4BC57"/>
    <w:rsid w:val="EF7F9477"/>
    <w:rsid w:val="EFDAD450"/>
    <w:rsid w:val="F31A5B2B"/>
    <w:rsid w:val="F31F177B"/>
    <w:rsid w:val="F97FF3C1"/>
    <w:rsid w:val="F99FC94F"/>
    <w:rsid w:val="FA7DFC6A"/>
    <w:rsid w:val="FAC91E10"/>
    <w:rsid w:val="FADB180B"/>
    <w:rsid w:val="FE39685B"/>
    <w:rsid w:val="FE3FB461"/>
    <w:rsid w:val="FE734873"/>
    <w:rsid w:val="FE7846CC"/>
    <w:rsid w:val="FF07F3AB"/>
    <w:rsid w:val="FF0F2306"/>
    <w:rsid w:val="FF7C987D"/>
    <w:rsid w:val="FF9F7FF5"/>
    <w:rsid w:val="FFAAC9A2"/>
    <w:rsid w:val="FFF39855"/>
    <w:rsid w:val="FFF6CB18"/>
    <w:rsid w:val="FFF782EC"/>
    <w:rsid w:val="FFFB8591"/>
    <w:rsid w:val="FFFBB5DB"/>
    <w:rsid w:val="FFFFCBA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Style w:val="5"/>
      <w:tblCellMar>
        <w:top w:w="0" w:type="dxa"/>
        <w:left w:w="108" w:type="dxa"/>
        <w:bottom w:w="0" w:type="dxa"/>
        <w:right w:w="108" w:type="dxa"/>
      </w:tblCellMar>
    </w:tblPr>
  </w:style>
  <w:style w:type="paragraph" w:styleId="2">
    <w:name w:val="annotation text"/>
    <w:basedOn w:val="1"/>
    <w:unhideWhenUsed/>
    <w:qFormat/>
    <w:uiPriority w:val="0"/>
    <w:pPr>
      <w:jc w:val="left"/>
    </w:p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annotation reference"/>
    <w:unhideWhenUsed/>
    <w:qFormat/>
    <w:uiPriority w:val="0"/>
    <w:rPr>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422</Words>
  <Characters>2412</Characters>
  <Lines>20</Lines>
  <Paragraphs>5</Paragraphs>
  <TotalTime>4.33333333333333</TotalTime>
  <ScaleCrop>false</ScaleCrop>
  <LinksUpToDate>false</LinksUpToDate>
  <CharactersWithSpaces>2829</CharactersWithSpaces>
  <Application>WPS Office_11.8.2.9695_F1E327BC-269C-435d-A152-05C5408002CA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2023-07-29T03:54:00Z</dcterms:created>
  <dc:creator>kylin</dc:creator>
  <cp:lastModifiedBy>闵行区政府:区备案反馈</cp:lastModifiedBy>
  <cp:lastPrinted>2023-12-10T13:33:58Z</cp:lastPrinted>
  <dcterms:modified xsi:type="dcterms:W3CDTF">2023-12-26T13:51:33Z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y fmtid="{D5CDD505-2E9C-101B-9397-08002B2CF9AE}" pid="3" name="ICV">
    <vt:lpwstr>4DB5A8A49F6A46528E1B621855B1C4E1_12</vt:lpwstr>
  </property>
</Properties>
</file>