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1657D">
      <w:pPr>
        <w:pStyle w:val="2"/>
        <w:jc w:val="center"/>
        <w:rPr>
          <w:rFonts w:hint="default" w:eastAsiaTheme="minorEastAsia"/>
          <w:shd w:val="clear" w:color="auto" w:fill="FFFFFF"/>
          <w:lang w:val="en-US" w:eastAsia="zh-CN"/>
        </w:rPr>
      </w:pPr>
      <w:bookmarkStart w:id="0" w:name="_GoBack"/>
      <w:r>
        <w:rPr>
          <w:rFonts w:hint="eastAsia"/>
          <w:shd w:val="clear" w:color="auto" w:fill="FFFFFF"/>
        </w:rPr>
        <w:t>梅陇镇202</w:t>
      </w:r>
      <w:r>
        <w:rPr>
          <w:rFonts w:hint="eastAsia"/>
          <w:shd w:val="clear" w:color="auto" w:fill="FFFFFF"/>
          <w:lang w:val="en-US" w:eastAsia="zh-CN"/>
        </w:rPr>
        <w:t>3</w:t>
      </w:r>
      <w:r>
        <w:rPr>
          <w:rFonts w:hint="eastAsia"/>
          <w:shd w:val="clear" w:color="auto" w:fill="FFFFFF"/>
        </w:rPr>
        <w:t>年行政执法</w:t>
      </w:r>
      <w:r>
        <w:rPr>
          <w:rFonts w:hint="eastAsia"/>
          <w:shd w:val="clear" w:color="auto" w:fill="FFFFFF"/>
          <w:lang w:val="en-US" w:eastAsia="zh-CN"/>
        </w:rPr>
        <w:t>工作总结</w:t>
      </w:r>
    </w:p>
    <w:p w14:paraId="64D6025A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2023年，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梅陇镇围绕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党委、政府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重点工作，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按照执法规范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化管理要求，以巩固全国文明城区、提升城市管理水平为工作主线，以实现精细化、长效化管理为目标，转变管理理念，创新管理模式，提升管理效能。现将今年以来的工作情况汇报如下：</w:t>
      </w:r>
    </w:p>
    <w:p w14:paraId="74E50A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2023年主要工作成效</w:t>
      </w:r>
    </w:p>
    <w:p w14:paraId="7C88831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工作特色亮点</w:t>
      </w:r>
    </w:p>
    <w:p w14:paraId="6B22E26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60" w:leftChars="0" w:hanging="420" w:firstLine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教育培训数字化转型</w:t>
      </w:r>
    </w:p>
    <w:p w14:paraId="49E35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为持续推进教育培训工作数字化转型，以辖区内工地共建的文明施工执法教学合作点为基础，进一步深化执法合作，建立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城管模拟场景教学系统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。该系统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改革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执法业务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教学培训模式，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区教学平台资源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和工地模拟场景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充分嵌入到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队员执法能力提升及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年度培训计划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，将原有单一的法条学习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培训课件、教学案例相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链接，完善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“教学管考评用”全链条教培体系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。今年，利用平台教学资源和场景对全体队员完成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次的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年度培训任务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2C35BE4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60" w:leftChars="0" w:hanging="420" w:firstLine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组建街面治理党建联盟</w:t>
      </w:r>
    </w:p>
    <w:p w14:paraId="24C162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点在南方片区组建街面治理党建联盟，进一步夯实街面治理工作。该联盟汇聚城管、公安、市场、路管会、居村、物业等各方力量，以城管工作站站长为核心，全面负责南方片区的日常管理、12345信访投诉处置与联合整治等全方面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统筹街面管理及执法力量，指导两个自治组织（古美西路路管会和平阳路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路管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会）开展街面自治共治，全面提升南方片区街面治理水平。</w:t>
      </w:r>
    </w:p>
    <w:p w14:paraId="0F8529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执法办案情况</w:t>
      </w:r>
    </w:p>
    <w:p w14:paraId="72385C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60" w:leftChars="0" w:hanging="420" w:firstLine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强化执法业务培训</w:t>
      </w:r>
    </w:p>
    <w:p w14:paraId="7B4F91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执法办案数量及水平是执法单位的核心业务能力体现，为全面提升办案水平及卷宗质量，每月组织至少2次全员专项执法办案的业务培训，围绕案卷交叉检查、案件办理共性问题探讨，加强办案质量，强调办案程序的规范性和合法性，不断细化文书制作、把握裁量基准、规范办案程序，全面提升的办案水平。</w:t>
      </w:r>
    </w:p>
    <w:p w14:paraId="4463B8E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60" w:leftChars="0" w:hanging="420" w:firstLine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加强案件审核力度</w:t>
      </w:r>
    </w:p>
    <w:p w14:paraId="075D4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今年以来，共办理简易案件335件，处罚金额16780元，年人均办案8.38件，一般案件416件，其中办理重大复杂案件4件，处罚金额356285元，年人均办案10.40件。案件覆盖市容环境卫生、建设管理、绿化管理等9大类，共受理行政诉讼2件，其中1件正在审理中，无败诉情况。</w:t>
      </w:r>
    </w:p>
    <w:p w14:paraId="6CDAA89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60" w:leftChars="0" w:hanging="420" w:firstLine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提升法治能力建设</w:t>
      </w:r>
    </w:p>
    <w:p w14:paraId="6AB987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针对辖区内小区物业、村委、建筑工地的建设方和施工方等法治观念薄弱问题，对上述对象开具执法建议书5份，均收到书面答复。选派5名副科、正科后备青年干部参与局系统培训。《上海某市政工程建设有限公司渣土未采用密闭式防尘网遮盖案》被评选2023年度闵行区行政执法十大典型案例。</w:t>
      </w:r>
    </w:p>
    <w:p w14:paraId="07A7D3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执法事项综合协调情况</w:t>
      </w:r>
    </w:p>
    <w:p w14:paraId="49C7AA6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60" w:leftChars="0" w:hanging="420" w:firstLine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加强重点领域行政执法</w:t>
      </w:r>
    </w:p>
    <w:p w14:paraId="4A578D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一是重点打击“群租”现象。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利用《上海市住房租赁条例》实施契机，梳理平台投诉、前端上报等多渠道线索，开展常态化群租整治行动，针对逾期不整改的点位，共开展联合整治15次，消除群租现象106户，截止至10月17日，累计排查房屋384套，对存在群租现象的278套房全部整改完毕。针对行南花园农村自建房群租情况，执法队配合属地及相关职能部门，开展现场执法检查，约谈二房东等相关当事人，推动违规房屋按时整改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二是加大垃圾分类执法检查力度。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依托网格巡查，梳理垃圾分类检查清单，对全镇社区、街面店铺等开展全覆盖执法检查。今年，共办结垃圾分类案件462起，其中简易案件254件，普通案件208件，已超额完成全年度指标要求的300件，出动执法人员643人次、开展执法检查751次、检查四个环节各类单位6878家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三是加强重点区域联勤联动。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今年，梅陇城管中队与徐汇区凌云路街道城管中队开展区区联动执法工作4次，联合整治相邻区域无序设摊等突出问题，形成执法合力，巩固管理成效；同时加强对轨交站点内外非机动车无序停放、散发小广告、流浪乞讨等城市管理顽症治理，截至目前，今年共完成轨交联动执法11次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四是有序开展各类专项执法检查。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有序开展各类专项执法整治。包括龙吴路周边道路环境综合整治、非法加油站专项整治、码头环境综合治理整治、共享单车专项执法、消纳处置场所专项检查、建设工程渣土源头场所库专项检查，建筑垃圾交警联合执法等，持续推进城市管理难题顽症治理。其中损坏房屋承重结构专项整治梅陇镇共涉及15个点位，不属实4个，完成修复且已出具安全检测报告10个，剩余1家未整改的目前已立案，后续依法推进行政处罚和申请法院强制执行等程序。</w:t>
      </w:r>
    </w:p>
    <w:p w14:paraId="03B0F04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60" w:leftChars="0" w:hanging="420" w:firstLine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落实常态化机制</w:t>
      </w:r>
    </w:p>
    <w:p w14:paraId="3C153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截止至目前，物业报送线索（物业直通车）9件，其中两件已转化为执法案件；查处涉及机动车清洗类案件12件，累计处罚6000元；通过建设工地分级分类监管查办的案件2件；完成“非现场执法”一般案件10件；完成没收违法所得一般案件1件；完成对违法违规物业服务企业实施行政处罚案件1件；本街镇双随机一公开检查64家，跨街镇交叉双随机一公开检查8家；居住区内非投放时段个人混投、乱扔生活垃圾处罚一般程序案件42件；查处车身流动广告案件1件；完成餐厨垃圾、废弃油脂收运一般程序案件2件；完成重大复杂普通案件4件；“双随机一公开”年内检查转化案件2件。</w:t>
      </w:r>
    </w:p>
    <w:p w14:paraId="3CA42B4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60" w:leftChars="0" w:hanging="420" w:firstLine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信访处置提速提档</w:t>
      </w:r>
    </w:p>
    <w:p w14:paraId="7F40B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根据各投诉平台不断提高的结案标准，及时完善“接、查、处、督、反”投诉处理制度，认真践行“三个二”承诺，提高投诉处置“五率”。今年以来共受理各平台投诉案件1069件（城市运行综合管理平台986件，上海城建服务热线74件，微信公众号平台9件），其中诉件录入率、先行联系率、处置回复率100%。总体诉转案率要求不低于30%，目前诉转案率是49.83%。值班值守情况较好，早晚点名均有反馈。诉件管理平台重复诉件均有效关联。</w:t>
      </w:r>
    </w:p>
    <w:p w14:paraId="26A9FF5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60" w:leftChars="0" w:hanging="420" w:firstLine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普法宣传多面开花</w:t>
      </w:r>
    </w:p>
    <w:p w14:paraId="59C66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借助信息宣传手段，增进居民对行政执法工作的了解与支持。截止目前，共报送信息265篇，其中专报5篇，短视频4篇。主流媒体采用15篇，市级信息采纳15篇，市局微信公众号采纳9篇，区级信息采纳233篇，区局微信公众号采用45篇，目前在全区各街镇中排名第二。人民建议征集每月报送一篇。</w:t>
      </w:r>
    </w:p>
    <w:p w14:paraId="3B89867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督查机制落实情况</w:t>
      </w:r>
    </w:p>
    <w:p w14:paraId="3339EDC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60" w:leftChars="0" w:hanging="420" w:firstLine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日常督查提升实效</w:t>
      </w:r>
    </w:p>
    <w:p w14:paraId="1BBA9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严格按照督查工作要求，坚持依法依规、客观公正、严谨细致、公开透明的原则，认真开展各项督查工作。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对执法队员的仪容仪表、执勤执法、执法车辆、办公环境等方面开展行为规范督察。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本镇辖区内道路，学校，医院，菜场，小区等区域进行全方位实效督查，做到督查范围全覆盖。目前，开具实效督察单3132单，其中道路实效督察单2548单、住宅小区督察单582单、开具行为督察单55单、做到督察范围全覆盖；落实完成督转案要求，强化办案质量优化办案流程，共完成督转案60件。</w:t>
      </w:r>
    </w:p>
    <w:p w14:paraId="1C8D1B9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60" w:leftChars="0" w:hanging="420" w:firstLine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城管工作站增效赋能</w:t>
      </w:r>
    </w:p>
    <w:p w14:paraId="5B97B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自2019年以来，通过加强体制机制建设，不断深化城管工作站的功能和定位，曹行工作站，南方工作站、春申工作站分别于2019、2021、2023年成功创建为市城管执法系统优秀城管社区工作站。今年，第二处置网格老梅陇工作站已申报2024年全市50佳城管执法社区工作室，老梅陇工作站将积极作为社会治理的“桥头堡”、党建联建的“试验田”、便民服务的“客堂间”，以此实现城市精细化管理，传递城市温度，提升城市归属感。</w:t>
      </w:r>
    </w:p>
    <w:p w14:paraId="33DDB4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存在问题及整改措施</w:t>
      </w:r>
    </w:p>
    <w:p w14:paraId="35B79C7B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夜间施工扰民信访投诉日益增多。</w:t>
      </w:r>
    </w:p>
    <w:p w14:paraId="03F6E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现阶段，梅陇镇在建大小施工工地18个，其中绝大多数工地都毗邻居民区附近。为在规定的时间保证工程的进度和质量，完成施工任务，施工方不得不以赶工期为由在夜间进行施工，往往许多工地在晚上10点之后仍然灯火通明，机械轰鸣。经充分调研和走访，针对此类问题将采取以下措施：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一是开展夜间施工专项整治活动。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对投诉集中、居民反映强烈的区域进行突击检查，确保施工符合相关法规和规定，切实维护居民的合法权益。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二是深入了解问题的原因。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加强与管理部门的沟通联系，会同施工方针对问题的难点和痛点进行源头疏导和解决，确保问题得到根本解决。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三是督促有条件的施工工地及时办理夜间施工许可证。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严格按照相关法规要求，对施工工地进行检查和管理，确保其合法合规，保障居民的生活质量。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四是建议施工方组建移动党支部。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通过牵线搭桥的方式，让施工方与工地周边小区居委会以党建联建的方式进小区送温暖，关心关爱周边小区居民，降低居民的不满意情绪，增强与居民的沟通和互动，共同营造和谐的社会环境。</w:t>
      </w:r>
    </w:p>
    <w:p w14:paraId="72312ED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加强对辖区内违规运输、处置建筑垃圾的管控措施。</w:t>
      </w:r>
    </w:p>
    <w:p w14:paraId="0E815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自今年以来，已接收到交警移送的涉及违法违规运输处置建筑垃圾的案件6起，以及区城管执法局移送的案件7起。经过深入调查，采取了现场勘查、查询绿容局车辆监控系统和调取市交警总队监控等多种措施，对相关案件进行了溯源。在调查过程中，发现其中1起不属实，已立案查处12起，并成功溯源1起，已将该案件移交给属地单位处理。针对辖区内建筑垃圾的问题，我镇将对重点出土工地采取更加严格的预防管控措施。目前为止，今年已经签订了16份工地倡议书，进行了6次设卡检查，固守了45天，这些措施有效地预防了违规车辆外运渣土等不文明施工行为。后续将继续加强监管力度，确保辖区内的建筑垃圾问题得到妥善处理。</w:t>
      </w:r>
    </w:p>
    <w:p w14:paraId="3BA2E1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8D178CB">
      <w:pPr>
        <w:rPr>
          <w:rFonts w:hint="eastAsia" w:ascii="仿宋" w:hAnsi="仿宋" w:eastAsia="仿宋" w:cs="仿宋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2BB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BDD6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BDD6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0FD4C8"/>
    <w:multiLevelType w:val="singleLevel"/>
    <w:tmpl w:val="8E0FD4C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DFE9E5F"/>
    <w:multiLevelType w:val="singleLevel"/>
    <w:tmpl w:val="ADFE9E5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A90A902"/>
    <w:multiLevelType w:val="singleLevel"/>
    <w:tmpl w:val="EA90A90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F3C9A50"/>
    <w:multiLevelType w:val="singleLevel"/>
    <w:tmpl w:val="0F3C9A5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D9BF9EB"/>
    <w:multiLevelType w:val="singleLevel"/>
    <w:tmpl w:val="1D9BF9E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61E5B821"/>
    <w:multiLevelType w:val="singleLevel"/>
    <w:tmpl w:val="61E5B82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7E76F67D"/>
    <w:multiLevelType w:val="singleLevel"/>
    <w:tmpl w:val="7E76F6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ZDkwM2UxNzFjMTY3Y2ViMzQ0YjhhMjBhOGE0MTUifQ=="/>
  </w:docVars>
  <w:rsids>
    <w:rsidRoot w:val="250E6D98"/>
    <w:rsid w:val="0011760F"/>
    <w:rsid w:val="02F019DF"/>
    <w:rsid w:val="0B34032E"/>
    <w:rsid w:val="0BF560BB"/>
    <w:rsid w:val="0C6E1635"/>
    <w:rsid w:val="116F62EA"/>
    <w:rsid w:val="121A7039"/>
    <w:rsid w:val="16FC0DF5"/>
    <w:rsid w:val="17CB6866"/>
    <w:rsid w:val="250E6D98"/>
    <w:rsid w:val="293120AF"/>
    <w:rsid w:val="2B324A82"/>
    <w:rsid w:val="2DEB6C7A"/>
    <w:rsid w:val="34D71AEA"/>
    <w:rsid w:val="35932A98"/>
    <w:rsid w:val="69584455"/>
    <w:rsid w:val="7E4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Emphasis"/>
    <w:basedOn w:val="6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3398</Words>
  <Characters>3524</Characters>
  <Lines>0</Lines>
  <Paragraphs>0</Paragraphs>
  <TotalTime>37</TotalTime>
  <ScaleCrop>false</ScaleCrop>
  <LinksUpToDate>false</LinksUpToDate>
  <CharactersWithSpaces>3524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2023-11-14T00:40:00Z</dcterms:created>
  <dc:creator>沐浴阳光</dc:creator>
  <cp:lastModifiedBy>岚</cp:lastModifiedBy>
  <dcterms:modified xsi:type="dcterms:W3CDTF">2024-07-26T08:08:04Z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AA9FD85286F34921A6BB1CA6598ED0E7_13</vt:lpwstr>
  </property>
</Properties>
</file>