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BCEB7">
      <w:pPr>
        <w:spacing w:line="480" w:lineRule="exact"/>
        <w:jc w:val="left"/>
        <w:textAlignment w:val="center"/>
        <w:outlineLvl w:val="0"/>
        <w:rPr>
          <w:rFonts w:hint="eastAsia" w:ascii="仿宋_GB2312" w:hAnsi="Times New Roman" w:eastAsia="仿宋_GB2312"/>
          <w:sz w:val="32"/>
          <w:szCs w:val="32"/>
          <w:highlight w:val="none"/>
          <w:lang w:eastAsia="zh-CN"/>
        </w:rPr>
      </w:pPr>
      <w:bookmarkStart w:id="4" w:name="_GoBack"/>
      <w:bookmarkEnd w:id="4"/>
      <w:r>
        <w:rPr>
          <w:rFonts w:hint="eastAsia" w:ascii="仿宋_GB2312" w:hAnsi="Times New Roman" w:eastAsia="仿宋_GB2312"/>
          <w:sz w:val="32"/>
          <w:szCs w:val="32"/>
          <w:highlight w:val="none"/>
        </w:rPr>
        <w:t>附件</w:t>
      </w:r>
      <w:r>
        <w:rPr>
          <w:rFonts w:hint="eastAsia" w:ascii="仿宋_GB2312" w:hAnsi="Times New Roman" w:eastAsia="仿宋_GB2312"/>
          <w:sz w:val="32"/>
          <w:szCs w:val="32"/>
          <w:highlight w:val="none"/>
          <w:lang w:eastAsia="zh-CN"/>
        </w:rPr>
        <w:t>：</w:t>
      </w:r>
    </w:p>
    <w:p w14:paraId="571F777A">
      <w:pPr>
        <w:spacing w:line="480" w:lineRule="exact"/>
        <w:ind w:firstLine="880" w:firstLineChars="200"/>
        <w:jc w:val="center"/>
        <w:textAlignment w:val="center"/>
        <w:outlineLvl w:val="0"/>
        <w:rPr>
          <w:rFonts w:ascii="方正小标宋简体" w:hAnsi="Times New Roman" w:eastAsia="方正小标宋简体"/>
          <w:sz w:val="44"/>
          <w:szCs w:val="44"/>
          <w:highlight w:val="none"/>
        </w:rPr>
      </w:pPr>
      <w:r>
        <w:rPr>
          <w:rFonts w:hint="eastAsia" w:ascii="方正小标宋简体" w:hAnsi="Times New Roman" w:eastAsia="方正小标宋简体"/>
          <w:sz w:val="44"/>
          <w:szCs w:val="44"/>
          <w:highlight w:val="none"/>
        </w:rPr>
        <w:t>比选文件</w:t>
      </w:r>
    </w:p>
    <w:p w14:paraId="2E0EF867">
      <w:pPr>
        <w:spacing w:line="480" w:lineRule="exact"/>
        <w:ind w:firstLine="723" w:firstLineChars="200"/>
        <w:textAlignment w:val="center"/>
        <w:outlineLvl w:val="0"/>
        <w:rPr>
          <w:rFonts w:asciiTheme="majorEastAsia" w:hAnsiTheme="majorEastAsia" w:eastAsiaTheme="majorEastAsia"/>
          <w:b/>
          <w:sz w:val="36"/>
          <w:szCs w:val="36"/>
          <w:highlight w:val="none"/>
        </w:rPr>
      </w:pPr>
    </w:p>
    <w:p w14:paraId="52577C53">
      <w:pPr>
        <w:adjustRightInd w:val="0"/>
        <w:snapToGrid w:val="0"/>
        <w:spacing w:line="360" w:lineRule="auto"/>
        <w:ind w:firstLine="720" w:firstLineChars="200"/>
        <w:textAlignment w:val="center"/>
        <w:outlineLvl w:val="0"/>
        <w:rPr>
          <w:rFonts w:ascii="黑体" w:hAnsi="黑体" w:eastAsia="黑体"/>
          <w:sz w:val="36"/>
          <w:szCs w:val="36"/>
          <w:highlight w:val="none"/>
        </w:rPr>
      </w:pPr>
      <w:r>
        <w:rPr>
          <w:rFonts w:hint="eastAsia" w:ascii="黑体" w:hAnsi="黑体" w:eastAsia="黑体"/>
          <w:sz w:val="36"/>
          <w:szCs w:val="36"/>
          <w:highlight w:val="none"/>
        </w:rPr>
        <w:t>第一部分 比选邀请</w:t>
      </w:r>
    </w:p>
    <w:p w14:paraId="27CB2199">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lang w:eastAsia="zh-CN"/>
        </w:rPr>
        <w:t>闵行区发展和改革委员会</w:t>
      </w:r>
      <w:r>
        <w:rPr>
          <w:rFonts w:hint="eastAsia" w:ascii="仿宋_GB2312" w:eastAsia="仿宋_GB2312"/>
          <w:sz w:val="30"/>
          <w:szCs w:val="30"/>
          <w:highlight w:val="none"/>
        </w:rPr>
        <w:t>对</w:t>
      </w:r>
      <w:r>
        <w:rPr>
          <w:rFonts w:hint="eastAsia" w:ascii="仿宋_GB2312" w:eastAsia="仿宋_GB2312"/>
          <w:sz w:val="30"/>
          <w:szCs w:val="30"/>
          <w:highlight w:val="none"/>
          <w:lang w:val="en-US" w:eastAsia="zh-CN"/>
        </w:rPr>
        <w:t>2025年</w:t>
      </w:r>
      <w:r>
        <w:rPr>
          <w:rFonts w:hint="eastAsia" w:ascii="仿宋_GB2312" w:eastAsia="仿宋_GB2312"/>
          <w:sz w:val="30"/>
          <w:szCs w:val="30"/>
          <w:highlight w:val="none"/>
          <w:lang w:eastAsia="zh-CN"/>
        </w:rPr>
        <w:t>上海市服务业发展引导资金闵行区项目管理</w:t>
      </w:r>
      <w:r>
        <w:rPr>
          <w:rFonts w:hint="eastAsia" w:ascii="仿宋_GB2312" w:eastAsia="仿宋_GB2312"/>
          <w:sz w:val="30"/>
          <w:szCs w:val="30"/>
          <w:highlight w:val="none"/>
        </w:rPr>
        <w:t>进行比选，特邀请各单位前来参与。</w:t>
      </w:r>
    </w:p>
    <w:p w14:paraId="4CBD3148">
      <w:pPr>
        <w:adjustRightInd w:val="0"/>
        <w:snapToGrid w:val="0"/>
        <w:spacing w:line="360" w:lineRule="auto"/>
        <w:ind w:firstLine="600" w:firstLineChars="200"/>
        <w:textAlignment w:val="center"/>
        <w:outlineLvl w:val="1"/>
        <w:rPr>
          <w:rFonts w:ascii="黑体" w:hAnsi="黑体" w:eastAsia="黑体" w:cs="黑体"/>
          <w:sz w:val="30"/>
          <w:szCs w:val="30"/>
          <w:highlight w:val="none"/>
        </w:rPr>
      </w:pPr>
      <w:r>
        <w:rPr>
          <w:rFonts w:hint="eastAsia" w:ascii="黑体" w:hAnsi="黑体" w:eastAsia="黑体" w:cs="黑体"/>
          <w:sz w:val="30"/>
          <w:szCs w:val="30"/>
          <w:highlight w:val="none"/>
        </w:rPr>
        <w:t>一、项目概况</w:t>
      </w:r>
    </w:p>
    <w:p w14:paraId="561F9CE7">
      <w:pPr>
        <w:adjustRightInd w:val="0"/>
        <w:snapToGrid w:val="0"/>
        <w:spacing w:line="360" w:lineRule="auto"/>
        <w:ind w:firstLine="600" w:firstLineChars="200"/>
        <w:textAlignment w:val="center"/>
        <w:outlineLvl w:val="2"/>
        <w:rPr>
          <w:rFonts w:hint="eastAsia" w:ascii="仿宋_GB2312" w:eastAsia="仿宋_GB2312"/>
          <w:sz w:val="30"/>
          <w:szCs w:val="30"/>
          <w:highlight w:val="none"/>
          <w:lang w:eastAsia="zh-CN"/>
        </w:rPr>
      </w:pPr>
      <w:r>
        <w:rPr>
          <w:rFonts w:hint="eastAsia" w:ascii="仿宋_GB2312" w:eastAsia="仿宋_GB2312"/>
          <w:sz w:val="30"/>
          <w:szCs w:val="30"/>
          <w:highlight w:val="none"/>
        </w:rPr>
        <w:t>1、项目名称：</w:t>
      </w:r>
      <w:r>
        <w:rPr>
          <w:rFonts w:hint="eastAsia" w:ascii="仿宋_GB2312" w:eastAsia="仿宋_GB2312"/>
          <w:sz w:val="30"/>
          <w:szCs w:val="30"/>
          <w:highlight w:val="none"/>
          <w:lang w:val="en-US" w:eastAsia="zh-CN"/>
        </w:rPr>
        <w:t>2025年</w:t>
      </w:r>
      <w:r>
        <w:rPr>
          <w:rFonts w:hint="eastAsia" w:ascii="仿宋_GB2312" w:eastAsia="仿宋_GB2312"/>
          <w:sz w:val="30"/>
          <w:szCs w:val="30"/>
          <w:highlight w:val="none"/>
          <w:lang w:eastAsia="zh-CN"/>
        </w:rPr>
        <w:t>上海市服务业发展引导资金闵行区项目管理</w:t>
      </w:r>
    </w:p>
    <w:p w14:paraId="7AD24300">
      <w:pPr>
        <w:adjustRightInd w:val="0"/>
        <w:snapToGrid w:val="0"/>
        <w:spacing w:line="360" w:lineRule="auto"/>
        <w:ind w:firstLine="600" w:firstLineChars="200"/>
        <w:textAlignment w:val="center"/>
        <w:outlineLvl w:val="2"/>
        <w:rPr>
          <w:rFonts w:hint="eastAsia" w:ascii="仿宋_GB2312" w:eastAsia="仿宋_GB2312"/>
          <w:sz w:val="30"/>
          <w:szCs w:val="30"/>
          <w:highlight w:val="none"/>
          <w:lang w:eastAsia="zh-CN"/>
        </w:rPr>
      </w:pPr>
      <w:r>
        <w:rPr>
          <w:rFonts w:hint="eastAsia" w:ascii="仿宋_GB2312" w:eastAsia="仿宋_GB2312"/>
          <w:sz w:val="30"/>
          <w:szCs w:val="30"/>
          <w:highlight w:val="none"/>
        </w:rPr>
        <w:t>2、项目主要内容、数量及简要规格描述或项目基本概况介绍：第三方管理机构按照</w:t>
      </w:r>
      <w:r>
        <w:rPr>
          <w:rFonts w:hint="eastAsia" w:ascii="仿宋_GB2312" w:eastAsia="仿宋_GB2312"/>
          <w:sz w:val="30"/>
          <w:szCs w:val="30"/>
          <w:highlight w:val="none"/>
          <w:lang w:eastAsia="zh-CN"/>
        </w:rPr>
        <w:t>《闵行区服务业发展引导资金第三方管理机构服务费用操作细则》及《关于委托第三方管理机构、第三方审计机构分别开展闵行区服务业发展引导资金项目专家评审及监管验收、项目审计等工作的标准和流程》</w:t>
      </w:r>
      <w:r>
        <w:rPr>
          <w:rFonts w:hint="eastAsia" w:ascii="仿宋_GB2312" w:eastAsia="仿宋_GB2312"/>
          <w:sz w:val="30"/>
          <w:szCs w:val="30"/>
          <w:highlight w:val="none"/>
        </w:rPr>
        <w:t>，做好</w:t>
      </w:r>
      <w:r>
        <w:rPr>
          <w:rFonts w:hint="eastAsia" w:ascii="仿宋_GB2312" w:eastAsia="仿宋_GB2312"/>
          <w:sz w:val="30"/>
          <w:szCs w:val="30"/>
          <w:highlight w:val="none"/>
          <w:lang w:val="en-US" w:eastAsia="zh-CN"/>
        </w:rPr>
        <w:t>2025</w:t>
      </w:r>
      <w:r>
        <w:rPr>
          <w:rFonts w:hint="eastAsia" w:ascii="仿宋_GB2312" w:eastAsia="仿宋_GB2312"/>
          <w:sz w:val="30"/>
          <w:szCs w:val="30"/>
          <w:highlight w:val="none"/>
        </w:rPr>
        <w:t>年两批次上海市服务业发展引导资金闵行区项目申报资料初审和区级专家评审，负责在执行项目日常监管以及项目验收</w:t>
      </w:r>
      <w:r>
        <w:rPr>
          <w:rFonts w:hint="eastAsia" w:ascii="仿宋_GB2312" w:eastAsia="仿宋_GB2312"/>
          <w:sz w:val="30"/>
          <w:szCs w:val="30"/>
          <w:highlight w:val="none"/>
          <w:lang w:eastAsia="zh-CN"/>
        </w:rPr>
        <w:t>。</w:t>
      </w:r>
    </w:p>
    <w:p w14:paraId="5722CDCF">
      <w:pPr>
        <w:adjustRightInd w:val="0"/>
        <w:snapToGrid w:val="0"/>
        <w:spacing w:line="360" w:lineRule="auto"/>
        <w:ind w:firstLine="600" w:firstLineChars="200"/>
        <w:textAlignment w:val="center"/>
        <w:outlineLvl w:val="2"/>
        <w:rPr>
          <w:rFonts w:ascii="仿宋_GB2312" w:eastAsia="仿宋_GB2312"/>
          <w:sz w:val="30"/>
          <w:szCs w:val="30"/>
          <w:highlight w:val="none"/>
        </w:rPr>
      </w:pPr>
      <w:r>
        <w:rPr>
          <w:rFonts w:hint="eastAsia" w:ascii="仿宋_GB2312" w:eastAsia="仿宋_GB2312"/>
          <w:sz w:val="30"/>
          <w:szCs w:val="30"/>
          <w:highlight w:val="none"/>
        </w:rPr>
        <w:t>3、服务机构数量：</w:t>
      </w:r>
      <w:r>
        <w:rPr>
          <w:rFonts w:ascii="仿宋_GB2312" w:eastAsia="仿宋_GB2312"/>
          <w:sz w:val="30"/>
          <w:szCs w:val="30"/>
          <w:highlight w:val="none"/>
        </w:rPr>
        <w:t>1</w:t>
      </w:r>
      <w:r>
        <w:rPr>
          <w:rFonts w:hint="eastAsia" w:ascii="仿宋_GB2312" w:eastAsia="仿宋_GB2312"/>
          <w:sz w:val="30"/>
          <w:szCs w:val="30"/>
          <w:highlight w:val="none"/>
        </w:rPr>
        <w:t>家。</w:t>
      </w:r>
    </w:p>
    <w:p w14:paraId="3BA6BDD5">
      <w:pPr>
        <w:adjustRightInd w:val="0"/>
        <w:snapToGrid w:val="0"/>
        <w:spacing w:line="360" w:lineRule="auto"/>
        <w:ind w:firstLine="600" w:firstLineChars="200"/>
        <w:textAlignment w:val="center"/>
        <w:outlineLvl w:val="2"/>
        <w:rPr>
          <w:rFonts w:ascii="仿宋_GB2312" w:eastAsia="仿宋_GB2312"/>
          <w:sz w:val="30"/>
          <w:szCs w:val="30"/>
          <w:highlight w:val="none"/>
        </w:rPr>
      </w:pP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服务</w:t>
      </w:r>
      <w:r>
        <w:rPr>
          <w:rFonts w:hint="eastAsia" w:ascii="仿宋_GB2312" w:eastAsia="仿宋_GB2312"/>
          <w:sz w:val="30"/>
          <w:szCs w:val="30"/>
          <w:highlight w:val="none"/>
        </w:rPr>
        <w:t>期限：</w:t>
      </w:r>
      <w:r>
        <w:rPr>
          <w:rFonts w:hint="eastAsia" w:ascii="仿宋_GB2312" w:eastAsia="仿宋_GB2312"/>
          <w:sz w:val="30"/>
          <w:szCs w:val="30"/>
          <w:highlight w:val="none"/>
          <w:lang w:val="en-US" w:eastAsia="zh-CN"/>
        </w:rPr>
        <w:t>1年</w:t>
      </w:r>
      <w:r>
        <w:rPr>
          <w:rFonts w:hint="eastAsia" w:ascii="仿宋_GB2312" w:eastAsia="仿宋_GB2312"/>
          <w:sz w:val="30"/>
          <w:szCs w:val="30"/>
          <w:highlight w:val="none"/>
        </w:rPr>
        <w:t>。</w:t>
      </w:r>
    </w:p>
    <w:p w14:paraId="543F7B51">
      <w:pPr>
        <w:adjustRightInd w:val="0"/>
        <w:snapToGrid w:val="0"/>
        <w:spacing w:line="360" w:lineRule="auto"/>
        <w:ind w:firstLine="600" w:firstLineChars="200"/>
        <w:textAlignment w:val="center"/>
        <w:outlineLvl w:val="1"/>
        <w:rPr>
          <w:rFonts w:ascii="黑体" w:hAnsi="黑体" w:eastAsia="黑体" w:cs="黑体"/>
          <w:sz w:val="30"/>
          <w:szCs w:val="30"/>
          <w:highlight w:val="none"/>
        </w:rPr>
      </w:pPr>
      <w:r>
        <w:rPr>
          <w:rFonts w:hint="eastAsia" w:ascii="黑体" w:hAnsi="黑体" w:eastAsia="黑体" w:cs="黑体"/>
          <w:sz w:val="30"/>
          <w:szCs w:val="30"/>
          <w:highlight w:val="none"/>
        </w:rPr>
        <w:t>二、响应文件递交</w:t>
      </w:r>
    </w:p>
    <w:p w14:paraId="3137887B">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1、响应文件递交截止时间：202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rPr>
        <w:t>年</w:t>
      </w:r>
      <w:r>
        <w:rPr>
          <w:rFonts w:hint="eastAsia" w:ascii="仿宋_GB2312" w:eastAsia="仿宋_GB2312"/>
          <w:sz w:val="30"/>
          <w:szCs w:val="30"/>
          <w:highlight w:val="none"/>
          <w:lang w:val="en-US" w:eastAsia="zh-CN"/>
        </w:rPr>
        <w:t>12</w:t>
      </w:r>
      <w:r>
        <w:rPr>
          <w:rFonts w:hint="eastAsia" w:ascii="仿宋_GB2312" w:eastAsia="仿宋_GB2312"/>
          <w:sz w:val="30"/>
          <w:szCs w:val="30"/>
          <w:highlight w:val="none"/>
        </w:rPr>
        <w:t>月</w:t>
      </w:r>
      <w:r>
        <w:rPr>
          <w:rFonts w:hint="eastAsia" w:ascii="仿宋_GB2312" w:eastAsia="仿宋_GB2312"/>
          <w:sz w:val="30"/>
          <w:szCs w:val="30"/>
          <w:highlight w:val="none"/>
          <w:lang w:val="en-US" w:eastAsia="zh-CN"/>
        </w:rPr>
        <w:t>23</w:t>
      </w:r>
      <w:r>
        <w:rPr>
          <w:rFonts w:hint="eastAsia" w:ascii="仿宋_GB2312" w:eastAsia="仿宋_GB2312"/>
          <w:sz w:val="30"/>
          <w:szCs w:val="30"/>
          <w:highlight w:val="none"/>
        </w:rPr>
        <w:t>日，迟到或不符合规定的响应文件恕不接受。</w:t>
      </w:r>
    </w:p>
    <w:p w14:paraId="40296E05">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2、响应文件递交地点：上海市闵行区沪闵路6258号1号楼539室。</w:t>
      </w:r>
    </w:p>
    <w:p w14:paraId="1F508BEB">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第三方机构在收到我单位发出比选文件后，电子材料发至我单位联系人邮箱，纸质材料邮寄至我单位地址。逾期提交资料者或提交资料不符合要求者视作自动放弃比选资格。</w:t>
      </w:r>
    </w:p>
    <w:p w14:paraId="45E55170">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注：第三方机构须保证提交的资料和所填写内容真实、完整、有效、一致，如因递交虚假材料或填写信息错误导致的与本项目有关的任何损失由第三方机构承担。</w:t>
      </w:r>
    </w:p>
    <w:p w14:paraId="2FA61E8B">
      <w:pPr>
        <w:adjustRightInd w:val="0"/>
        <w:snapToGrid w:val="0"/>
        <w:spacing w:line="360" w:lineRule="auto"/>
        <w:ind w:firstLine="600" w:firstLineChars="200"/>
        <w:textAlignment w:val="center"/>
        <w:outlineLvl w:val="1"/>
        <w:rPr>
          <w:rFonts w:ascii="黑体" w:hAnsi="黑体" w:eastAsia="黑体" w:cs="黑体"/>
          <w:sz w:val="30"/>
          <w:szCs w:val="30"/>
          <w:highlight w:val="none"/>
        </w:rPr>
      </w:pPr>
      <w:r>
        <w:rPr>
          <w:rFonts w:hint="eastAsia" w:ascii="黑体" w:hAnsi="黑体" w:eastAsia="黑体" w:cs="黑体"/>
          <w:sz w:val="30"/>
          <w:szCs w:val="30"/>
          <w:highlight w:val="none"/>
        </w:rPr>
        <w:t>三、评审时间和地点</w:t>
      </w:r>
    </w:p>
    <w:p w14:paraId="5442F226">
      <w:pPr>
        <w:adjustRightInd w:val="0"/>
        <w:snapToGrid w:val="0"/>
        <w:spacing w:line="360" w:lineRule="auto"/>
        <w:ind w:firstLine="600" w:firstLineChars="200"/>
        <w:textAlignment w:val="center"/>
        <w:outlineLvl w:val="2"/>
        <w:rPr>
          <w:rFonts w:ascii="仿宋_GB2312" w:eastAsia="仿宋_GB2312"/>
          <w:color w:val="000000" w:themeColor="text1"/>
          <w:sz w:val="30"/>
          <w:szCs w:val="30"/>
          <w:highlight w:val="none"/>
          <w14:textFill>
            <w14:solidFill>
              <w14:schemeClr w14:val="tx1"/>
            </w14:solidFill>
          </w14:textFill>
        </w:rPr>
      </w:pPr>
      <w:r>
        <w:rPr>
          <w:rFonts w:hint="eastAsia" w:ascii="仿宋_GB2312" w:eastAsia="仿宋_GB2312"/>
          <w:sz w:val="30"/>
          <w:szCs w:val="30"/>
          <w:highlight w:val="none"/>
        </w:rPr>
        <w:t>1、评审时间：</w:t>
      </w:r>
      <w:r>
        <w:rPr>
          <w:rFonts w:hint="eastAsia" w:ascii="仿宋_GB2312" w:eastAsia="仿宋_GB2312"/>
          <w:color w:val="000000" w:themeColor="text1"/>
          <w:sz w:val="30"/>
          <w:szCs w:val="30"/>
          <w:highlight w:val="none"/>
          <w14:textFill>
            <w14:solidFill>
              <w14:schemeClr w14:val="tx1"/>
            </w14:solidFill>
          </w14:textFill>
        </w:rPr>
        <w:t>202</w:t>
      </w:r>
      <w:r>
        <w:rPr>
          <w:rFonts w:hint="eastAsia" w:ascii="仿宋_GB2312" w:eastAsia="仿宋_GB2312"/>
          <w:color w:val="000000" w:themeColor="text1"/>
          <w:sz w:val="30"/>
          <w:szCs w:val="30"/>
          <w:highlight w:val="none"/>
          <w:lang w:val="en-US" w:eastAsia="zh-CN"/>
          <w14:textFill>
            <w14:solidFill>
              <w14:schemeClr w14:val="tx1"/>
            </w14:solidFill>
          </w14:textFill>
        </w:rPr>
        <w:t>4</w:t>
      </w:r>
      <w:r>
        <w:rPr>
          <w:rFonts w:hint="eastAsia" w:ascii="仿宋_GB2312" w:eastAsia="仿宋_GB2312"/>
          <w:color w:val="000000" w:themeColor="text1"/>
          <w:sz w:val="30"/>
          <w:szCs w:val="30"/>
          <w:highlight w:val="none"/>
          <w14:textFill>
            <w14:solidFill>
              <w14:schemeClr w14:val="tx1"/>
            </w14:solidFill>
          </w14:textFill>
        </w:rPr>
        <w:t>年</w:t>
      </w:r>
      <w:r>
        <w:rPr>
          <w:rFonts w:hint="eastAsia" w:ascii="仿宋_GB2312" w:eastAsia="仿宋_GB2312"/>
          <w:color w:val="000000" w:themeColor="text1"/>
          <w:sz w:val="30"/>
          <w:szCs w:val="30"/>
          <w:highlight w:val="none"/>
          <w:lang w:val="en-US" w:eastAsia="zh-CN"/>
          <w14:textFill>
            <w14:solidFill>
              <w14:schemeClr w14:val="tx1"/>
            </w14:solidFill>
          </w14:textFill>
        </w:rPr>
        <w:t>12</w:t>
      </w:r>
      <w:r>
        <w:rPr>
          <w:rFonts w:hint="eastAsia" w:ascii="仿宋_GB2312" w:eastAsia="仿宋_GB2312"/>
          <w:color w:val="000000" w:themeColor="text1"/>
          <w:sz w:val="30"/>
          <w:szCs w:val="30"/>
          <w:highlight w:val="none"/>
          <w14:textFill>
            <w14:solidFill>
              <w14:schemeClr w14:val="tx1"/>
            </w14:solidFill>
          </w14:textFill>
        </w:rPr>
        <w:t>月</w:t>
      </w:r>
      <w:r>
        <w:rPr>
          <w:rFonts w:hint="eastAsia" w:ascii="仿宋_GB2312" w:eastAsia="仿宋_GB2312"/>
          <w:color w:val="000000" w:themeColor="text1"/>
          <w:sz w:val="30"/>
          <w:szCs w:val="30"/>
          <w:highlight w:val="none"/>
          <w:lang w:val="en-US" w:eastAsia="zh-CN"/>
          <w14:textFill>
            <w14:solidFill>
              <w14:schemeClr w14:val="tx1"/>
            </w14:solidFill>
          </w14:textFill>
        </w:rPr>
        <w:t>27</w:t>
      </w:r>
      <w:r>
        <w:rPr>
          <w:rFonts w:hint="eastAsia" w:ascii="仿宋_GB2312" w:eastAsia="仿宋_GB2312"/>
          <w:color w:val="000000" w:themeColor="text1"/>
          <w:sz w:val="30"/>
          <w:szCs w:val="30"/>
          <w:highlight w:val="none"/>
          <w14:textFill>
            <w14:solidFill>
              <w14:schemeClr w14:val="tx1"/>
            </w14:solidFill>
          </w14:textFill>
        </w:rPr>
        <w:t>日。</w:t>
      </w:r>
    </w:p>
    <w:p w14:paraId="4A68910B">
      <w:pPr>
        <w:adjustRightInd w:val="0"/>
        <w:snapToGrid w:val="0"/>
        <w:spacing w:line="360" w:lineRule="auto"/>
        <w:ind w:firstLine="600" w:firstLineChars="200"/>
        <w:textAlignment w:val="center"/>
        <w:outlineLvl w:val="2"/>
        <w:rPr>
          <w:rFonts w:ascii="仿宋_GB2312" w:eastAsia="仿宋_GB2312"/>
          <w:sz w:val="30"/>
          <w:szCs w:val="30"/>
          <w:highlight w:val="none"/>
        </w:rPr>
      </w:pPr>
      <w:r>
        <w:rPr>
          <w:rFonts w:hint="eastAsia" w:ascii="仿宋_GB2312" w:eastAsia="仿宋_GB2312"/>
          <w:sz w:val="30"/>
          <w:szCs w:val="30"/>
          <w:highlight w:val="none"/>
        </w:rPr>
        <w:t>2、评审地点：上海市闵行区沪闵路6258号1号楼117会议室。</w:t>
      </w:r>
    </w:p>
    <w:p w14:paraId="2EF7691C">
      <w:pPr>
        <w:adjustRightInd w:val="0"/>
        <w:snapToGrid w:val="0"/>
        <w:spacing w:line="360" w:lineRule="auto"/>
        <w:ind w:firstLine="600" w:firstLineChars="200"/>
        <w:textAlignment w:val="center"/>
        <w:outlineLvl w:val="2"/>
        <w:rPr>
          <w:rFonts w:ascii="仿宋_GB2312" w:eastAsia="仿宋_GB2312"/>
          <w:sz w:val="30"/>
          <w:szCs w:val="30"/>
          <w:highlight w:val="none"/>
        </w:rPr>
      </w:pPr>
      <w:r>
        <w:rPr>
          <w:rFonts w:hint="eastAsia" w:ascii="仿宋_GB2312" w:eastAsia="仿宋_GB2312"/>
          <w:sz w:val="30"/>
          <w:szCs w:val="30"/>
          <w:highlight w:val="none"/>
        </w:rPr>
        <w:t>3、比选过程所需携带其他材料：</w:t>
      </w:r>
    </w:p>
    <w:p w14:paraId="29767180">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（1）可以无线上网的笔记本电脑、展示所需PPT。</w:t>
      </w:r>
    </w:p>
    <w:p w14:paraId="4DB6E098">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（2）</w:t>
      </w:r>
      <w:r>
        <w:rPr>
          <w:rFonts w:ascii="仿宋_GB2312" w:eastAsia="仿宋_GB2312"/>
          <w:sz w:val="30"/>
          <w:szCs w:val="30"/>
          <w:highlight w:val="none"/>
        </w:rPr>
        <w:t>3</w:t>
      </w:r>
      <w:r>
        <w:rPr>
          <w:rFonts w:hint="eastAsia" w:ascii="仿宋_GB2312" w:eastAsia="仿宋_GB2312"/>
          <w:sz w:val="30"/>
          <w:szCs w:val="30"/>
          <w:highlight w:val="none"/>
        </w:rPr>
        <w:t>份纸质响应文件。</w:t>
      </w:r>
    </w:p>
    <w:p w14:paraId="7272BCF1">
      <w:pPr>
        <w:adjustRightInd w:val="0"/>
        <w:snapToGrid w:val="0"/>
        <w:spacing w:line="360" w:lineRule="auto"/>
        <w:ind w:firstLine="600" w:firstLineChars="200"/>
        <w:textAlignment w:val="center"/>
        <w:outlineLvl w:val="1"/>
        <w:rPr>
          <w:rFonts w:ascii="黑体" w:hAnsi="黑体" w:eastAsia="黑体" w:cs="黑体"/>
          <w:sz w:val="30"/>
          <w:szCs w:val="30"/>
          <w:highlight w:val="none"/>
        </w:rPr>
      </w:pPr>
      <w:r>
        <w:rPr>
          <w:rFonts w:hint="eastAsia" w:ascii="黑体" w:hAnsi="黑体" w:eastAsia="黑体" w:cs="黑体"/>
          <w:sz w:val="30"/>
          <w:szCs w:val="30"/>
          <w:highlight w:val="none"/>
        </w:rPr>
        <w:t>四、联系方式</w:t>
      </w:r>
    </w:p>
    <w:p w14:paraId="5FFACC5A">
      <w:pPr>
        <w:adjustRightInd w:val="0"/>
        <w:snapToGrid w:val="0"/>
        <w:spacing w:line="360" w:lineRule="auto"/>
        <w:ind w:firstLine="600" w:firstLineChars="200"/>
        <w:textAlignment w:val="center"/>
        <w:rPr>
          <w:rFonts w:hint="eastAsia" w:ascii="仿宋_GB2312" w:eastAsia="仿宋_GB2312"/>
          <w:sz w:val="30"/>
          <w:szCs w:val="30"/>
          <w:highlight w:val="none"/>
          <w:lang w:eastAsia="zh-CN"/>
        </w:rPr>
      </w:pPr>
      <w:r>
        <w:rPr>
          <w:rFonts w:hint="eastAsia" w:ascii="仿宋_GB2312" w:eastAsia="仿宋_GB2312"/>
          <w:sz w:val="30"/>
          <w:szCs w:val="30"/>
          <w:highlight w:val="none"/>
        </w:rPr>
        <w:t>采购人：上海市</w:t>
      </w:r>
      <w:r>
        <w:rPr>
          <w:rFonts w:hint="eastAsia" w:ascii="仿宋_GB2312" w:eastAsia="仿宋_GB2312"/>
          <w:sz w:val="30"/>
          <w:szCs w:val="30"/>
          <w:highlight w:val="none"/>
          <w:lang w:eastAsia="zh-CN"/>
        </w:rPr>
        <w:t>闵行区发展和改革委员会</w:t>
      </w:r>
    </w:p>
    <w:p w14:paraId="2858ABE2">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地址：上海市闵行区沪闵路6258号1号楼539室</w:t>
      </w:r>
    </w:p>
    <w:p w14:paraId="6BC8876C">
      <w:pPr>
        <w:adjustRightInd w:val="0"/>
        <w:snapToGrid w:val="0"/>
        <w:spacing w:line="360" w:lineRule="auto"/>
        <w:ind w:firstLine="600" w:firstLineChars="200"/>
        <w:textAlignment w:val="center"/>
        <w:rPr>
          <w:rFonts w:hint="eastAsia" w:ascii="仿宋_GB2312" w:eastAsia="仿宋_GB2312"/>
          <w:sz w:val="30"/>
          <w:szCs w:val="30"/>
          <w:highlight w:val="none"/>
          <w:lang w:eastAsia="zh-CN"/>
        </w:rPr>
      </w:pPr>
      <w:r>
        <w:rPr>
          <w:rFonts w:hint="eastAsia" w:ascii="仿宋_GB2312" w:eastAsia="仿宋_GB2312"/>
          <w:sz w:val="30"/>
          <w:szCs w:val="30"/>
          <w:highlight w:val="none"/>
        </w:rPr>
        <w:t>联系人：</w:t>
      </w:r>
      <w:r>
        <w:rPr>
          <w:rFonts w:hint="eastAsia" w:ascii="仿宋_GB2312" w:eastAsia="仿宋_GB2312"/>
          <w:sz w:val="30"/>
          <w:szCs w:val="30"/>
          <w:highlight w:val="none"/>
          <w:lang w:eastAsia="zh-CN"/>
        </w:rPr>
        <w:t>侯轶平</w:t>
      </w:r>
    </w:p>
    <w:p w14:paraId="404CF25A">
      <w:pPr>
        <w:adjustRightInd w:val="0"/>
        <w:snapToGrid w:val="0"/>
        <w:spacing w:line="360" w:lineRule="auto"/>
        <w:ind w:firstLine="600" w:firstLineChars="200"/>
        <w:textAlignment w:val="center"/>
        <w:rPr>
          <w:rFonts w:ascii="仿宋_GB2312" w:eastAsia="仿宋_GB2312"/>
          <w:sz w:val="30"/>
          <w:szCs w:val="30"/>
          <w:highlight w:val="none"/>
          <w:lang w:val="en"/>
        </w:rPr>
      </w:pPr>
      <w:r>
        <w:rPr>
          <w:rFonts w:hint="eastAsia" w:ascii="仿宋_GB2312" w:eastAsia="仿宋_GB2312"/>
          <w:sz w:val="30"/>
          <w:szCs w:val="30"/>
          <w:highlight w:val="none"/>
        </w:rPr>
        <w:t>邮箱：</w:t>
      </w:r>
      <w:r>
        <w:rPr>
          <w:rFonts w:hint="eastAsia" w:ascii="仿宋_GB2312" w:hAnsi="Times New Roman" w:eastAsia="仿宋_GB2312"/>
          <w:sz w:val="32"/>
          <w:szCs w:val="32"/>
          <w:highlight w:val="none"/>
          <w:lang w:val="en-US" w:eastAsia="zh-CN"/>
        </w:rPr>
        <w:t>houyiping</w:t>
      </w:r>
      <w:r>
        <w:rPr>
          <w:rFonts w:hint="eastAsia" w:ascii="仿宋_GB2312" w:hAnsi="Times New Roman" w:eastAsia="仿宋_GB2312"/>
          <w:sz w:val="32"/>
          <w:szCs w:val="32"/>
          <w:highlight w:val="none"/>
        </w:rPr>
        <w:t>@shmh.gov.cn</w:t>
      </w:r>
    </w:p>
    <w:p w14:paraId="1DDCB49F">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联系方式：24033260</w:t>
      </w:r>
    </w:p>
    <w:p w14:paraId="13DCC8A8">
      <w:pPr>
        <w:adjustRightInd w:val="0"/>
        <w:snapToGrid w:val="0"/>
        <w:spacing w:line="360" w:lineRule="auto"/>
        <w:ind w:firstLine="600" w:firstLineChars="200"/>
        <w:textAlignment w:val="center"/>
        <w:outlineLvl w:val="0"/>
        <w:rPr>
          <w:rFonts w:asciiTheme="majorEastAsia" w:hAnsiTheme="majorEastAsia" w:eastAsiaTheme="majorEastAsia"/>
          <w:b/>
          <w:sz w:val="36"/>
          <w:szCs w:val="36"/>
          <w:highlight w:val="none"/>
        </w:rPr>
      </w:pPr>
      <w:r>
        <w:rPr>
          <w:rFonts w:hint="eastAsia" w:ascii="仿宋_GB2312" w:eastAsia="仿宋_GB2312"/>
          <w:sz w:val="30"/>
          <w:szCs w:val="30"/>
          <w:highlight w:val="none"/>
        </w:rPr>
        <w:br w:type="page"/>
      </w:r>
      <w:r>
        <w:rPr>
          <w:rFonts w:hint="eastAsia" w:ascii="黑体" w:hAnsi="黑体" w:eastAsia="黑体"/>
          <w:sz w:val="36"/>
          <w:szCs w:val="36"/>
          <w:highlight w:val="none"/>
        </w:rPr>
        <w:t>第二部分 比选</w:t>
      </w:r>
      <w:r>
        <w:rPr>
          <w:rFonts w:ascii="黑体" w:hAnsi="黑体" w:eastAsia="黑体"/>
          <w:sz w:val="36"/>
          <w:szCs w:val="36"/>
          <w:highlight w:val="none"/>
        </w:rPr>
        <w:t>须知</w:t>
      </w:r>
      <w:r>
        <w:rPr>
          <w:rFonts w:hint="eastAsia" w:ascii="黑体" w:hAnsi="黑体" w:eastAsia="黑体"/>
          <w:sz w:val="36"/>
          <w:szCs w:val="36"/>
          <w:highlight w:val="none"/>
        </w:rPr>
        <w:t>、采购需求</w:t>
      </w:r>
    </w:p>
    <w:p w14:paraId="21EF0BC8">
      <w:pPr>
        <w:adjustRightInd w:val="0"/>
        <w:snapToGrid w:val="0"/>
        <w:spacing w:line="360" w:lineRule="auto"/>
        <w:ind w:firstLine="600" w:firstLineChars="200"/>
        <w:textAlignment w:val="center"/>
        <w:outlineLvl w:val="0"/>
        <w:rPr>
          <w:rFonts w:asciiTheme="majorEastAsia" w:hAnsiTheme="majorEastAsia" w:eastAsiaTheme="majorEastAsia"/>
          <w:b/>
          <w:sz w:val="36"/>
          <w:szCs w:val="36"/>
          <w:highlight w:val="none"/>
        </w:rPr>
      </w:pPr>
      <w:r>
        <w:rPr>
          <w:rFonts w:hint="eastAsia" w:ascii="黑体" w:hAnsi="黑体" w:eastAsia="黑体" w:cs="黑体"/>
          <w:sz w:val="30"/>
          <w:szCs w:val="30"/>
          <w:highlight w:val="none"/>
        </w:rPr>
        <w:t>比选须知前附表</w:t>
      </w:r>
    </w:p>
    <w:tbl>
      <w:tblPr>
        <w:tblStyle w:val="8"/>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34"/>
        <w:gridCol w:w="6326"/>
      </w:tblGrid>
      <w:tr w14:paraId="5011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8537A5B">
            <w:pPr>
              <w:jc w:val="center"/>
              <w:textAlignment w:val="center"/>
              <w:rPr>
                <w:rFonts w:ascii="宋体" w:hAnsi="宋体"/>
                <w:b/>
                <w:sz w:val="28"/>
                <w:szCs w:val="28"/>
                <w:highlight w:val="none"/>
              </w:rPr>
            </w:pPr>
            <w:r>
              <w:rPr>
                <w:rFonts w:hint="eastAsia" w:ascii="宋体" w:hAnsi="宋体"/>
                <w:b/>
                <w:sz w:val="28"/>
                <w:szCs w:val="28"/>
                <w:highlight w:val="none"/>
              </w:rPr>
              <w:t>序号</w:t>
            </w:r>
          </w:p>
        </w:tc>
        <w:tc>
          <w:tcPr>
            <w:tcW w:w="1434" w:type="dxa"/>
            <w:tcBorders>
              <w:top w:val="single" w:color="auto" w:sz="4" w:space="0"/>
              <w:left w:val="single" w:color="auto" w:sz="4" w:space="0"/>
              <w:bottom w:val="single" w:color="auto" w:sz="4" w:space="0"/>
              <w:right w:val="single" w:color="auto" w:sz="4" w:space="0"/>
            </w:tcBorders>
            <w:vAlign w:val="center"/>
          </w:tcPr>
          <w:p w14:paraId="12AB0C43">
            <w:pPr>
              <w:jc w:val="center"/>
              <w:textAlignment w:val="center"/>
              <w:rPr>
                <w:rFonts w:ascii="宋体" w:hAnsi="宋体"/>
                <w:b/>
                <w:sz w:val="28"/>
                <w:szCs w:val="28"/>
                <w:highlight w:val="none"/>
              </w:rPr>
            </w:pPr>
            <w:r>
              <w:rPr>
                <w:rFonts w:hint="eastAsia" w:ascii="宋体" w:hAnsi="宋体"/>
                <w:b/>
                <w:sz w:val="28"/>
                <w:szCs w:val="28"/>
                <w:highlight w:val="none"/>
              </w:rPr>
              <w:t>名称</w:t>
            </w:r>
          </w:p>
        </w:tc>
        <w:tc>
          <w:tcPr>
            <w:tcW w:w="6326" w:type="dxa"/>
            <w:tcBorders>
              <w:top w:val="single" w:color="auto" w:sz="4" w:space="0"/>
              <w:left w:val="single" w:color="auto" w:sz="4" w:space="0"/>
              <w:bottom w:val="single" w:color="auto" w:sz="4" w:space="0"/>
              <w:right w:val="single" w:color="auto" w:sz="4" w:space="0"/>
            </w:tcBorders>
            <w:vAlign w:val="center"/>
          </w:tcPr>
          <w:p w14:paraId="2B6B3D49">
            <w:pPr>
              <w:jc w:val="center"/>
              <w:textAlignment w:val="center"/>
              <w:rPr>
                <w:rFonts w:ascii="宋体" w:hAnsi="宋体"/>
                <w:b/>
                <w:sz w:val="28"/>
                <w:szCs w:val="28"/>
                <w:highlight w:val="none"/>
              </w:rPr>
            </w:pPr>
            <w:r>
              <w:rPr>
                <w:rFonts w:hint="eastAsia" w:ascii="宋体" w:hAnsi="宋体"/>
                <w:b/>
                <w:sz w:val="28"/>
                <w:szCs w:val="28"/>
                <w:highlight w:val="none"/>
              </w:rPr>
              <w:t>内容</w:t>
            </w:r>
          </w:p>
        </w:tc>
      </w:tr>
      <w:tr w14:paraId="4BD5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791087B">
            <w:pPr>
              <w:jc w:val="center"/>
              <w:textAlignment w:val="center"/>
              <w:rPr>
                <w:rFonts w:ascii="宋体" w:hAnsi="宋体"/>
                <w:sz w:val="24"/>
                <w:highlight w:val="none"/>
              </w:rPr>
            </w:pPr>
            <w:r>
              <w:rPr>
                <w:rFonts w:hint="eastAsia" w:ascii="宋体" w:hAnsi="宋体"/>
                <w:sz w:val="24"/>
                <w:highlight w:val="none"/>
              </w:rPr>
              <w:t>1</w:t>
            </w:r>
          </w:p>
        </w:tc>
        <w:tc>
          <w:tcPr>
            <w:tcW w:w="1434" w:type="dxa"/>
            <w:tcBorders>
              <w:top w:val="single" w:color="auto" w:sz="4" w:space="0"/>
              <w:left w:val="single" w:color="auto" w:sz="4" w:space="0"/>
              <w:bottom w:val="single" w:color="auto" w:sz="4" w:space="0"/>
              <w:right w:val="single" w:color="auto" w:sz="4" w:space="0"/>
            </w:tcBorders>
            <w:vAlign w:val="center"/>
          </w:tcPr>
          <w:p w14:paraId="518F826C">
            <w:pPr>
              <w:jc w:val="center"/>
              <w:textAlignment w:val="center"/>
              <w:rPr>
                <w:rFonts w:ascii="宋体" w:hAnsi="宋体"/>
                <w:sz w:val="24"/>
                <w:highlight w:val="none"/>
              </w:rPr>
            </w:pPr>
            <w:r>
              <w:rPr>
                <w:rFonts w:hint="eastAsia" w:ascii="宋体" w:hAnsi="宋体"/>
                <w:sz w:val="24"/>
                <w:highlight w:val="none"/>
              </w:rPr>
              <w:t>项目名称</w:t>
            </w:r>
          </w:p>
        </w:tc>
        <w:tc>
          <w:tcPr>
            <w:tcW w:w="6326" w:type="dxa"/>
            <w:tcBorders>
              <w:top w:val="single" w:color="auto" w:sz="4" w:space="0"/>
              <w:left w:val="single" w:color="auto" w:sz="4" w:space="0"/>
              <w:bottom w:val="single" w:color="auto" w:sz="4" w:space="0"/>
              <w:right w:val="single" w:color="auto" w:sz="4" w:space="0"/>
            </w:tcBorders>
            <w:vAlign w:val="center"/>
          </w:tcPr>
          <w:p w14:paraId="7D031600">
            <w:pPr>
              <w:ind w:left="1200" w:hanging="1200" w:hangingChars="500"/>
              <w:jc w:val="center"/>
              <w:textAlignment w:val="center"/>
              <w:rPr>
                <w:rFonts w:hint="eastAsia" w:ascii="宋体" w:hAnsi="宋体"/>
                <w:sz w:val="24"/>
                <w:highlight w:val="none"/>
                <w:lang w:eastAsia="zh-CN"/>
              </w:rPr>
            </w:pPr>
            <w:r>
              <w:rPr>
                <w:rFonts w:hint="eastAsia" w:ascii="宋体" w:hAnsi="宋体"/>
                <w:sz w:val="24"/>
                <w:highlight w:val="none"/>
                <w:lang w:val="en-US" w:eastAsia="zh-CN"/>
              </w:rPr>
              <w:t>2025年</w:t>
            </w:r>
            <w:r>
              <w:rPr>
                <w:rFonts w:hint="eastAsia" w:ascii="宋体" w:hAnsi="宋体"/>
                <w:sz w:val="24"/>
                <w:highlight w:val="none"/>
                <w:lang w:eastAsia="zh-CN"/>
              </w:rPr>
              <w:t>上海市服务业发展引导资金闵行区项目管理</w:t>
            </w:r>
          </w:p>
        </w:tc>
      </w:tr>
      <w:tr w14:paraId="4A30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CA49C93">
            <w:pPr>
              <w:jc w:val="center"/>
              <w:textAlignment w:val="center"/>
              <w:rPr>
                <w:rFonts w:ascii="宋体" w:hAnsi="宋体"/>
                <w:sz w:val="24"/>
                <w:highlight w:val="none"/>
              </w:rPr>
            </w:pPr>
            <w:r>
              <w:rPr>
                <w:rFonts w:hint="eastAsia" w:ascii="宋体" w:hAnsi="宋体"/>
                <w:sz w:val="24"/>
                <w:highlight w:val="none"/>
              </w:rPr>
              <w:t>2</w:t>
            </w:r>
          </w:p>
        </w:tc>
        <w:tc>
          <w:tcPr>
            <w:tcW w:w="1434" w:type="dxa"/>
            <w:tcBorders>
              <w:top w:val="single" w:color="auto" w:sz="4" w:space="0"/>
              <w:left w:val="single" w:color="auto" w:sz="4" w:space="0"/>
              <w:bottom w:val="single" w:color="auto" w:sz="4" w:space="0"/>
              <w:right w:val="single" w:color="auto" w:sz="4" w:space="0"/>
            </w:tcBorders>
            <w:vAlign w:val="center"/>
          </w:tcPr>
          <w:p w14:paraId="58E59F21">
            <w:pPr>
              <w:jc w:val="center"/>
              <w:textAlignment w:val="center"/>
              <w:rPr>
                <w:rFonts w:ascii="宋体" w:hAnsi="宋体"/>
                <w:sz w:val="24"/>
                <w:highlight w:val="none"/>
              </w:rPr>
            </w:pPr>
            <w:r>
              <w:rPr>
                <w:rFonts w:hint="eastAsia" w:ascii="宋体" w:hAnsi="宋体"/>
                <w:sz w:val="24"/>
                <w:highlight w:val="none"/>
              </w:rPr>
              <w:t>项目地址</w:t>
            </w:r>
          </w:p>
        </w:tc>
        <w:tc>
          <w:tcPr>
            <w:tcW w:w="6326" w:type="dxa"/>
            <w:tcBorders>
              <w:top w:val="single" w:color="auto" w:sz="4" w:space="0"/>
              <w:left w:val="single" w:color="auto" w:sz="4" w:space="0"/>
              <w:bottom w:val="single" w:color="auto" w:sz="4" w:space="0"/>
              <w:right w:val="single" w:color="auto" w:sz="4" w:space="0"/>
            </w:tcBorders>
            <w:vAlign w:val="center"/>
          </w:tcPr>
          <w:p w14:paraId="2AF4E426">
            <w:pPr>
              <w:ind w:left="1200" w:hanging="1200" w:hangingChars="500"/>
              <w:jc w:val="center"/>
              <w:textAlignment w:val="center"/>
              <w:rPr>
                <w:rFonts w:hint="eastAsia" w:ascii="宋体" w:hAnsi="宋体"/>
                <w:sz w:val="24"/>
                <w:highlight w:val="none"/>
              </w:rPr>
            </w:pPr>
            <w:r>
              <w:rPr>
                <w:rFonts w:hint="eastAsia" w:ascii="宋体" w:hAnsi="宋体"/>
                <w:sz w:val="24"/>
                <w:highlight w:val="none"/>
              </w:rPr>
              <w:t>采购人指定地点</w:t>
            </w:r>
          </w:p>
        </w:tc>
      </w:tr>
      <w:tr w14:paraId="73F3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779DEA2">
            <w:pPr>
              <w:jc w:val="center"/>
              <w:textAlignment w:val="center"/>
              <w:rPr>
                <w:rFonts w:ascii="宋体" w:hAnsi="宋体"/>
                <w:sz w:val="24"/>
                <w:highlight w:val="none"/>
              </w:rPr>
            </w:pPr>
            <w:r>
              <w:rPr>
                <w:rFonts w:hint="eastAsia" w:ascii="宋体" w:hAnsi="宋体"/>
                <w:sz w:val="24"/>
                <w:highlight w:val="none"/>
              </w:rPr>
              <w:t>3</w:t>
            </w:r>
          </w:p>
        </w:tc>
        <w:tc>
          <w:tcPr>
            <w:tcW w:w="1434" w:type="dxa"/>
            <w:tcBorders>
              <w:top w:val="single" w:color="auto" w:sz="4" w:space="0"/>
              <w:left w:val="single" w:color="auto" w:sz="4" w:space="0"/>
              <w:bottom w:val="single" w:color="auto" w:sz="4" w:space="0"/>
              <w:right w:val="single" w:color="auto" w:sz="4" w:space="0"/>
            </w:tcBorders>
            <w:vAlign w:val="center"/>
          </w:tcPr>
          <w:p w14:paraId="7D0AD023">
            <w:pPr>
              <w:jc w:val="center"/>
              <w:textAlignment w:val="center"/>
              <w:rPr>
                <w:rFonts w:ascii="宋体" w:hAnsi="宋体"/>
                <w:sz w:val="24"/>
                <w:highlight w:val="none"/>
              </w:rPr>
            </w:pPr>
            <w:r>
              <w:rPr>
                <w:rFonts w:hint="eastAsia" w:ascii="宋体" w:hAnsi="宋体"/>
                <w:sz w:val="24"/>
                <w:highlight w:val="none"/>
              </w:rPr>
              <w:t>预算金额</w:t>
            </w:r>
          </w:p>
        </w:tc>
        <w:tc>
          <w:tcPr>
            <w:tcW w:w="6326" w:type="dxa"/>
            <w:tcBorders>
              <w:top w:val="single" w:color="auto" w:sz="4" w:space="0"/>
              <w:left w:val="single" w:color="auto" w:sz="4" w:space="0"/>
              <w:bottom w:val="single" w:color="auto" w:sz="4" w:space="0"/>
              <w:right w:val="single" w:color="auto" w:sz="4" w:space="0"/>
            </w:tcBorders>
            <w:vAlign w:val="center"/>
          </w:tcPr>
          <w:p w14:paraId="18CF6D8A">
            <w:pPr>
              <w:jc w:val="center"/>
              <w:textAlignment w:val="center"/>
              <w:rPr>
                <w:rFonts w:ascii="宋体" w:hAnsi="宋体"/>
                <w:sz w:val="24"/>
                <w:highlight w:val="none"/>
              </w:rPr>
            </w:pPr>
            <w:r>
              <w:rPr>
                <w:rFonts w:hint="eastAsia" w:ascii="宋体" w:hAnsi="宋体"/>
                <w:sz w:val="24"/>
                <w:highlight w:val="none"/>
                <w:lang w:val="en-US" w:eastAsia="zh-CN"/>
              </w:rPr>
              <w:t>25</w:t>
            </w:r>
            <w:r>
              <w:rPr>
                <w:rFonts w:hint="eastAsia" w:ascii="宋体" w:hAnsi="宋体"/>
                <w:sz w:val="24"/>
                <w:highlight w:val="none"/>
              </w:rPr>
              <w:t>万元</w:t>
            </w:r>
          </w:p>
        </w:tc>
      </w:tr>
      <w:tr w14:paraId="29EE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7A06BB8">
            <w:pPr>
              <w:jc w:val="center"/>
              <w:textAlignment w:val="center"/>
              <w:rPr>
                <w:rFonts w:ascii="宋体" w:hAnsi="宋体"/>
                <w:sz w:val="24"/>
                <w:highlight w:val="none"/>
              </w:rPr>
            </w:pPr>
            <w:r>
              <w:rPr>
                <w:rFonts w:hint="eastAsia" w:ascii="宋体" w:hAnsi="宋体"/>
                <w:sz w:val="24"/>
                <w:highlight w:val="none"/>
              </w:rPr>
              <w:t>4</w:t>
            </w:r>
          </w:p>
        </w:tc>
        <w:tc>
          <w:tcPr>
            <w:tcW w:w="1434" w:type="dxa"/>
            <w:tcBorders>
              <w:top w:val="single" w:color="auto" w:sz="4" w:space="0"/>
              <w:left w:val="single" w:color="auto" w:sz="4" w:space="0"/>
              <w:bottom w:val="single" w:color="auto" w:sz="4" w:space="0"/>
              <w:right w:val="single" w:color="auto" w:sz="4" w:space="0"/>
            </w:tcBorders>
            <w:vAlign w:val="center"/>
          </w:tcPr>
          <w:p w14:paraId="16A8B3C8">
            <w:pPr>
              <w:jc w:val="center"/>
              <w:textAlignment w:val="center"/>
              <w:rPr>
                <w:rFonts w:ascii="宋体" w:hAnsi="宋体"/>
                <w:sz w:val="24"/>
                <w:highlight w:val="none"/>
              </w:rPr>
            </w:pPr>
            <w:r>
              <w:rPr>
                <w:rFonts w:hint="eastAsia" w:ascii="宋体" w:hAnsi="宋体"/>
                <w:sz w:val="24"/>
                <w:highlight w:val="none"/>
              </w:rPr>
              <w:t>资金来源</w:t>
            </w:r>
          </w:p>
        </w:tc>
        <w:tc>
          <w:tcPr>
            <w:tcW w:w="6326" w:type="dxa"/>
            <w:tcBorders>
              <w:top w:val="single" w:color="auto" w:sz="4" w:space="0"/>
              <w:left w:val="single" w:color="auto" w:sz="4" w:space="0"/>
              <w:bottom w:val="single" w:color="auto" w:sz="4" w:space="0"/>
              <w:right w:val="single" w:color="auto" w:sz="4" w:space="0"/>
            </w:tcBorders>
            <w:vAlign w:val="center"/>
          </w:tcPr>
          <w:p w14:paraId="6490B0A6">
            <w:pPr>
              <w:jc w:val="center"/>
              <w:textAlignment w:val="center"/>
              <w:rPr>
                <w:rFonts w:ascii="宋体" w:hAnsi="宋体"/>
                <w:sz w:val="24"/>
                <w:highlight w:val="none"/>
              </w:rPr>
            </w:pPr>
            <w:r>
              <w:rPr>
                <w:rFonts w:hint="eastAsia" w:ascii="宋体" w:hAnsi="宋体"/>
                <w:sz w:val="24"/>
                <w:highlight w:val="none"/>
              </w:rPr>
              <w:t>财政性资金</w:t>
            </w:r>
          </w:p>
        </w:tc>
      </w:tr>
      <w:tr w14:paraId="7E9B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586557D">
            <w:pPr>
              <w:jc w:val="center"/>
              <w:textAlignment w:val="center"/>
              <w:rPr>
                <w:rFonts w:ascii="宋体" w:hAnsi="宋体"/>
                <w:sz w:val="24"/>
                <w:highlight w:val="none"/>
              </w:rPr>
            </w:pPr>
            <w:r>
              <w:rPr>
                <w:rFonts w:hint="eastAsia" w:ascii="宋体" w:hAnsi="宋体"/>
                <w:sz w:val="24"/>
                <w:highlight w:val="none"/>
              </w:rPr>
              <w:t>5</w:t>
            </w:r>
          </w:p>
        </w:tc>
        <w:tc>
          <w:tcPr>
            <w:tcW w:w="1434" w:type="dxa"/>
            <w:tcBorders>
              <w:top w:val="single" w:color="auto" w:sz="4" w:space="0"/>
              <w:left w:val="single" w:color="auto" w:sz="4" w:space="0"/>
              <w:bottom w:val="single" w:color="auto" w:sz="4" w:space="0"/>
              <w:right w:val="single" w:color="auto" w:sz="4" w:space="0"/>
            </w:tcBorders>
            <w:vAlign w:val="center"/>
          </w:tcPr>
          <w:p w14:paraId="29912E1C">
            <w:pPr>
              <w:jc w:val="center"/>
              <w:textAlignment w:val="center"/>
              <w:rPr>
                <w:rFonts w:ascii="宋体" w:hAnsi="宋体"/>
                <w:sz w:val="24"/>
                <w:highlight w:val="none"/>
              </w:rPr>
            </w:pPr>
            <w:r>
              <w:rPr>
                <w:rFonts w:hint="eastAsia" w:ascii="宋体" w:hAnsi="宋体"/>
                <w:sz w:val="24"/>
                <w:highlight w:val="none"/>
              </w:rPr>
              <w:t>交付日期</w:t>
            </w:r>
          </w:p>
        </w:tc>
        <w:tc>
          <w:tcPr>
            <w:tcW w:w="6326" w:type="dxa"/>
            <w:tcBorders>
              <w:top w:val="single" w:color="auto" w:sz="4" w:space="0"/>
              <w:left w:val="single" w:color="auto" w:sz="4" w:space="0"/>
              <w:bottom w:val="single" w:color="auto" w:sz="4" w:space="0"/>
              <w:right w:val="single" w:color="auto" w:sz="4" w:space="0"/>
            </w:tcBorders>
            <w:vAlign w:val="center"/>
          </w:tcPr>
          <w:p w14:paraId="1442EFBA">
            <w:pPr>
              <w:jc w:val="center"/>
              <w:textAlignment w:val="center"/>
              <w:rPr>
                <w:rFonts w:ascii="宋体" w:hAnsi="宋体"/>
                <w:sz w:val="24"/>
                <w:highlight w:val="none"/>
              </w:rPr>
            </w:pPr>
            <w:r>
              <w:rPr>
                <w:rFonts w:hint="eastAsia" w:ascii="宋体" w:hAnsi="宋体"/>
                <w:sz w:val="24"/>
                <w:highlight w:val="none"/>
              </w:rPr>
              <w:t>详见比选邀请</w:t>
            </w:r>
          </w:p>
        </w:tc>
      </w:tr>
      <w:tr w14:paraId="7331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3F5739D">
            <w:pPr>
              <w:jc w:val="center"/>
              <w:textAlignment w:val="center"/>
              <w:rPr>
                <w:rFonts w:ascii="宋体" w:hAnsi="宋体"/>
                <w:sz w:val="24"/>
                <w:highlight w:val="none"/>
              </w:rPr>
            </w:pPr>
            <w:r>
              <w:rPr>
                <w:rFonts w:hint="eastAsia" w:ascii="宋体" w:hAnsi="宋体"/>
                <w:sz w:val="24"/>
                <w:highlight w:val="none"/>
              </w:rPr>
              <w:t>6</w:t>
            </w:r>
          </w:p>
        </w:tc>
        <w:tc>
          <w:tcPr>
            <w:tcW w:w="1434" w:type="dxa"/>
            <w:tcBorders>
              <w:top w:val="single" w:color="auto" w:sz="4" w:space="0"/>
              <w:left w:val="single" w:color="auto" w:sz="4" w:space="0"/>
              <w:bottom w:val="single" w:color="auto" w:sz="4" w:space="0"/>
              <w:right w:val="single" w:color="auto" w:sz="4" w:space="0"/>
            </w:tcBorders>
            <w:vAlign w:val="center"/>
          </w:tcPr>
          <w:p w14:paraId="08EEE127">
            <w:pPr>
              <w:jc w:val="center"/>
              <w:textAlignment w:val="center"/>
              <w:rPr>
                <w:rFonts w:ascii="宋体" w:hAnsi="宋体"/>
                <w:sz w:val="24"/>
                <w:highlight w:val="none"/>
              </w:rPr>
            </w:pPr>
            <w:r>
              <w:rPr>
                <w:rFonts w:hint="eastAsia" w:ascii="宋体" w:hAnsi="宋体"/>
                <w:sz w:val="24"/>
                <w:highlight w:val="none"/>
              </w:rPr>
              <w:t>第三方机构资格要求</w:t>
            </w:r>
          </w:p>
        </w:tc>
        <w:tc>
          <w:tcPr>
            <w:tcW w:w="6326" w:type="dxa"/>
            <w:tcBorders>
              <w:top w:val="single" w:color="auto" w:sz="4" w:space="0"/>
              <w:left w:val="single" w:color="auto" w:sz="4" w:space="0"/>
              <w:bottom w:val="single" w:color="auto" w:sz="4" w:space="0"/>
              <w:right w:val="single" w:color="auto" w:sz="4" w:space="0"/>
            </w:tcBorders>
            <w:vAlign w:val="center"/>
          </w:tcPr>
          <w:p w14:paraId="68ED2B23">
            <w:pPr>
              <w:jc w:val="center"/>
              <w:rPr>
                <w:rFonts w:ascii="宋体" w:hAnsi="宋体" w:cs="宋体"/>
                <w:kern w:val="0"/>
                <w:sz w:val="24"/>
                <w:highlight w:val="none"/>
              </w:rPr>
            </w:pPr>
            <w:r>
              <w:rPr>
                <w:rFonts w:hint="eastAsia" w:ascii="宋体" w:hAnsi="宋体" w:cs="宋体"/>
                <w:kern w:val="0"/>
                <w:sz w:val="24"/>
                <w:highlight w:val="none"/>
              </w:rPr>
              <w:t>详见响应文件</w:t>
            </w:r>
          </w:p>
        </w:tc>
      </w:tr>
      <w:tr w14:paraId="7C31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5F5E5DA">
            <w:pPr>
              <w:jc w:val="center"/>
              <w:textAlignment w:val="center"/>
              <w:rPr>
                <w:rFonts w:ascii="宋体" w:hAnsi="宋体"/>
                <w:sz w:val="24"/>
                <w:highlight w:val="none"/>
              </w:rPr>
            </w:pPr>
            <w:r>
              <w:rPr>
                <w:rFonts w:hint="eastAsia" w:ascii="宋体" w:hAnsi="宋体"/>
                <w:sz w:val="24"/>
                <w:highlight w:val="none"/>
              </w:rPr>
              <w:t>7</w:t>
            </w:r>
          </w:p>
        </w:tc>
        <w:tc>
          <w:tcPr>
            <w:tcW w:w="1434" w:type="dxa"/>
            <w:tcBorders>
              <w:top w:val="single" w:color="auto" w:sz="4" w:space="0"/>
              <w:left w:val="single" w:color="auto" w:sz="4" w:space="0"/>
              <w:bottom w:val="single" w:color="auto" w:sz="4" w:space="0"/>
              <w:right w:val="single" w:color="auto" w:sz="4" w:space="0"/>
            </w:tcBorders>
            <w:vAlign w:val="center"/>
          </w:tcPr>
          <w:p w14:paraId="348C4454">
            <w:pPr>
              <w:jc w:val="center"/>
              <w:textAlignment w:val="center"/>
              <w:rPr>
                <w:rFonts w:ascii="宋体" w:hAnsi="宋体"/>
                <w:sz w:val="24"/>
                <w:highlight w:val="none"/>
              </w:rPr>
            </w:pPr>
            <w:r>
              <w:rPr>
                <w:rFonts w:hint="eastAsia" w:ascii="宋体" w:hAnsi="宋体"/>
                <w:sz w:val="24"/>
                <w:highlight w:val="none"/>
              </w:rPr>
              <w:t>提问截止</w:t>
            </w:r>
          </w:p>
          <w:p w14:paraId="54D09EA9">
            <w:pPr>
              <w:jc w:val="center"/>
              <w:textAlignment w:val="center"/>
              <w:rPr>
                <w:rFonts w:ascii="宋体" w:hAnsi="宋体"/>
                <w:sz w:val="24"/>
                <w:highlight w:val="none"/>
              </w:rPr>
            </w:pPr>
            <w:r>
              <w:rPr>
                <w:rFonts w:hint="eastAsia" w:ascii="宋体" w:hAnsi="宋体"/>
                <w:sz w:val="24"/>
                <w:highlight w:val="none"/>
              </w:rPr>
              <w:t>时间</w:t>
            </w:r>
          </w:p>
        </w:tc>
        <w:tc>
          <w:tcPr>
            <w:tcW w:w="6326" w:type="dxa"/>
            <w:tcBorders>
              <w:top w:val="single" w:color="auto" w:sz="4" w:space="0"/>
              <w:left w:val="single" w:color="auto" w:sz="4" w:space="0"/>
              <w:bottom w:val="single" w:color="auto" w:sz="4" w:space="0"/>
              <w:right w:val="single" w:color="auto" w:sz="4" w:space="0"/>
            </w:tcBorders>
            <w:vAlign w:val="center"/>
          </w:tcPr>
          <w:p w14:paraId="620D94FF">
            <w:pPr>
              <w:jc w:val="left"/>
              <w:textAlignment w:val="center"/>
              <w:rPr>
                <w:rFonts w:ascii="宋体" w:hAnsi="宋体" w:cs="宋体"/>
                <w:bCs/>
                <w:sz w:val="24"/>
                <w:highlight w:val="none"/>
              </w:rPr>
            </w:pPr>
            <w:r>
              <w:rPr>
                <w:rFonts w:hint="eastAsia" w:ascii="宋体" w:hAnsi="宋体"/>
                <w:sz w:val="24"/>
                <w:highlight w:val="none"/>
              </w:rPr>
              <w:t>对比选文件如有疑问，请第三方机构以书面形式（加盖公章）、电话在下述规定时间内递交或电子邮件至</w:t>
            </w:r>
            <w:r>
              <w:rPr>
                <w:rFonts w:hint="eastAsia" w:ascii="宋体" w:hAnsi="宋体" w:cs="宋体"/>
                <w:kern w:val="0"/>
                <w:sz w:val="24"/>
                <w:highlight w:val="none"/>
              </w:rPr>
              <w:t>单位联系人</w:t>
            </w:r>
          </w:p>
          <w:p w14:paraId="253187C3">
            <w:pPr>
              <w:jc w:val="left"/>
              <w:textAlignment w:val="center"/>
              <w:rPr>
                <w:rFonts w:ascii="宋体" w:hAnsi="宋体"/>
                <w:sz w:val="24"/>
                <w:highlight w:val="none"/>
              </w:rPr>
            </w:pPr>
            <w:r>
              <w:rPr>
                <w:rFonts w:hint="eastAsia" w:ascii="宋体" w:hAnsi="宋体"/>
                <w:sz w:val="24"/>
                <w:highlight w:val="none"/>
              </w:rPr>
              <w:t>截止时间：2024年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w:t>
            </w:r>
          </w:p>
        </w:tc>
      </w:tr>
      <w:tr w14:paraId="53EC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B808860">
            <w:pPr>
              <w:jc w:val="center"/>
              <w:textAlignment w:val="center"/>
              <w:rPr>
                <w:rFonts w:ascii="宋体" w:hAnsi="宋体"/>
                <w:sz w:val="24"/>
                <w:highlight w:val="none"/>
              </w:rPr>
            </w:pPr>
            <w:r>
              <w:rPr>
                <w:rFonts w:hint="eastAsia" w:ascii="宋体" w:hAnsi="宋体"/>
                <w:sz w:val="24"/>
                <w:highlight w:val="none"/>
              </w:rPr>
              <w:t>8</w:t>
            </w:r>
          </w:p>
        </w:tc>
        <w:tc>
          <w:tcPr>
            <w:tcW w:w="1434" w:type="dxa"/>
            <w:tcBorders>
              <w:top w:val="single" w:color="auto" w:sz="4" w:space="0"/>
              <w:left w:val="single" w:color="auto" w:sz="4" w:space="0"/>
              <w:bottom w:val="single" w:color="auto" w:sz="4" w:space="0"/>
              <w:right w:val="single" w:color="auto" w:sz="4" w:space="0"/>
            </w:tcBorders>
            <w:vAlign w:val="center"/>
          </w:tcPr>
          <w:p w14:paraId="667D5C40">
            <w:pPr>
              <w:jc w:val="center"/>
              <w:textAlignment w:val="center"/>
              <w:rPr>
                <w:rFonts w:ascii="宋体" w:hAnsi="宋体"/>
                <w:sz w:val="24"/>
                <w:highlight w:val="none"/>
              </w:rPr>
            </w:pPr>
            <w:r>
              <w:rPr>
                <w:rFonts w:hint="eastAsia" w:ascii="宋体" w:hAnsi="宋体"/>
                <w:sz w:val="24"/>
                <w:highlight w:val="none"/>
              </w:rPr>
              <w:t>比选响应</w:t>
            </w:r>
          </w:p>
          <w:p w14:paraId="1BFD7D17">
            <w:pPr>
              <w:jc w:val="center"/>
              <w:textAlignment w:val="center"/>
              <w:rPr>
                <w:rFonts w:ascii="宋体" w:hAnsi="宋体"/>
                <w:sz w:val="24"/>
                <w:highlight w:val="none"/>
              </w:rPr>
            </w:pPr>
            <w:r>
              <w:rPr>
                <w:rFonts w:hint="eastAsia" w:ascii="宋体" w:hAnsi="宋体"/>
                <w:sz w:val="24"/>
                <w:highlight w:val="none"/>
              </w:rPr>
              <w:t>文件份数</w:t>
            </w:r>
          </w:p>
        </w:tc>
        <w:tc>
          <w:tcPr>
            <w:tcW w:w="6326" w:type="dxa"/>
            <w:tcBorders>
              <w:top w:val="single" w:color="auto" w:sz="4" w:space="0"/>
              <w:left w:val="single" w:color="auto" w:sz="4" w:space="0"/>
              <w:bottom w:val="single" w:color="auto" w:sz="4" w:space="0"/>
              <w:right w:val="single" w:color="auto" w:sz="4" w:space="0"/>
            </w:tcBorders>
            <w:vAlign w:val="center"/>
          </w:tcPr>
          <w:p w14:paraId="029C9DA2">
            <w:pPr>
              <w:jc w:val="left"/>
              <w:textAlignment w:val="center"/>
              <w:rPr>
                <w:rFonts w:ascii="宋体" w:hAnsi="宋体"/>
                <w:sz w:val="24"/>
                <w:highlight w:val="none"/>
              </w:rPr>
            </w:pPr>
            <w:r>
              <w:rPr>
                <w:rFonts w:hint="eastAsia" w:ascii="宋体" w:hAnsi="宋体"/>
                <w:sz w:val="24"/>
                <w:highlight w:val="none"/>
              </w:rPr>
              <w:t>电子响应文件一份（发至联系人邮箱）；</w:t>
            </w:r>
          </w:p>
          <w:p w14:paraId="08968643">
            <w:pPr>
              <w:jc w:val="left"/>
              <w:textAlignment w:val="center"/>
              <w:rPr>
                <w:rFonts w:ascii="宋体" w:hAnsi="宋体"/>
                <w:sz w:val="24"/>
                <w:highlight w:val="none"/>
              </w:rPr>
            </w:pPr>
            <w:r>
              <w:rPr>
                <w:rFonts w:hint="eastAsia" w:ascii="宋体" w:hAnsi="宋体"/>
                <w:sz w:val="24"/>
                <w:highlight w:val="none"/>
              </w:rPr>
              <w:t>纸质响应文件一式四份；</w:t>
            </w:r>
          </w:p>
        </w:tc>
      </w:tr>
      <w:tr w14:paraId="0B73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3EF76A4">
            <w:pPr>
              <w:jc w:val="center"/>
              <w:textAlignment w:val="center"/>
              <w:rPr>
                <w:rFonts w:ascii="宋体" w:hAnsi="宋体"/>
                <w:sz w:val="24"/>
                <w:highlight w:val="none"/>
              </w:rPr>
            </w:pPr>
            <w:r>
              <w:rPr>
                <w:rFonts w:hint="eastAsia" w:ascii="宋体" w:hAnsi="宋体"/>
                <w:sz w:val="24"/>
                <w:highlight w:val="none"/>
              </w:rPr>
              <w:t>9</w:t>
            </w:r>
          </w:p>
        </w:tc>
        <w:tc>
          <w:tcPr>
            <w:tcW w:w="1434" w:type="dxa"/>
            <w:tcBorders>
              <w:top w:val="single" w:color="auto" w:sz="4" w:space="0"/>
              <w:left w:val="single" w:color="auto" w:sz="4" w:space="0"/>
              <w:bottom w:val="single" w:color="auto" w:sz="4" w:space="0"/>
              <w:right w:val="single" w:color="auto" w:sz="4" w:space="0"/>
            </w:tcBorders>
            <w:vAlign w:val="center"/>
          </w:tcPr>
          <w:p w14:paraId="5139855B">
            <w:pPr>
              <w:jc w:val="center"/>
              <w:textAlignment w:val="center"/>
              <w:rPr>
                <w:rFonts w:ascii="宋体" w:hAnsi="宋体"/>
                <w:sz w:val="24"/>
                <w:highlight w:val="none"/>
              </w:rPr>
            </w:pPr>
            <w:r>
              <w:rPr>
                <w:rFonts w:hint="eastAsia" w:ascii="宋体" w:hAnsi="宋体"/>
                <w:sz w:val="24"/>
                <w:highlight w:val="none"/>
              </w:rPr>
              <w:t>比选响应</w:t>
            </w:r>
          </w:p>
          <w:p w14:paraId="27A08635">
            <w:pPr>
              <w:jc w:val="center"/>
              <w:textAlignment w:val="center"/>
              <w:rPr>
                <w:rFonts w:ascii="宋体" w:hAnsi="宋体"/>
                <w:sz w:val="24"/>
                <w:highlight w:val="none"/>
              </w:rPr>
            </w:pPr>
            <w:r>
              <w:rPr>
                <w:rFonts w:hint="eastAsia" w:ascii="宋体" w:hAnsi="宋体"/>
                <w:sz w:val="24"/>
                <w:highlight w:val="none"/>
              </w:rPr>
              <w:t>文件提交地点、截止</w:t>
            </w:r>
          </w:p>
          <w:p w14:paraId="500FDD1B">
            <w:pPr>
              <w:jc w:val="center"/>
              <w:textAlignment w:val="center"/>
              <w:rPr>
                <w:rFonts w:ascii="宋体" w:hAnsi="宋体"/>
                <w:sz w:val="24"/>
                <w:highlight w:val="none"/>
              </w:rPr>
            </w:pPr>
            <w:r>
              <w:rPr>
                <w:rFonts w:hint="eastAsia" w:ascii="宋体" w:hAnsi="宋体"/>
                <w:sz w:val="24"/>
                <w:highlight w:val="none"/>
              </w:rPr>
              <w:t>时间</w:t>
            </w:r>
          </w:p>
        </w:tc>
        <w:tc>
          <w:tcPr>
            <w:tcW w:w="6326" w:type="dxa"/>
            <w:tcBorders>
              <w:top w:val="single" w:color="auto" w:sz="4" w:space="0"/>
              <w:left w:val="single" w:color="auto" w:sz="4" w:space="0"/>
              <w:bottom w:val="single" w:color="auto" w:sz="4" w:space="0"/>
              <w:right w:val="single" w:color="auto" w:sz="4" w:space="0"/>
            </w:tcBorders>
            <w:vAlign w:val="center"/>
          </w:tcPr>
          <w:p w14:paraId="199E1635">
            <w:pPr>
              <w:jc w:val="left"/>
              <w:textAlignment w:val="center"/>
              <w:rPr>
                <w:rFonts w:ascii="宋体" w:hAnsi="宋体" w:cs="宋体"/>
                <w:b/>
                <w:bCs/>
                <w:sz w:val="24"/>
                <w:highlight w:val="none"/>
              </w:rPr>
            </w:pPr>
            <w:r>
              <w:rPr>
                <w:rFonts w:hint="eastAsia" w:ascii="宋体" w:hAnsi="宋体"/>
                <w:sz w:val="24"/>
                <w:highlight w:val="none"/>
              </w:rPr>
              <w:t>响应文件</w:t>
            </w:r>
            <w:r>
              <w:rPr>
                <w:rFonts w:ascii="宋体" w:hAnsi="宋体"/>
                <w:sz w:val="24"/>
                <w:highlight w:val="none"/>
              </w:rPr>
              <w:t>提交</w:t>
            </w:r>
            <w:r>
              <w:rPr>
                <w:rFonts w:hint="eastAsia" w:ascii="宋体" w:hAnsi="宋体"/>
                <w:sz w:val="24"/>
                <w:highlight w:val="none"/>
              </w:rPr>
              <w:t>截止时间：2024年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w:t>
            </w:r>
          </w:p>
          <w:p w14:paraId="7CA23D9E">
            <w:pPr>
              <w:jc w:val="left"/>
              <w:rPr>
                <w:rFonts w:ascii="仿宋_GB2312" w:hAnsi="仿宋_GB2312" w:cs="仿宋_GB2312"/>
                <w:sz w:val="24"/>
                <w:highlight w:val="none"/>
              </w:rPr>
            </w:pPr>
            <w:r>
              <w:rPr>
                <w:rFonts w:hint="eastAsia" w:ascii="宋体" w:hAnsi="宋体"/>
                <w:sz w:val="24"/>
                <w:highlight w:val="none"/>
              </w:rPr>
              <w:t>地点：</w:t>
            </w:r>
            <w:r>
              <w:rPr>
                <w:rFonts w:hint="eastAsia" w:ascii="宋体" w:hAnsi="宋体" w:cs="宋体"/>
                <w:kern w:val="0"/>
                <w:sz w:val="24"/>
                <w:highlight w:val="none"/>
              </w:rPr>
              <w:t>上海市闵行区沪闵路6258号1号楼539室</w:t>
            </w:r>
          </w:p>
        </w:tc>
      </w:tr>
      <w:tr w14:paraId="493E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5CFEA59">
            <w:pPr>
              <w:jc w:val="center"/>
              <w:textAlignment w:val="center"/>
              <w:rPr>
                <w:rFonts w:ascii="宋体" w:hAnsi="宋体"/>
                <w:sz w:val="24"/>
                <w:highlight w:val="none"/>
              </w:rPr>
            </w:pPr>
            <w:r>
              <w:rPr>
                <w:rFonts w:hint="eastAsia" w:ascii="宋体" w:hAnsi="宋体"/>
                <w:sz w:val="24"/>
                <w:highlight w:val="none"/>
              </w:rPr>
              <w:t>10</w:t>
            </w:r>
          </w:p>
        </w:tc>
        <w:tc>
          <w:tcPr>
            <w:tcW w:w="1434" w:type="dxa"/>
            <w:tcBorders>
              <w:top w:val="single" w:color="auto" w:sz="4" w:space="0"/>
              <w:left w:val="single" w:color="auto" w:sz="4" w:space="0"/>
              <w:bottom w:val="single" w:color="auto" w:sz="4" w:space="0"/>
              <w:right w:val="single" w:color="auto" w:sz="4" w:space="0"/>
            </w:tcBorders>
            <w:vAlign w:val="center"/>
          </w:tcPr>
          <w:p w14:paraId="50529FC5">
            <w:pPr>
              <w:jc w:val="center"/>
              <w:textAlignment w:val="center"/>
              <w:rPr>
                <w:rFonts w:ascii="宋体" w:hAnsi="宋体"/>
                <w:sz w:val="24"/>
                <w:highlight w:val="none"/>
              </w:rPr>
            </w:pPr>
            <w:r>
              <w:rPr>
                <w:rFonts w:hint="eastAsia" w:ascii="宋体" w:hAnsi="宋体"/>
                <w:sz w:val="24"/>
                <w:highlight w:val="none"/>
              </w:rPr>
              <w:t>比选时间、地点</w:t>
            </w:r>
          </w:p>
        </w:tc>
        <w:tc>
          <w:tcPr>
            <w:tcW w:w="6326" w:type="dxa"/>
            <w:tcBorders>
              <w:top w:val="single" w:color="auto" w:sz="4" w:space="0"/>
              <w:left w:val="single" w:color="auto" w:sz="4" w:space="0"/>
              <w:bottom w:val="single" w:color="auto" w:sz="4" w:space="0"/>
              <w:right w:val="single" w:color="auto" w:sz="4" w:space="0"/>
            </w:tcBorders>
            <w:vAlign w:val="center"/>
          </w:tcPr>
          <w:p w14:paraId="38334037">
            <w:pPr>
              <w:jc w:val="left"/>
              <w:textAlignment w:val="center"/>
              <w:rPr>
                <w:rFonts w:hint="eastAsia" w:ascii="宋体" w:hAnsi="宋体" w:eastAsia="宋体" w:cs="宋体"/>
                <w:sz w:val="24"/>
                <w:highlight w:val="none"/>
                <w:lang w:eastAsia="zh-CN"/>
              </w:rPr>
            </w:pPr>
            <w:r>
              <w:rPr>
                <w:rFonts w:hint="eastAsia" w:ascii="宋体" w:hAnsi="宋体"/>
                <w:sz w:val="24"/>
                <w:highlight w:val="none"/>
              </w:rPr>
              <w:t>比选</w:t>
            </w:r>
            <w:r>
              <w:rPr>
                <w:rFonts w:hint="eastAsia" w:ascii="宋体" w:hAnsi="宋体" w:cs="宋体"/>
                <w:sz w:val="24"/>
                <w:highlight w:val="none"/>
              </w:rPr>
              <w:t>时间：</w:t>
            </w:r>
            <w:r>
              <w:rPr>
                <w:rFonts w:hint="eastAsia" w:ascii="宋体" w:hAnsi="宋体"/>
                <w:sz w:val="24"/>
                <w:highlight w:val="none"/>
              </w:rPr>
              <w:t>2024年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27</w:t>
            </w:r>
            <w:r>
              <w:rPr>
                <w:rFonts w:hint="eastAsia" w:ascii="宋体" w:hAnsi="宋体"/>
                <w:sz w:val="24"/>
                <w:highlight w:val="none"/>
              </w:rPr>
              <w:t>日</w:t>
            </w:r>
            <w:r>
              <w:rPr>
                <w:rFonts w:hint="eastAsia" w:ascii="宋体" w:hAnsi="宋体" w:cs="宋体"/>
                <w:sz w:val="24"/>
                <w:highlight w:val="none"/>
                <w:lang w:eastAsia="zh-CN"/>
              </w:rPr>
              <w:t>（暂定）</w:t>
            </w:r>
          </w:p>
          <w:p w14:paraId="7C0D9AA7">
            <w:pPr>
              <w:jc w:val="left"/>
              <w:rPr>
                <w:rFonts w:ascii="仿宋_GB2312" w:hAnsi="仿宋_GB2312" w:cs="仿宋_GB2312"/>
                <w:sz w:val="24"/>
                <w:highlight w:val="none"/>
              </w:rPr>
            </w:pPr>
            <w:r>
              <w:rPr>
                <w:rFonts w:hint="eastAsia" w:ascii="宋体" w:hAnsi="宋体"/>
                <w:sz w:val="24"/>
                <w:highlight w:val="none"/>
              </w:rPr>
              <w:t>比选</w:t>
            </w:r>
            <w:r>
              <w:rPr>
                <w:rFonts w:hint="eastAsia" w:ascii="宋体" w:hAnsi="宋体" w:cs="宋体"/>
                <w:sz w:val="24"/>
                <w:highlight w:val="none"/>
              </w:rPr>
              <w:t>地点：</w:t>
            </w:r>
            <w:r>
              <w:rPr>
                <w:rFonts w:hint="eastAsia" w:ascii="宋体" w:hAnsi="宋体" w:cs="宋体"/>
                <w:kern w:val="0"/>
                <w:sz w:val="24"/>
                <w:highlight w:val="none"/>
              </w:rPr>
              <w:t>上海市闵行区沪闵路6258号1号楼</w:t>
            </w:r>
            <w:r>
              <w:rPr>
                <w:rFonts w:ascii="宋体" w:hAnsi="宋体" w:cs="宋体"/>
                <w:kern w:val="0"/>
                <w:sz w:val="24"/>
                <w:highlight w:val="none"/>
              </w:rPr>
              <w:t>117</w:t>
            </w:r>
            <w:r>
              <w:rPr>
                <w:rFonts w:hint="eastAsia" w:ascii="宋体" w:hAnsi="宋体" w:cs="宋体"/>
                <w:kern w:val="0"/>
                <w:sz w:val="24"/>
                <w:highlight w:val="none"/>
              </w:rPr>
              <w:t>会议室</w:t>
            </w:r>
          </w:p>
        </w:tc>
      </w:tr>
      <w:tr w14:paraId="3653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D44BEB7">
            <w:pPr>
              <w:jc w:val="center"/>
              <w:textAlignment w:val="center"/>
              <w:rPr>
                <w:rFonts w:ascii="宋体" w:hAnsi="宋体"/>
                <w:sz w:val="24"/>
                <w:highlight w:val="none"/>
              </w:rPr>
            </w:pPr>
            <w:r>
              <w:rPr>
                <w:rFonts w:hint="eastAsia" w:ascii="宋体" w:hAnsi="宋体"/>
                <w:sz w:val="24"/>
                <w:highlight w:val="none"/>
              </w:rPr>
              <w:t>11</w:t>
            </w:r>
          </w:p>
        </w:tc>
        <w:tc>
          <w:tcPr>
            <w:tcW w:w="1434" w:type="dxa"/>
            <w:tcBorders>
              <w:top w:val="single" w:color="auto" w:sz="4" w:space="0"/>
              <w:left w:val="single" w:color="auto" w:sz="4" w:space="0"/>
              <w:bottom w:val="single" w:color="auto" w:sz="4" w:space="0"/>
              <w:right w:val="single" w:color="auto" w:sz="4" w:space="0"/>
            </w:tcBorders>
            <w:vAlign w:val="center"/>
          </w:tcPr>
          <w:p w14:paraId="0879F5B2">
            <w:pPr>
              <w:jc w:val="center"/>
              <w:textAlignment w:val="center"/>
              <w:rPr>
                <w:rFonts w:ascii="宋体" w:hAnsi="宋体"/>
                <w:sz w:val="24"/>
                <w:highlight w:val="none"/>
              </w:rPr>
            </w:pPr>
            <w:r>
              <w:rPr>
                <w:rFonts w:hint="eastAsia" w:ascii="宋体" w:hAnsi="宋体"/>
                <w:sz w:val="24"/>
                <w:highlight w:val="none"/>
              </w:rPr>
              <w:t>第三方机构比选时需携带材料</w:t>
            </w:r>
          </w:p>
        </w:tc>
        <w:tc>
          <w:tcPr>
            <w:tcW w:w="6326" w:type="dxa"/>
            <w:tcBorders>
              <w:top w:val="single" w:color="auto" w:sz="4" w:space="0"/>
              <w:left w:val="single" w:color="auto" w:sz="4" w:space="0"/>
              <w:bottom w:val="single" w:color="auto" w:sz="4" w:space="0"/>
              <w:right w:val="single" w:color="auto" w:sz="4" w:space="0"/>
            </w:tcBorders>
            <w:vAlign w:val="center"/>
          </w:tcPr>
          <w:p w14:paraId="1F8F0CBF">
            <w:pPr>
              <w:jc w:val="left"/>
              <w:textAlignment w:val="center"/>
              <w:rPr>
                <w:rFonts w:ascii="宋体" w:hAnsi="宋体"/>
                <w:sz w:val="24"/>
                <w:highlight w:val="none"/>
              </w:rPr>
            </w:pPr>
            <w:r>
              <w:rPr>
                <w:rFonts w:hint="eastAsia" w:ascii="宋体" w:hAnsi="宋体" w:cs="宋体"/>
                <w:kern w:val="0"/>
                <w:sz w:val="24"/>
                <w:highlight w:val="none"/>
              </w:rPr>
              <w:t>1、可以无线上网的笔记本电脑、</w:t>
            </w:r>
            <w:r>
              <w:rPr>
                <w:rFonts w:hint="eastAsia" w:ascii="宋体" w:hAnsi="宋体"/>
                <w:sz w:val="24"/>
                <w:highlight w:val="none"/>
              </w:rPr>
              <w:t>参选所需PPT。</w:t>
            </w:r>
          </w:p>
          <w:p w14:paraId="546B315D">
            <w:pPr>
              <w:jc w:val="left"/>
              <w:textAlignment w:val="center"/>
              <w:rPr>
                <w:rFonts w:ascii="宋体" w:hAnsi="宋体" w:cs="宋体"/>
                <w:kern w:val="0"/>
                <w:sz w:val="24"/>
                <w:highlight w:val="none"/>
              </w:rPr>
            </w:pPr>
            <w:r>
              <w:rPr>
                <w:rFonts w:hint="eastAsia" w:ascii="宋体" w:hAnsi="宋体"/>
                <w:sz w:val="24"/>
                <w:highlight w:val="none"/>
              </w:rPr>
              <w:t>2、纸质响应文件一式</w:t>
            </w:r>
            <w:r>
              <w:rPr>
                <w:rFonts w:hint="eastAsia" w:ascii="宋体" w:hAnsi="宋体"/>
                <w:sz w:val="24"/>
                <w:highlight w:val="none"/>
                <w:lang w:eastAsia="zh-CN"/>
              </w:rPr>
              <w:t>三</w:t>
            </w:r>
            <w:r>
              <w:rPr>
                <w:rFonts w:hint="eastAsia" w:ascii="宋体" w:hAnsi="宋体"/>
                <w:sz w:val="24"/>
                <w:highlight w:val="none"/>
              </w:rPr>
              <w:t>份并密封。</w:t>
            </w:r>
          </w:p>
          <w:p w14:paraId="4F46E06E">
            <w:pPr>
              <w:jc w:val="left"/>
              <w:textAlignment w:val="center"/>
              <w:rPr>
                <w:rFonts w:ascii="宋体" w:hAnsi="宋体"/>
                <w:color w:val="FF00FF"/>
                <w:sz w:val="24"/>
                <w:highlight w:val="none"/>
              </w:rPr>
            </w:pPr>
            <w:r>
              <w:rPr>
                <w:rFonts w:hint="eastAsia" w:ascii="宋体" w:hAnsi="宋体" w:cs="宋体"/>
                <w:kern w:val="0"/>
                <w:sz w:val="24"/>
                <w:highlight w:val="none"/>
              </w:rPr>
              <w:t>3、法定代表人证明、法定代表人授权书</w:t>
            </w:r>
            <w:r>
              <w:rPr>
                <w:rFonts w:hint="eastAsia" w:ascii="Arial" w:hAnsi="Arial" w:cs="Arial"/>
                <w:kern w:val="0"/>
                <w:sz w:val="24"/>
                <w:highlight w:val="none"/>
              </w:rPr>
              <w:t>以及相应身份证明文件原件</w:t>
            </w:r>
            <w:r>
              <w:rPr>
                <w:rFonts w:hint="eastAsia" w:ascii="宋体" w:hAnsi="宋体" w:cs="宋体"/>
                <w:kern w:val="0"/>
                <w:sz w:val="24"/>
                <w:highlight w:val="none"/>
              </w:rPr>
              <w:t>。</w:t>
            </w:r>
          </w:p>
        </w:tc>
      </w:tr>
      <w:tr w14:paraId="16F9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643FADF">
            <w:pPr>
              <w:jc w:val="center"/>
              <w:textAlignment w:val="center"/>
              <w:rPr>
                <w:rFonts w:ascii="宋体" w:hAnsi="宋体"/>
                <w:sz w:val="24"/>
                <w:highlight w:val="none"/>
              </w:rPr>
            </w:pPr>
            <w:r>
              <w:rPr>
                <w:rFonts w:hint="eastAsia" w:ascii="宋体" w:hAnsi="宋体"/>
                <w:sz w:val="24"/>
                <w:highlight w:val="none"/>
              </w:rPr>
              <w:t>12</w:t>
            </w:r>
          </w:p>
        </w:tc>
        <w:tc>
          <w:tcPr>
            <w:tcW w:w="1434" w:type="dxa"/>
            <w:tcBorders>
              <w:top w:val="single" w:color="auto" w:sz="4" w:space="0"/>
              <w:left w:val="single" w:color="auto" w:sz="4" w:space="0"/>
              <w:bottom w:val="single" w:color="auto" w:sz="4" w:space="0"/>
              <w:right w:val="single" w:color="auto" w:sz="4" w:space="0"/>
            </w:tcBorders>
            <w:vAlign w:val="center"/>
          </w:tcPr>
          <w:p w14:paraId="0296BF32">
            <w:pPr>
              <w:jc w:val="center"/>
              <w:textAlignment w:val="center"/>
              <w:rPr>
                <w:rFonts w:ascii="宋体" w:hAnsi="宋体"/>
                <w:sz w:val="24"/>
                <w:highlight w:val="none"/>
              </w:rPr>
            </w:pPr>
            <w:r>
              <w:rPr>
                <w:rFonts w:hint="eastAsia" w:ascii="宋体" w:hAnsi="宋体"/>
                <w:sz w:val="24"/>
                <w:highlight w:val="none"/>
              </w:rPr>
              <w:t>评审办法</w:t>
            </w:r>
          </w:p>
        </w:tc>
        <w:tc>
          <w:tcPr>
            <w:tcW w:w="6326" w:type="dxa"/>
            <w:tcBorders>
              <w:top w:val="single" w:color="auto" w:sz="4" w:space="0"/>
              <w:left w:val="single" w:color="auto" w:sz="4" w:space="0"/>
              <w:bottom w:val="single" w:color="auto" w:sz="4" w:space="0"/>
              <w:right w:val="single" w:color="auto" w:sz="4" w:space="0"/>
            </w:tcBorders>
            <w:vAlign w:val="center"/>
          </w:tcPr>
          <w:p w14:paraId="4D77F795">
            <w:pPr>
              <w:jc w:val="center"/>
              <w:textAlignment w:val="center"/>
              <w:rPr>
                <w:rFonts w:ascii="宋体" w:hAnsi="宋体"/>
                <w:sz w:val="24"/>
                <w:highlight w:val="none"/>
              </w:rPr>
            </w:pPr>
            <w:r>
              <w:rPr>
                <w:rFonts w:hint="eastAsia" w:ascii="宋体" w:hAnsi="宋体" w:cs="宋体"/>
                <w:sz w:val="24"/>
                <w:highlight w:val="none"/>
              </w:rPr>
              <w:t>采用综合评分法</w:t>
            </w:r>
          </w:p>
        </w:tc>
      </w:tr>
    </w:tbl>
    <w:p w14:paraId="715031FD">
      <w:pPr>
        <w:spacing w:line="480" w:lineRule="exact"/>
        <w:ind w:firstLine="600" w:firstLineChars="200"/>
        <w:textAlignment w:val="center"/>
        <w:outlineLvl w:val="1"/>
        <w:rPr>
          <w:rFonts w:ascii="黑体" w:hAnsi="黑体" w:eastAsia="黑体"/>
          <w:sz w:val="30"/>
          <w:szCs w:val="30"/>
          <w:highlight w:val="none"/>
        </w:rPr>
      </w:pPr>
    </w:p>
    <w:p w14:paraId="58A4CD96">
      <w:pPr>
        <w:adjustRightInd w:val="0"/>
        <w:snapToGrid w:val="0"/>
        <w:spacing w:line="360" w:lineRule="auto"/>
        <w:ind w:firstLine="600" w:firstLineChars="200"/>
        <w:textAlignment w:val="center"/>
        <w:outlineLvl w:val="1"/>
        <w:rPr>
          <w:rFonts w:ascii="黑体" w:hAnsi="黑体" w:eastAsia="黑体"/>
          <w:sz w:val="30"/>
          <w:szCs w:val="30"/>
          <w:highlight w:val="none"/>
        </w:rPr>
      </w:pPr>
    </w:p>
    <w:p w14:paraId="69F0400B">
      <w:pPr>
        <w:adjustRightInd w:val="0"/>
        <w:snapToGrid w:val="0"/>
        <w:spacing w:line="360" w:lineRule="auto"/>
        <w:ind w:firstLine="600" w:firstLineChars="200"/>
        <w:textAlignment w:val="center"/>
        <w:outlineLvl w:val="1"/>
        <w:rPr>
          <w:rFonts w:ascii="黑体" w:hAnsi="黑体" w:eastAsia="黑体"/>
          <w:sz w:val="30"/>
          <w:szCs w:val="30"/>
          <w:highlight w:val="none"/>
        </w:rPr>
      </w:pPr>
      <w:r>
        <w:rPr>
          <w:rFonts w:ascii="黑体" w:hAnsi="黑体" w:eastAsia="黑体"/>
          <w:sz w:val="30"/>
          <w:szCs w:val="30"/>
          <w:highlight w:val="none"/>
        </w:rPr>
        <w:t>一、项目概况</w:t>
      </w:r>
    </w:p>
    <w:p w14:paraId="1EAAC197">
      <w:pPr>
        <w:adjustRightInd w:val="0"/>
        <w:snapToGrid w:val="0"/>
        <w:spacing w:line="360" w:lineRule="auto"/>
        <w:ind w:firstLine="600" w:firstLineChars="200"/>
        <w:textAlignment w:val="center"/>
        <w:outlineLvl w:val="2"/>
        <w:rPr>
          <w:rFonts w:hint="eastAsia" w:ascii="仿宋_GB2312" w:eastAsia="仿宋_GB2312"/>
          <w:sz w:val="30"/>
          <w:szCs w:val="30"/>
          <w:highlight w:val="none"/>
          <w:lang w:eastAsia="zh-CN"/>
        </w:rPr>
      </w:pPr>
      <w:r>
        <w:rPr>
          <w:rFonts w:hint="eastAsia" w:ascii="仿宋_GB2312" w:eastAsia="仿宋_GB2312"/>
          <w:sz w:val="30"/>
          <w:szCs w:val="30"/>
          <w:highlight w:val="none"/>
        </w:rPr>
        <w:t>1、项目名称：</w:t>
      </w:r>
      <w:r>
        <w:rPr>
          <w:rFonts w:hint="eastAsia" w:ascii="仿宋_GB2312" w:eastAsia="仿宋_GB2312"/>
          <w:sz w:val="30"/>
          <w:szCs w:val="30"/>
          <w:highlight w:val="none"/>
          <w:lang w:val="en-US" w:eastAsia="zh-CN"/>
        </w:rPr>
        <w:t>2025年</w:t>
      </w:r>
      <w:r>
        <w:rPr>
          <w:rFonts w:hint="eastAsia" w:ascii="仿宋_GB2312" w:hAnsi="仿宋_GB2312" w:eastAsia="仿宋_GB2312" w:cs="仿宋_GB2312"/>
          <w:sz w:val="30"/>
          <w:szCs w:val="30"/>
          <w:highlight w:val="none"/>
          <w:lang w:eastAsia="zh-CN"/>
        </w:rPr>
        <w:t>上海市服务业发展引导资金闵行区项目管理</w:t>
      </w:r>
    </w:p>
    <w:p w14:paraId="33B5C2CC">
      <w:pPr>
        <w:adjustRightInd w:val="0"/>
        <w:snapToGrid w:val="0"/>
        <w:spacing w:line="360" w:lineRule="auto"/>
        <w:ind w:firstLine="600" w:firstLineChars="200"/>
        <w:textAlignment w:val="center"/>
        <w:rPr>
          <w:rFonts w:hint="eastAsia" w:ascii="仿宋_GB2312" w:eastAsia="仿宋_GB2312"/>
          <w:sz w:val="30"/>
          <w:szCs w:val="30"/>
          <w:highlight w:val="none"/>
          <w:lang w:val="en-US" w:eastAsia="zh-CN"/>
        </w:rPr>
      </w:pPr>
      <w:r>
        <w:rPr>
          <w:rFonts w:hint="eastAsia" w:ascii="仿宋_GB2312" w:eastAsia="仿宋_GB2312"/>
          <w:sz w:val="30"/>
          <w:szCs w:val="30"/>
          <w:highlight w:val="none"/>
        </w:rPr>
        <w:t>2、服务期限：</w:t>
      </w:r>
      <w:r>
        <w:rPr>
          <w:rFonts w:hint="eastAsia" w:ascii="仿宋_GB2312" w:eastAsia="仿宋_GB2312"/>
          <w:sz w:val="30"/>
          <w:szCs w:val="30"/>
          <w:highlight w:val="none"/>
          <w:lang w:val="en-US" w:eastAsia="zh-CN"/>
        </w:rPr>
        <w:t>1年</w:t>
      </w:r>
    </w:p>
    <w:p w14:paraId="71D0BE1F">
      <w:pPr>
        <w:adjustRightInd w:val="0"/>
        <w:snapToGrid w:val="0"/>
        <w:spacing w:line="360" w:lineRule="auto"/>
        <w:ind w:firstLine="600" w:firstLineChars="200"/>
        <w:textAlignment w:val="center"/>
        <w:rPr>
          <w:rFonts w:hint="eastAsia" w:ascii="仿宋_GB2312" w:eastAsia="仿宋_GB2312"/>
          <w:sz w:val="30"/>
          <w:szCs w:val="30"/>
          <w:highlight w:val="none"/>
        </w:rPr>
      </w:pPr>
      <w:r>
        <w:rPr>
          <w:rFonts w:hint="eastAsia" w:ascii="仿宋_GB2312" w:eastAsia="仿宋_GB2312"/>
          <w:sz w:val="30"/>
          <w:szCs w:val="30"/>
          <w:highlight w:val="none"/>
          <w:lang w:val="en-US" w:eastAsia="zh-CN"/>
        </w:rPr>
        <w:t>3</w:t>
      </w:r>
      <w:r>
        <w:rPr>
          <w:rFonts w:hint="eastAsia" w:ascii="仿宋_GB2312" w:eastAsia="仿宋_GB2312"/>
          <w:sz w:val="30"/>
          <w:szCs w:val="30"/>
          <w:highlight w:val="none"/>
        </w:rPr>
        <w:t>、服务内容：</w:t>
      </w:r>
      <w:r>
        <w:rPr>
          <w:rFonts w:hint="eastAsia" w:ascii="仿宋_GB2312" w:eastAsia="仿宋_GB2312"/>
          <w:sz w:val="30"/>
          <w:szCs w:val="30"/>
          <w:highlight w:val="none"/>
          <w:lang w:eastAsia="zh-CN"/>
        </w:rPr>
        <w:t>第三方管理机构</w:t>
      </w:r>
      <w:r>
        <w:rPr>
          <w:rFonts w:hint="eastAsia" w:ascii="仿宋_GB2312" w:eastAsia="仿宋_GB2312"/>
          <w:sz w:val="30"/>
          <w:szCs w:val="30"/>
          <w:highlight w:val="none"/>
        </w:rPr>
        <w:t>按照</w:t>
      </w:r>
      <w:r>
        <w:rPr>
          <w:rFonts w:hint="eastAsia" w:ascii="仿宋_GB2312" w:eastAsia="仿宋_GB2312"/>
          <w:sz w:val="30"/>
          <w:szCs w:val="30"/>
          <w:highlight w:val="none"/>
          <w:lang w:eastAsia="zh-CN"/>
        </w:rPr>
        <w:t>《闵行区服务业发展引导资金第三方管理机构服务费用操作细则》及《关于委托第三方管理机构、第三方审计机构分别开展闵行区服务业发展引导资金项目专家评审及监管验收、项目审计等工作的标准和流程》，做好</w:t>
      </w:r>
      <w:r>
        <w:rPr>
          <w:rFonts w:hint="eastAsia" w:ascii="仿宋_GB2312" w:eastAsia="仿宋_GB2312"/>
          <w:sz w:val="30"/>
          <w:szCs w:val="30"/>
          <w:highlight w:val="none"/>
          <w:lang w:val="en-US" w:eastAsia="zh-CN"/>
        </w:rPr>
        <w:t>2025</w:t>
      </w:r>
      <w:r>
        <w:rPr>
          <w:rFonts w:hint="eastAsia" w:ascii="仿宋_GB2312" w:eastAsia="仿宋_GB2312"/>
          <w:sz w:val="30"/>
          <w:szCs w:val="30"/>
          <w:highlight w:val="none"/>
        </w:rPr>
        <w:t>年</w:t>
      </w:r>
      <w:r>
        <w:rPr>
          <w:rFonts w:hint="eastAsia" w:ascii="仿宋_GB2312" w:eastAsia="仿宋_GB2312"/>
          <w:sz w:val="30"/>
          <w:szCs w:val="30"/>
          <w:highlight w:val="none"/>
          <w:lang w:eastAsia="zh-CN"/>
        </w:rPr>
        <w:t>两批次上海市服务业发展引导资金闵行区项目申报资料初审和区级专家评审，负责在执行项目日常监管以及项目验收</w:t>
      </w:r>
      <w:r>
        <w:rPr>
          <w:rFonts w:hint="eastAsia" w:ascii="仿宋_GB2312" w:eastAsia="仿宋_GB2312"/>
          <w:sz w:val="30"/>
          <w:szCs w:val="30"/>
          <w:highlight w:val="none"/>
        </w:rPr>
        <w:t>。</w:t>
      </w:r>
    </w:p>
    <w:p w14:paraId="2E2C0879">
      <w:pPr>
        <w:adjustRightInd w:val="0"/>
        <w:snapToGrid w:val="0"/>
        <w:spacing w:line="360" w:lineRule="auto"/>
        <w:ind w:firstLine="600" w:firstLineChars="200"/>
        <w:textAlignment w:val="center"/>
        <w:outlineLvl w:val="1"/>
        <w:rPr>
          <w:rFonts w:ascii="黑体" w:hAnsi="黑体" w:eastAsia="黑体"/>
          <w:sz w:val="30"/>
          <w:szCs w:val="30"/>
          <w:highlight w:val="none"/>
        </w:rPr>
      </w:pPr>
      <w:r>
        <w:rPr>
          <w:rFonts w:ascii="黑体" w:hAnsi="黑体" w:eastAsia="黑体"/>
          <w:sz w:val="30"/>
          <w:szCs w:val="30"/>
          <w:highlight w:val="none"/>
        </w:rPr>
        <w:t>二、项目内容</w:t>
      </w:r>
    </w:p>
    <w:p w14:paraId="439776A2">
      <w:pPr>
        <w:adjustRightInd w:val="0"/>
        <w:snapToGrid w:val="0"/>
        <w:spacing w:line="360" w:lineRule="auto"/>
        <w:ind w:firstLine="600" w:firstLineChars="200"/>
        <w:textAlignment w:val="center"/>
        <w:outlineLvl w:val="2"/>
        <w:rPr>
          <w:rFonts w:ascii="楷体" w:hAnsi="楷体" w:eastAsia="楷体"/>
          <w:sz w:val="30"/>
          <w:szCs w:val="30"/>
          <w:highlight w:val="none"/>
        </w:rPr>
      </w:pPr>
      <w:r>
        <w:rPr>
          <w:rFonts w:ascii="楷体" w:hAnsi="楷体" w:eastAsia="楷体"/>
          <w:sz w:val="30"/>
          <w:szCs w:val="30"/>
          <w:highlight w:val="none"/>
        </w:rPr>
        <w:t>1、指导思想</w:t>
      </w:r>
    </w:p>
    <w:p w14:paraId="36D1AB6C">
      <w:pPr>
        <w:adjustRightInd w:val="0"/>
        <w:snapToGrid w:val="0"/>
        <w:spacing w:line="360" w:lineRule="auto"/>
        <w:ind w:firstLine="600" w:firstLineChars="200"/>
        <w:textAlignment w:val="center"/>
        <w:rPr>
          <w:rFonts w:hint="eastAsia" w:ascii="仿宋_GB2312" w:eastAsia="仿宋_GB2312"/>
          <w:sz w:val="30"/>
          <w:szCs w:val="30"/>
          <w:highlight w:val="none"/>
        </w:rPr>
      </w:pPr>
      <w:r>
        <w:rPr>
          <w:rFonts w:hint="eastAsia" w:ascii="仿宋_GB2312" w:eastAsia="仿宋_GB2312"/>
          <w:sz w:val="30"/>
          <w:szCs w:val="30"/>
          <w:highlight w:val="none"/>
        </w:rPr>
        <w:t>根据《上海市服务业发展引导资金使用和管理办法》《闵行区服务业发展引导资金使用和管理实施细则》等有关规定，为充分发挥上海市服务业发展引导资金对闵行区经济和社会发展的引导带动作用，进一步规范市引导资金及闵行区配套资金的使用和管理，</w:t>
      </w:r>
      <w:r>
        <w:rPr>
          <w:rFonts w:hint="eastAsia" w:ascii="仿宋_GB2312" w:eastAsia="仿宋_GB2312"/>
          <w:sz w:val="30"/>
          <w:szCs w:val="30"/>
          <w:highlight w:val="none"/>
          <w:lang w:eastAsia="zh-CN"/>
        </w:rPr>
        <w:t>开展此项工作。</w:t>
      </w:r>
    </w:p>
    <w:p w14:paraId="6E39002E">
      <w:pPr>
        <w:adjustRightInd w:val="0"/>
        <w:snapToGrid w:val="0"/>
        <w:spacing w:line="360" w:lineRule="auto"/>
        <w:ind w:firstLine="600" w:firstLineChars="200"/>
        <w:textAlignment w:val="center"/>
        <w:outlineLvl w:val="2"/>
        <w:rPr>
          <w:rFonts w:ascii="楷体" w:hAnsi="楷体" w:eastAsia="楷体"/>
          <w:sz w:val="30"/>
          <w:szCs w:val="30"/>
          <w:highlight w:val="none"/>
        </w:rPr>
      </w:pPr>
      <w:r>
        <w:rPr>
          <w:rFonts w:hint="eastAsia" w:ascii="楷体" w:hAnsi="楷体" w:eastAsia="楷体"/>
          <w:sz w:val="30"/>
          <w:szCs w:val="30"/>
          <w:highlight w:val="none"/>
        </w:rPr>
        <w:t>2</w:t>
      </w:r>
      <w:r>
        <w:rPr>
          <w:rFonts w:ascii="楷体" w:hAnsi="楷体" w:eastAsia="楷体"/>
          <w:sz w:val="30"/>
          <w:szCs w:val="30"/>
          <w:highlight w:val="none"/>
        </w:rPr>
        <w:t>、工作内容</w:t>
      </w:r>
    </w:p>
    <w:p w14:paraId="70744DAF">
      <w:pPr>
        <w:adjustRightInd w:val="0"/>
        <w:snapToGrid w:val="0"/>
        <w:spacing w:line="360" w:lineRule="auto"/>
        <w:ind w:firstLine="600" w:firstLineChars="200"/>
        <w:textAlignment w:val="center"/>
        <w:outlineLvl w:val="1"/>
        <w:rPr>
          <w:rFonts w:ascii="仿宋_GB2312" w:eastAsia="仿宋_GB2312"/>
          <w:sz w:val="30"/>
          <w:szCs w:val="30"/>
          <w:highlight w:val="none"/>
        </w:rPr>
      </w:pPr>
      <w:r>
        <w:rPr>
          <w:rFonts w:hint="eastAsia" w:ascii="仿宋_GB2312" w:eastAsia="仿宋_GB2312"/>
          <w:sz w:val="30"/>
          <w:szCs w:val="30"/>
          <w:highlight w:val="none"/>
        </w:rPr>
        <w:t>按照《闵行区服务业发展引导资金第三方管理机构服务费用操作细则》以及服务合同约定，做好</w:t>
      </w:r>
      <w:r>
        <w:rPr>
          <w:rFonts w:hint="eastAsia" w:ascii="仿宋_GB2312" w:eastAsia="仿宋_GB2312"/>
          <w:sz w:val="30"/>
          <w:szCs w:val="30"/>
          <w:highlight w:val="none"/>
          <w:lang w:val="en-US" w:eastAsia="zh-CN"/>
        </w:rPr>
        <w:t>2025</w:t>
      </w:r>
      <w:r>
        <w:rPr>
          <w:rFonts w:hint="eastAsia" w:ascii="仿宋_GB2312" w:eastAsia="仿宋_GB2312"/>
          <w:sz w:val="30"/>
          <w:szCs w:val="30"/>
          <w:highlight w:val="none"/>
        </w:rPr>
        <w:t>年两批次上海市服务业发展引导资金闵行区项目申报资料初审和区级专家评审，负责在执行项目日常监管以及项目验收。</w:t>
      </w:r>
    </w:p>
    <w:p w14:paraId="5B2D48E8">
      <w:pPr>
        <w:adjustRightInd w:val="0"/>
        <w:snapToGrid w:val="0"/>
        <w:spacing w:line="360" w:lineRule="auto"/>
        <w:ind w:firstLine="600" w:firstLineChars="200"/>
        <w:textAlignment w:val="center"/>
        <w:outlineLvl w:val="1"/>
        <w:rPr>
          <w:rFonts w:ascii="黑体" w:hAnsi="黑体" w:eastAsia="黑体"/>
          <w:sz w:val="30"/>
          <w:szCs w:val="30"/>
          <w:highlight w:val="none"/>
        </w:rPr>
      </w:pPr>
      <w:r>
        <w:rPr>
          <w:rFonts w:hint="eastAsia" w:ascii="黑体" w:hAnsi="黑体" w:eastAsia="黑体"/>
          <w:sz w:val="30"/>
          <w:szCs w:val="30"/>
          <w:highlight w:val="none"/>
        </w:rPr>
        <w:t>三、人员要求</w:t>
      </w:r>
    </w:p>
    <w:p w14:paraId="66D40F07">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项目</w:t>
      </w:r>
      <w:r>
        <w:rPr>
          <w:rFonts w:ascii="仿宋_GB2312" w:eastAsia="仿宋_GB2312"/>
          <w:sz w:val="30"/>
          <w:szCs w:val="30"/>
          <w:highlight w:val="none"/>
        </w:rPr>
        <w:t>负责人须具备高级专业技术职称，从事</w:t>
      </w:r>
      <w:r>
        <w:rPr>
          <w:rFonts w:hint="eastAsia" w:ascii="仿宋_GB2312" w:hAnsi="仿宋_GB2312" w:eastAsia="仿宋_GB2312" w:cs="仿宋_GB2312"/>
          <w:sz w:val="30"/>
          <w:szCs w:val="30"/>
          <w:highlight w:val="none"/>
        </w:rPr>
        <w:t>上海市服务业发展引导资金</w:t>
      </w:r>
      <w:r>
        <w:rPr>
          <w:rFonts w:hint="eastAsia" w:ascii="仿宋_GB2312" w:hAnsi="仿宋_GB2312" w:eastAsia="仿宋_GB2312" w:cs="仿宋_GB2312"/>
          <w:sz w:val="30"/>
          <w:szCs w:val="30"/>
          <w:highlight w:val="none"/>
          <w:lang w:eastAsia="zh-CN"/>
        </w:rPr>
        <w:t>项目管理</w:t>
      </w:r>
      <w:r>
        <w:rPr>
          <w:rFonts w:ascii="仿宋_GB2312" w:eastAsia="仿宋_GB2312"/>
          <w:sz w:val="30"/>
          <w:szCs w:val="30"/>
          <w:highlight w:val="none"/>
        </w:rPr>
        <w:t>相关业务不少于</w:t>
      </w:r>
      <w:r>
        <w:rPr>
          <w:rFonts w:hint="eastAsia" w:ascii="仿宋_GB2312" w:eastAsia="仿宋_GB2312"/>
          <w:sz w:val="30"/>
          <w:szCs w:val="30"/>
          <w:highlight w:val="none"/>
        </w:rPr>
        <w:t>4</w:t>
      </w:r>
      <w:r>
        <w:rPr>
          <w:rFonts w:ascii="仿宋_GB2312" w:eastAsia="仿宋_GB2312"/>
          <w:sz w:val="30"/>
          <w:szCs w:val="30"/>
          <w:highlight w:val="none"/>
        </w:rPr>
        <w:t>年。</w:t>
      </w:r>
      <w:r>
        <w:rPr>
          <w:rFonts w:hint="eastAsia" w:ascii="仿宋_GB2312" w:eastAsia="仿宋_GB2312"/>
          <w:sz w:val="30"/>
          <w:szCs w:val="30"/>
          <w:highlight w:val="none"/>
        </w:rPr>
        <w:t>成员</w:t>
      </w:r>
      <w:r>
        <w:rPr>
          <w:rFonts w:ascii="仿宋_GB2312" w:eastAsia="仿宋_GB2312"/>
          <w:sz w:val="30"/>
          <w:szCs w:val="30"/>
          <w:highlight w:val="none"/>
        </w:rPr>
        <w:t>需</w:t>
      </w:r>
      <w:r>
        <w:rPr>
          <w:rFonts w:hint="eastAsia" w:ascii="仿宋_GB2312" w:eastAsia="仿宋_GB2312"/>
          <w:sz w:val="30"/>
          <w:szCs w:val="30"/>
          <w:highlight w:val="none"/>
        </w:rPr>
        <w:t>具备相关</w:t>
      </w:r>
      <w:r>
        <w:rPr>
          <w:rFonts w:ascii="仿宋_GB2312" w:eastAsia="仿宋_GB2312"/>
          <w:sz w:val="30"/>
          <w:szCs w:val="30"/>
          <w:highlight w:val="none"/>
        </w:rPr>
        <w:t>专业技术</w:t>
      </w:r>
      <w:r>
        <w:rPr>
          <w:rFonts w:hint="eastAsia" w:ascii="仿宋_GB2312" w:eastAsia="仿宋_GB2312"/>
          <w:sz w:val="30"/>
          <w:szCs w:val="30"/>
          <w:highlight w:val="none"/>
        </w:rPr>
        <w:t>职称</w:t>
      </w:r>
      <w:r>
        <w:rPr>
          <w:rFonts w:ascii="仿宋_GB2312" w:eastAsia="仿宋_GB2312"/>
          <w:sz w:val="30"/>
          <w:szCs w:val="30"/>
          <w:highlight w:val="none"/>
        </w:rPr>
        <w:t>。</w:t>
      </w:r>
    </w:p>
    <w:p w14:paraId="30A5D015">
      <w:pPr>
        <w:adjustRightInd w:val="0"/>
        <w:snapToGrid w:val="0"/>
        <w:spacing w:line="360" w:lineRule="auto"/>
        <w:ind w:firstLine="600" w:firstLineChars="200"/>
        <w:outlineLvl w:val="1"/>
        <w:rPr>
          <w:rFonts w:ascii="黑体" w:hAnsi="黑体" w:eastAsia="黑体"/>
          <w:bCs/>
          <w:sz w:val="30"/>
          <w:szCs w:val="30"/>
          <w:highlight w:val="none"/>
        </w:rPr>
      </w:pPr>
      <w:r>
        <w:rPr>
          <w:rFonts w:hint="eastAsia" w:ascii="黑体" w:hAnsi="黑体" w:eastAsia="黑体"/>
          <w:bCs/>
          <w:sz w:val="30"/>
          <w:szCs w:val="30"/>
          <w:highlight w:val="none"/>
        </w:rPr>
        <w:t>四、响应</w:t>
      </w:r>
      <w:r>
        <w:rPr>
          <w:rFonts w:ascii="黑体" w:hAnsi="黑体" w:eastAsia="黑体"/>
          <w:bCs/>
          <w:sz w:val="30"/>
          <w:szCs w:val="30"/>
          <w:highlight w:val="none"/>
        </w:rPr>
        <w:t>文件</w:t>
      </w:r>
    </w:p>
    <w:p w14:paraId="2D1D7D08">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lang w:eastAsia="zh-CN"/>
        </w:rPr>
        <w:t>第三方机构</w:t>
      </w:r>
      <w:r>
        <w:rPr>
          <w:rFonts w:hint="eastAsia" w:ascii="仿宋_GB2312" w:eastAsia="仿宋_GB2312"/>
          <w:sz w:val="30"/>
          <w:szCs w:val="30"/>
          <w:highlight w:val="none"/>
        </w:rPr>
        <w:t>应当</w:t>
      </w:r>
      <w:r>
        <w:rPr>
          <w:rFonts w:ascii="仿宋_GB2312" w:eastAsia="仿宋_GB2312"/>
          <w:sz w:val="30"/>
          <w:szCs w:val="30"/>
          <w:highlight w:val="none"/>
        </w:rPr>
        <w:t>提供能证明承担本</w:t>
      </w:r>
      <w:r>
        <w:rPr>
          <w:rFonts w:hint="eastAsia" w:ascii="仿宋_GB2312" w:eastAsia="仿宋_GB2312"/>
          <w:sz w:val="30"/>
          <w:szCs w:val="30"/>
          <w:highlight w:val="none"/>
        </w:rPr>
        <w:t>项目</w:t>
      </w:r>
      <w:r>
        <w:rPr>
          <w:rFonts w:ascii="仿宋_GB2312" w:eastAsia="仿宋_GB2312"/>
          <w:sz w:val="30"/>
          <w:szCs w:val="30"/>
          <w:highlight w:val="none"/>
        </w:rPr>
        <w:t>能力和资格的</w:t>
      </w:r>
      <w:r>
        <w:rPr>
          <w:rFonts w:hint="eastAsia" w:ascii="仿宋_GB2312" w:hAnsi="仿宋_GB2312" w:eastAsia="仿宋_GB2312" w:cs="仿宋_GB2312"/>
          <w:sz w:val="30"/>
          <w:szCs w:val="30"/>
          <w:highlight w:val="none"/>
        </w:rPr>
        <w:t>“</w:t>
      </w:r>
      <w:r>
        <w:rPr>
          <w:rFonts w:ascii="仿宋_GB2312" w:eastAsia="仿宋_GB2312"/>
          <w:sz w:val="30"/>
          <w:szCs w:val="30"/>
          <w:highlight w:val="none"/>
        </w:rPr>
        <w:t>资格证明材料</w:t>
      </w:r>
      <w:r>
        <w:rPr>
          <w:rFonts w:hint="eastAsia" w:ascii="仿宋_GB2312" w:hAnsi="仿宋_GB2312" w:eastAsia="仿宋_GB2312" w:cs="仿宋_GB2312"/>
          <w:sz w:val="30"/>
          <w:szCs w:val="30"/>
          <w:highlight w:val="none"/>
        </w:rPr>
        <w:t>”</w:t>
      </w:r>
      <w:r>
        <w:rPr>
          <w:rFonts w:hint="eastAsia" w:ascii="仿宋_GB2312" w:eastAsia="仿宋_GB2312"/>
          <w:sz w:val="30"/>
          <w:szCs w:val="30"/>
          <w:highlight w:val="none"/>
        </w:rPr>
        <w:t>，由商务部分和技术部分组成，</w:t>
      </w:r>
      <w:r>
        <w:rPr>
          <w:rFonts w:ascii="仿宋_GB2312" w:eastAsia="仿宋_GB2312"/>
          <w:sz w:val="30"/>
          <w:szCs w:val="30"/>
          <w:highlight w:val="none"/>
        </w:rPr>
        <w:t>包括但不限于</w:t>
      </w:r>
      <w:r>
        <w:rPr>
          <w:rFonts w:hint="eastAsia" w:ascii="仿宋_GB2312" w:eastAsia="仿宋_GB2312"/>
          <w:sz w:val="30"/>
          <w:szCs w:val="30"/>
          <w:highlight w:val="none"/>
        </w:rPr>
        <w:t>，</w:t>
      </w:r>
    </w:p>
    <w:p w14:paraId="1BB8149B">
      <w:pPr>
        <w:adjustRightInd w:val="0"/>
        <w:snapToGrid w:val="0"/>
        <w:spacing w:line="360" w:lineRule="auto"/>
        <w:ind w:firstLine="602" w:firstLineChars="200"/>
        <w:textAlignment w:val="center"/>
        <w:outlineLvl w:val="2"/>
        <w:rPr>
          <w:rFonts w:ascii="仿宋_GB2312" w:eastAsia="仿宋_GB2312"/>
          <w:b/>
          <w:sz w:val="30"/>
          <w:szCs w:val="30"/>
          <w:highlight w:val="none"/>
        </w:rPr>
      </w:pPr>
      <w:r>
        <w:rPr>
          <w:rFonts w:hint="eastAsia" w:ascii="仿宋_GB2312" w:eastAsia="仿宋_GB2312"/>
          <w:b/>
          <w:sz w:val="30"/>
          <w:szCs w:val="30"/>
          <w:highlight w:val="none"/>
        </w:rPr>
        <w:t>商务部分：</w:t>
      </w:r>
    </w:p>
    <w:p w14:paraId="075DBB36">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1</w:t>
      </w:r>
      <w:r>
        <w:rPr>
          <w:rFonts w:hint="eastAsia" w:ascii="仿宋_GB2312" w:eastAsia="仿宋_GB2312"/>
          <w:sz w:val="30"/>
          <w:szCs w:val="30"/>
          <w:highlight w:val="none"/>
        </w:rPr>
        <w:t>）法定代表人证明、</w:t>
      </w:r>
      <w:r>
        <w:rPr>
          <w:rFonts w:ascii="仿宋_GB2312" w:eastAsia="仿宋_GB2312"/>
          <w:sz w:val="30"/>
          <w:szCs w:val="30"/>
          <w:highlight w:val="none"/>
        </w:rPr>
        <w:t>法定代表人</w:t>
      </w:r>
      <w:r>
        <w:rPr>
          <w:rFonts w:hint="eastAsia" w:ascii="仿宋_GB2312" w:eastAsia="仿宋_GB2312"/>
          <w:sz w:val="30"/>
          <w:szCs w:val="30"/>
          <w:highlight w:val="none"/>
        </w:rPr>
        <w:t>授权书</w:t>
      </w:r>
    </w:p>
    <w:p w14:paraId="2D08DBC0">
      <w:pPr>
        <w:adjustRightInd w:val="0"/>
        <w:snapToGrid w:val="0"/>
        <w:spacing w:line="360" w:lineRule="auto"/>
        <w:ind w:firstLine="600" w:firstLineChars="200"/>
        <w:textAlignment w:val="center"/>
        <w:rPr>
          <w:rFonts w:hint="eastAsia" w:ascii="仿宋_GB2312" w:eastAsia="仿宋_GB2312"/>
          <w:sz w:val="30"/>
          <w:szCs w:val="30"/>
          <w:highlight w:val="none"/>
        </w:rPr>
      </w:pPr>
      <w:r>
        <w:rPr>
          <w:rFonts w:hint="eastAsia" w:ascii="仿宋_GB2312" w:eastAsia="仿宋_GB2312"/>
          <w:sz w:val="30"/>
          <w:szCs w:val="30"/>
          <w:highlight w:val="none"/>
        </w:rPr>
        <w:t>（2）营业执照以及相关资质证书</w:t>
      </w:r>
    </w:p>
    <w:p w14:paraId="1D913038">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3</w:t>
      </w:r>
      <w:r>
        <w:rPr>
          <w:rFonts w:hint="eastAsia" w:ascii="仿宋_GB2312" w:eastAsia="仿宋_GB2312"/>
          <w:sz w:val="30"/>
          <w:szCs w:val="30"/>
          <w:highlight w:val="none"/>
        </w:rPr>
        <w:t>）生产或经营许可证、质量保证体系及其质量认证证明（若有）</w:t>
      </w:r>
    </w:p>
    <w:p w14:paraId="25579BD9">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4</w:t>
      </w:r>
      <w:r>
        <w:rPr>
          <w:rFonts w:hint="eastAsia" w:ascii="仿宋_GB2312" w:eastAsia="仿宋_GB2312"/>
          <w:sz w:val="30"/>
          <w:szCs w:val="30"/>
          <w:highlight w:val="none"/>
        </w:rPr>
        <w:t>）近三年类似项目实施情况一览表及证明材料</w:t>
      </w:r>
    </w:p>
    <w:p w14:paraId="12C47C0A">
      <w:pPr>
        <w:adjustRightInd w:val="0"/>
        <w:snapToGrid w:val="0"/>
        <w:spacing w:line="360" w:lineRule="auto"/>
        <w:ind w:firstLine="602" w:firstLineChars="200"/>
        <w:textAlignment w:val="center"/>
        <w:outlineLvl w:val="2"/>
        <w:rPr>
          <w:rFonts w:ascii="仿宋_GB2312" w:eastAsia="仿宋_GB2312"/>
          <w:b/>
          <w:sz w:val="30"/>
          <w:szCs w:val="30"/>
          <w:highlight w:val="none"/>
        </w:rPr>
      </w:pPr>
      <w:r>
        <w:rPr>
          <w:rFonts w:hint="eastAsia" w:ascii="仿宋_GB2312" w:eastAsia="仿宋_GB2312"/>
          <w:b/>
          <w:sz w:val="30"/>
          <w:szCs w:val="30"/>
          <w:highlight w:val="none"/>
        </w:rPr>
        <w:t>技术部分：</w:t>
      </w:r>
    </w:p>
    <w:p w14:paraId="6718B4AB">
      <w:pPr>
        <w:adjustRightInd w:val="0"/>
        <w:snapToGrid w:val="0"/>
        <w:spacing w:line="360" w:lineRule="auto"/>
        <w:ind w:firstLine="600" w:firstLineChars="200"/>
        <w:textAlignment w:val="center"/>
        <w:rPr>
          <w:rFonts w:hint="eastAsia" w:ascii="仿宋_GB2312" w:eastAsia="仿宋_GB2312"/>
          <w:sz w:val="30"/>
          <w:szCs w:val="30"/>
          <w:highlight w:val="none"/>
        </w:rPr>
      </w:pPr>
      <w:r>
        <w:rPr>
          <w:rFonts w:hint="eastAsia" w:ascii="仿宋_GB2312" w:eastAsia="仿宋_GB2312"/>
          <w:sz w:val="30"/>
          <w:szCs w:val="30"/>
          <w:highlight w:val="none"/>
        </w:rPr>
        <w:t>（1）对本项目总体要求的理解</w:t>
      </w:r>
    </w:p>
    <w:p w14:paraId="0ADB07C1">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2</w:t>
      </w:r>
      <w:r>
        <w:rPr>
          <w:rFonts w:hint="eastAsia" w:ascii="仿宋_GB2312" w:eastAsia="仿宋_GB2312"/>
          <w:sz w:val="30"/>
          <w:szCs w:val="30"/>
          <w:highlight w:val="none"/>
        </w:rPr>
        <w:t>）对本项目编制的服务实施方案、人员岗位设置、工作流程和进度安排</w:t>
      </w:r>
    </w:p>
    <w:p w14:paraId="0D37870C">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3</w:t>
      </w:r>
      <w:r>
        <w:rPr>
          <w:rFonts w:hint="eastAsia" w:ascii="仿宋_GB2312" w:eastAsia="仿宋_GB2312"/>
          <w:sz w:val="30"/>
          <w:szCs w:val="30"/>
          <w:highlight w:val="none"/>
        </w:rPr>
        <w:t>）服务承诺、奖惩措施及质量保证措施</w:t>
      </w:r>
    </w:p>
    <w:p w14:paraId="3B76C243">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4</w:t>
      </w:r>
      <w:r>
        <w:rPr>
          <w:rFonts w:hint="eastAsia" w:ascii="仿宋_GB2312" w:eastAsia="仿宋_GB2312"/>
          <w:sz w:val="30"/>
          <w:szCs w:val="30"/>
          <w:highlight w:val="none"/>
        </w:rPr>
        <w:t>）合理化建议和设想</w:t>
      </w:r>
    </w:p>
    <w:p w14:paraId="1596D945">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5</w:t>
      </w:r>
      <w:r>
        <w:rPr>
          <w:rFonts w:hint="eastAsia" w:ascii="仿宋_GB2312" w:eastAsia="仿宋_GB2312"/>
          <w:sz w:val="30"/>
          <w:szCs w:val="30"/>
          <w:highlight w:val="none"/>
        </w:rPr>
        <w:t>）第三方机构基本情况表</w:t>
      </w:r>
    </w:p>
    <w:p w14:paraId="4DAEE435">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6</w:t>
      </w:r>
      <w:r>
        <w:rPr>
          <w:rFonts w:hint="eastAsia" w:ascii="仿宋_GB2312" w:eastAsia="仿宋_GB2312"/>
          <w:sz w:val="30"/>
          <w:szCs w:val="30"/>
          <w:highlight w:val="none"/>
        </w:rPr>
        <w:t>）拟投入本项目的人员配备及相关工作经历、资质汇总表</w:t>
      </w:r>
    </w:p>
    <w:p w14:paraId="316D6A8F">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7</w:t>
      </w:r>
      <w:r>
        <w:rPr>
          <w:rFonts w:hint="eastAsia" w:ascii="仿宋_GB2312" w:eastAsia="仿宋_GB2312"/>
          <w:sz w:val="30"/>
          <w:szCs w:val="30"/>
          <w:highlight w:val="none"/>
        </w:rPr>
        <w:t>）拟投入本项目主要成员详细情况表</w:t>
      </w:r>
    </w:p>
    <w:p w14:paraId="393261D7">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（8）比选文件要求的其他内容以及第三方机构认为需加以说明的其他内容</w:t>
      </w:r>
    </w:p>
    <w:p w14:paraId="1F255ACA">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特别注意：</w:t>
      </w:r>
    </w:p>
    <w:p w14:paraId="3835F80F">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第三方机构须提供详细的服务方案。</w:t>
      </w:r>
    </w:p>
    <w:p w14:paraId="45EF192E">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响应文件必须装订成册。响应文件的装订应牢固、不易拆散和换页，同时建议不使用硬封面包装，并采用双面印制。</w:t>
      </w:r>
    </w:p>
    <w:p w14:paraId="70CBEF3E">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响应</w:t>
      </w:r>
      <w:r>
        <w:rPr>
          <w:rFonts w:ascii="仿宋_GB2312" w:eastAsia="仿宋_GB2312"/>
          <w:sz w:val="30"/>
          <w:szCs w:val="30"/>
          <w:highlight w:val="none"/>
        </w:rPr>
        <w:t>文件</w:t>
      </w:r>
      <w:r>
        <w:rPr>
          <w:rFonts w:hint="eastAsia" w:ascii="仿宋_GB2312" w:eastAsia="仿宋_GB2312"/>
          <w:sz w:val="30"/>
          <w:szCs w:val="30"/>
          <w:highlight w:val="none"/>
        </w:rPr>
        <w:t>文件一式四份。</w:t>
      </w:r>
    </w:p>
    <w:p w14:paraId="5EB30B15">
      <w:pPr>
        <w:adjustRightInd w:val="0"/>
        <w:snapToGrid w:val="0"/>
        <w:spacing w:line="360" w:lineRule="auto"/>
        <w:ind w:firstLine="600" w:firstLineChars="200"/>
        <w:outlineLvl w:val="1"/>
        <w:rPr>
          <w:rFonts w:ascii="黑体" w:hAnsi="黑体" w:eastAsia="黑体"/>
          <w:bCs/>
          <w:sz w:val="30"/>
          <w:szCs w:val="30"/>
          <w:highlight w:val="none"/>
        </w:rPr>
      </w:pPr>
      <w:r>
        <w:rPr>
          <w:rFonts w:hint="eastAsia" w:ascii="黑体" w:hAnsi="黑体" w:eastAsia="黑体"/>
          <w:bCs/>
          <w:sz w:val="30"/>
          <w:szCs w:val="30"/>
          <w:highlight w:val="none"/>
        </w:rPr>
        <w:t>五、第三方机构</w:t>
      </w:r>
      <w:r>
        <w:rPr>
          <w:rFonts w:ascii="黑体" w:hAnsi="黑体" w:eastAsia="黑体"/>
          <w:bCs/>
          <w:sz w:val="30"/>
          <w:szCs w:val="30"/>
          <w:highlight w:val="none"/>
        </w:rPr>
        <w:t>报价</w:t>
      </w:r>
    </w:p>
    <w:p w14:paraId="7E7B2095">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本项目</w:t>
      </w:r>
      <w:r>
        <w:rPr>
          <w:rFonts w:ascii="仿宋_GB2312" w:eastAsia="仿宋_GB2312"/>
          <w:sz w:val="30"/>
          <w:szCs w:val="30"/>
          <w:highlight w:val="none"/>
        </w:rPr>
        <w:t>比选报价采用固定总价形式报价本项目服务费用，比选报价应是完成项目所</w:t>
      </w:r>
      <w:r>
        <w:rPr>
          <w:rFonts w:hint="eastAsia" w:ascii="仿宋_GB2312" w:eastAsia="仿宋_GB2312"/>
          <w:sz w:val="30"/>
          <w:szCs w:val="30"/>
          <w:highlight w:val="none"/>
        </w:rPr>
        <w:t>必须</w:t>
      </w:r>
      <w:r>
        <w:rPr>
          <w:rFonts w:ascii="仿宋_GB2312" w:eastAsia="仿宋_GB2312"/>
          <w:sz w:val="30"/>
          <w:szCs w:val="30"/>
          <w:highlight w:val="none"/>
        </w:rPr>
        <w:t>的一</w:t>
      </w:r>
      <w:r>
        <w:rPr>
          <w:rFonts w:hint="eastAsia" w:ascii="仿宋_GB2312" w:eastAsia="仿宋_GB2312"/>
          <w:sz w:val="30"/>
          <w:szCs w:val="30"/>
          <w:highlight w:val="none"/>
        </w:rPr>
        <w:t>切</w:t>
      </w:r>
      <w:r>
        <w:rPr>
          <w:rFonts w:ascii="仿宋_GB2312" w:eastAsia="仿宋_GB2312"/>
          <w:sz w:val="30"/>
          <w:szCs w:val="30"/>
          <w:highlight w:val="none"/>
        </w:rPr>
        <w:t>费用，包括</w:t>
      </w:r>
      <w:r>
        <w:rPr>
          <w:rFonts w:hint="eastAsia" w:ascii="仿宋_GB2312" w:eastAsia="仿宋_GB2312"/>
          <w:sz w:val="30"/>
          <w:szCs w:val="30"/>
          <w:highlight w:val="none"/>
        </w:rPr>
        <w:t>区级初审专家费、会议费、项目验收专家费以及资料文本制作、劳务费等与</w:t>
      </w:r>
      <w:r>
        <w:rPr>
          <w:rFonts w:hint="eastAsia" w:ascii="仿宋_GB2312" w:eastAsia="仿宋_GB2312"/>
          <w:sz w:val="30"/>
          <w:szCs w:val="30"/>
          <w:highlight w:val="none"/>
          <w:lang w:eastAsia="zh-CN"/>
        </w:rPr>
        <w:t>上海市服务业发展引导资金项目管理</w:t>
      </w:r>
      <w:r>
        <w:rPr>
          <w:rFonts w:hint="eastAsia" w:ascii="仿宋_GB2312" w:eastAsia="仿宋_GB2312"/>
          <w:sz w:val="30"/>
          <w:szCs w:val="30"/>
          <w:highlight w:val="none"/>
        </w:rPr>
        <w:t>工作</w:t>
      </w:r>
      <w:r>
        <w:rPr>
          <w:rFonts w:ascii="仿宋_GB2312" w:eastAsia="仿宋_GB2312"/>
          <w:sz w:val="30"/>
          <w:szCs w:val="30"/>
          <w:highlight w:val="none"/>
        </w:rPr>
        <w:t>有关的所有</w:t>
      </w:r>
      <w:r>
        <w:rPr>
          <w:rFonts w:hint="eastAsia" w:ascii="仿宋_GB2312" w:eastAsia="仿宋_GB2312"/>
          <w:sz w:val="30"/>
          <w:szCs w:val="30"/>
          <w:highlight w:val="none"/>
        </w:rPr>
        <w:t>费用</w:t>
      </w:r>
      <w:r>
        <w:rPr>
          <w:rFonts w:ascii="仿宋_GB2312" w:eastAsia="仿宋_GB2312"/>
          <w:sz w:val="30"/>
          <w:szCs w:val="30"/>
          <w:highlight w:val="none"/>
        </w:rPr>
        <w:t>。一旦</w:t>
      </w:r>
      <w:r>
        <w:rPr>
          <w:rFonts w:hint="eastAsia" w:ascii="仿宋_GB2312" w:eastAsia="仿宋_GB2312"/>
          <w:sz w:val="30"/>
          <w:szCs w:val="30"/>
          <w:highlight w:val="none"/>
        </w:rPr>
        <w:t>比选</w:t>
      </w:r>
      <w:r>
        <w:rPr>
          <w:rFonts w:ascii="仿宋_GB2312" w:eastAsia="仿宋_GB2312"/>
          <w:sz w:val="30"/>
          <w:szCs w:val="30"/>
          <w:highlight w:val="none"/>
        </w:rPr>
        <w:t>成功，投标</w:t>
      </w:r>
      <w:r>
        <w:rPr>
          <w:rFonts w:hint="eastAsia" w:ascii="仿宋_GB2312" w:eastAsia="仿宋_GB2312"/>
          <w:sz w:val="30"/>
          <w:szCs w:val="30"/>
          <w:highlight w:val="none"/>
        </w:rPr>
        <w:t>报价</w:t>
      </w:r>
      <w:r>
        <w:rPr>
          <w:rFonts w:ascii="仿宋_GB2312" w:eastAsia="仿宋_GB2312"/>
          <w:sz w:val="30"/>
          <w:szCs w:val="30"/>
          <w:highlight w:val="none"/>
        </w:rPr>
        <w:t>即为签订合同价。</w:t>
      </w:r>
    </w:p>
    <w:p w14:paraId="123D9761">
      <w:pPr>
        <w:adjustRightInd w:val="0"/>
        <w:snapToGrid w:val="0"/>
        <w:spacing w:line="360" w:lineRule="auto"/>
        <w:ind w:firstLine="600" w:firstLineChars="200"/>
        <w:outlineLvl w:val="1"/>
        <w:rPr>
          <w:rFonts w:ascii="黑体" w:hAnsi="黑体" w:eastAsia="黑体"/>
          <w:bCs/>
          <w:sz w:val="30"/>
          <w:szCs w:val="30"/>
          <w:highlight w:val="none"/>
        </w:rPr>
      </w:pPr>
      <w:bookmarkStart w:id="0" w:name="_Toc509473345"/>
      <w:bookmarkStart w:id="1" w:name="_Toc7297"/>
      <w:r>
        <w:rPr>
          <w:rFonts w:hint="eastAsia" w:ascii="黑体" w:hAnsi="黑体" w:eastAsia="黑体"/>
          <w:bCs/>
          <w:sz w:val="30"/>
          <w:szCs w:val="30"/>
          <w:highlight w:val="none"/>
        </w:rPr>
        <w:t>六、支付方式</w:t>
      </w:r>
      <w:bookmarkEnd w:id="0"/>
      <w:bookmarkEnd w:id="1"/>
    </w:p>
    <w:p w14:paraId="0E8819B6">
      <w:pPr>
        <w:adjustRightInd w:val="0"/>
        <w:snapToGrid w:val="0"/>
        <w:spacing w:line="360" w:lineRule="auto"/>
        <w:ind w:firstLine="602" w:firstLineChars="200"/>
        <w:textAlignment w:val="center"/>
        <w:rPr>
          <w:rFonts w:hint="eastAsia" w:ascii="仿宋_GB2312" w:eastAsia="仿宋_GB2312"/>
          <w:sz w:val="30"/>
          <w:szCs w:val="30"/>
          <w:highlight w:val="none"/>
        </w:rPr>
      </w:pPr>
      <w:r>
        <w:rPr>
          <w:rFonts w:hint="eastAsia" w:ascii="仿宋_GB2312" w:eastAsia="仿宋_GB2312"/>
          <w:b/>
          <w:bCs/>
          <w:sz w:val="30"/>
          <w:szCs w:val="30"/>
          <w:highlight w:val="none"/>
        </w:rPr>
        <w:t>1、服务费用</w:t>
      </w:r>
      <w:r>
        <w:rPr>
          <w:rFonts w:hint="eastAsia" w:ascii="仿宋_GB2312" w:eastAsia="仿宋_GB2312"/>
          <w:b/>
          <w:bCs/>
          <w:sz w:val="30"/>
          <w:szCs w:val="30"/>
          <w:highlight w:val="none"/>
          <w:lang w:eastAsia="zh-CN"/>
        </w:rPr>
        <w:t>构成</w:t>
      </w:r>
      <w:r>
        <w:rPr>
          <w:rFonts w:hint="eastAsia" w:ascii="仿宋_GB2312" w:eastAsia="仿宋_GB2312"/>
          <w:b/>
          <w:bCs/>
          <w:sz w:val="30"/>
          <w:szCs w:val="30"/>
          <w:highlight w:val="none"/>
        </w:rPr>
        <w:t>。</w:t>
      </w:r>
      <w:r>
        <w:rPr>
          <w:rFonts w:hint="eastAsia" w:ascii="仿宋_GB2312" w:eastAsia="仿宋_GB2312"/>
          <w:b w:val="0"/>
          <w:bCs w:val="0"/>
          <w:sz w:val="30"/>
          <w:szCs w:val="30"/>
          <w:highlight w:val="none"/>
        </w:rPr>
        <w:t>服务费用实行包干制</w:t>
      </w:r>
      <w:r>
        <w:rPr>
          <w:rFonts w:hint="eastAsia" w:ascii="仿宋_GB2312" w:eastAsia="仿宋_GB2312"/>
          <w:b w:val="0"/>
          <w:bCs w:val="0"/>
          <w:sz w:val="30"/>
          <w:szCs w:val="30"/>
          <w:highlight w:val="none"/>
          <w:lang w:eastAsia="zh-CN"/>
        </w:rPr>
        <w:t>，</w:t>
      </w:r>
      <w:r>
        <w:rPr>
          <w:rFonts w:hint="eastAsia" w:ascii="仿宋_GB2312" w:eastAsia="仿宋_GB2312"/>
          <w:sz w:val="30"/>
          <w:szCs w:val="30"/>
          <w:highlight w:val="none"/>
        </w:rPr>
        <w:t>构成包括基础部分和绩效部分，其中基础部分费用</w:t>
      </w:r>
      <w:r>
        <w:rPr>
          <w:rFonts w:hint="eastAsia" w:ascii="仿宋_GB2312" w:eastAsia="仿宋_GB2312"/>
          <w:sz w:val="30"/>
          <w:szCs w:val="30"/>
          <w:highlight w:val="none"/>
          <w:lang w:eastAsia="zh-CN"/>
        </w:rPr>
        <w:t>预算</w:t>
      </w:r>
      <w:r>
        <w:rPr>
          <w:rFonts w:hint="eastAsia" w:ascii="仿宋_GB2312" w:eastAsia="仿宋_GB2312"/>
          <w:sz w:val="30"/>
          <w:szCs w:val="30"/>
          <w:highlight w:val="none"/>
        </w:rPr>
        <w:t>15万元、绩效部分费用</w:t>
      </w:r>
      <w:r>
        <w:rPr>
          <w:rFonts w:hint="eastAsia" w:ascii="仿宋_GB2312" w:eastAsia="仿宋_GB2312"/>
          <w:sz w:val="30"/>
          <w:szCs w:val="30"/>
          <w:highlight w:val="none"/>
          <w:lang w:eastAsia="zh-CN"/>
        </w:rPr>
        <w:t>预算</w:t>
      </w:r>
      <w:r>
        <w:rPr>
          <w:rFonts w:hint="eastAsia" w:ascii="仿宋_GB2312" w:eastAsia="仿宋_GB2312"/>
          <w:sz w:val="30"/>
          <w:szCs w:val="30"/>
          <w:highlight w:val="none"/>
        </w:rPr>
        <w:t>10万元。</w:t>
      </w:r>
    </w:p>
    <w:p w14:paraId="7996219B">
      <w:pPr>
        <w:adjustRightInd w:val="0"/>
        <w:snapToGrid w:val="0"/>
        <w:spacing w:line="360" w:lineRule="auto"/>
        <w:ind w:firstLine="602" w:firstLineChars="200"/>
        <w:textAlignment w:val="center"/>
        <w:rPr>
          <w:rFonts w:hint="eastAsia" w:ascii="仿宋_GB2312" w:eastAsia="仿宋_GB2312"/>
          <w:sz w:val="30"/>
          <w:szCs w:val="30"/>
          <w:highlight w:val="none"/>
        </w:rPr>
      </w:pPr>
      <w:r>
        <w:rPr>
          <w:rFonts w:hint="eastAsia" w:ascii="仿宋_GB2312" w:eastAsia="仿宋_GB2312"/>
          <w:b/>
          <w:bCs/>
          <w:sz w:val="30"/>
          <w:szCs w:val="30"/>
          <w:highlight w:val="none"/>
          <w:lang w:val="en-US" w:eastAsia="zh-CN"/>
        </w:rPr>
        <w:t>2、</w:t>
      </w:r>
      <w:r>
        <w:rPr>
          <w:rFonts w:hint="eastAsia" w:ascii="仿宋_GB2312" w:eastAsia="仿宋_GB2312"/>
          <w:b/>
          <w:bCs/>
          <w:sz w:val="30"/>
          <w:szCs w:val="30"/>
          <w:highlight w:val="none"/>
        </w:rPr>
        <w:t>拨付方式。</w:t>
      </w:r>
      <w:r>
        <w:rPr>
          <w:rFonts w:hint="eastAsia" w:ascii="仿宋_GB2312" w:eastAsia="仿宋_GB2312"/>
          <w:sz w:val="30"/>
          <w:szCs w:val="30"/>
          <w:highlight w:val="none"/>
        </w:rPr>
        <w:t>服务费用分两笔拨付，首笔拨付基础部分的50%，剩余50%基础部分和绩效部分按照实际情况进行结算。</w:t>
      </w:r>
    </w:p>
    <w:p w14:paraId="51978C77">
      <w:pPr>
        <w:adjustRightInd w:val="0"/>
        <w:snapToGrid w:val="0"/>
        <w:spacing w:line="360" w:lineRule="auto"/>
        <w:ind w:firstLine="720" w:firstLineChars="200"/>
        <w:textAlignment w:val="center"/>
        <w:outlineLvl w:val="0"/>
        <w:rPr>
          <w:rFonts w:ascii="黑体" w:hAnsi="黑体" w:eastAsia="黑体"/>
          <w:sz w:val="36"/>
          <w:szCs w:val="36"/>
          <w:highlight w:val="none"/>
        </w:rPr>
      </w:pPr>
      <w:r>
        <w:rPr>
          <w:rFonts w:hint="eastAsia" w:ascii="黑体" w:hAnsi="黑体" w:eastAsia="黑体"/>
          <w:sz w:val="36"/>
          <w:szCs w:val="36"/>
          <w:highlight w:val="none"/>
        </w:rPr>
        <w:t>第三部分</w:t>
      </w:r>
      <w:bookmarkStart w:id="2" w:name="评标办法"/>
      <w:r>
        <w:rPr>
          <w:rFonts w:ascii="黑体" w:hAnsi="黑体" w:eastAsia="黑体"/>
          <w:sz w:val="36"/>
          <w:szCs w:val="36"/>
          <w:highlight w:val="none"/>
        </w:rPr>
        <w:t xml:space="preserve"> </w:t>
      </w:r>
      <w:r>
        <w:rPr>
          <w:rFonts w:hint="eastAsia" w:ascii="黑体" w:hAnsi="黑体" w:eastAsia="黑体"/>
          <w:sz w:val="36"/>
          <w:szCs w:val="36"/>
          <w:highlight w:val="none"/>
        </w:rPr>
        <w:t>评审办法</w:t>
      </w:r>
      <w:bookmarkEnd w:id="2"/>
    </w:p>
    <w:p w14:paraId="6700A74C">
      <w:pPr>
        <w:adjustRightInd w:val="0"/>
        <w:snapToGrid w:val="0"/>
        <w:spacing w:line="360" w:lineRule="auto"/>
        <w:ind w:firstLine="600" w:firstLineChars="200"/>
        <w:outlineLvl w:val="1"/>
        <w:rPr>
          <w:rFonts w:ascii="黑体" w:hAnsi="黑体" w:eastAsia="黑体" w:cs="黑体"/>
          <w:bCs/>
          <w:sz w:val="30"/>
          <w:szCs w:val="30"/>
          <w:highlight w:val="none"/>
        </w:rPr>
      </w:pPr>
      <w:r>
        <w:rPr>
          <w:rFonts w:hint="eastAsia" w:ascii="黑体" w:hAnsi="黑体" w:eastAsia="黑体" w:cs="黑体"/>
          <w:bCs/>
          <w:sz w:val="30"/>
          <w:szCs w:val="30"/>
          <w:highlight w:val="none"/>
        </w:rPr>
        <w:t>一、比选无效情形</w:t>
      </w:r>
    </w:p>
    <w:p w14:paraId="770C9BB4">
      <w:pPr>
        <w:pStyle w:val="15"/>
        <w:adjustRightInd w:val="0"/>
        <w:snapToGrid w:val="0"/>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1、评审委员会将按照比选须知前附表实质性响应条款要求，对响应文件进行符合性审查，比选文件不符合所列任何情形之一的，将被认定为无效比选。</w:t>
      </w:r>
    </w:p>
    <w:p w14:paraId="0301F9B3">
      <w:pPr>
        <w:adjustRightInd w:val="0"/>
        <w:snapToGrid w:val="0"/>
        <w:spacing w:line="360" w:lineRule="auto"/>
        <w:ind w:firstLine="600" w:firstLineChars="200"/>
        <w:rPr>
          <w:rFonts w:ascii="宋体" w:hAnsi="宋体"/>
          <w:szCs w:val="21"/>
          <w:highlight w:val="none"/>
        </w:rPr>
      </w:pPr>
      <w:r>
        <w:rPr>
          <w:rFonts w:hint="eastAsia" w:ascii="仿宋_GB2312" w:hAnsi="仿宋_GB2312" w:eastAsia="仿宋_GB2312" w:cs="仿宋_GB2312"/>
          <w:sz w:val="30"/>
          <w:szCs w:val="30"/>
          <w:highlight w:val="none"/>
        </w:rPr>
        <w:t>2、除上述以及法律法规所规定的比选无效情形外，响应文件有其他不符合比选文件要求的均作为比选时的考虑因素，而不导致比选无效。</w:t>
      </w:r>
    </w:p>
    <w:p w14:paraId="23E3CDE5">
      <w:pPr>
        <w:adjustRightInd w:val="0"/>
        <w:snapToGrid w:val="0"/>
        <w:spacing w:line="360" w:lineRule="auto"/>
        <w:ind w:firstLine="600" w:firstLineChars="200"/>
        <w:outlineLvl w:val="1"/>
        <w:rPr>
          <w:rFonts w:ascii="黑体" w:hAnsi="黑体" w:eastAsia="黑体" w:cs="黑体"/>
          <w:bCs/>
          <w:sz w:val="30"/>
          <w:szCs w:val="30"/>
          <w:highlight w:val="none"/>
        </w:rPr>
      </w:pPr>
      <w:bookmarkStart w:id="3" w:name="OLE_LINK1"/>
      <w:r>
        <w:rPr>
          <w:rFonts w:hint="eastAsia" w:ascii="黑体" w:hAnsi="黑体" w:eastAsia="黑体" w:cs="黑体"/>
          <w:bCs/>
          <w:sz w:val="30"/>
          <w:szCs w:val="30"/>
          <w:highlight w:val="none"/>
        </w:rPr>
        <w:t>二、评审方法与程序</w:t>
      </w:r>
    </w:p>
    <w:bookmarkEnd w:id="3"/>
    <w:p w14:paraId="6ED7C6A4">
      <w:pPr>
        <w:pStyle w:val="2"/>
        <w:adjustRightInd w:val="0"/>
        <w:snapToGrid w:val="0"/>
        <w:spacing w:line="360" w:lineRule="auto"/>
        <w:ind w:firstLine="600" w:firstLineChars="200"/>
        <w:textAlignment w:val="center"/>
        <w:outlineLvl w:val="2"/>
        <w:rPr>
          <w:rFonts w:ascii="楷体" w:hAnsi="楷体" w:eastAsia="楷体" w:cs="楷体"/>
          <w:bCs/>
          <w:sz w:val="30"/>
          <w:szCs w:val="30"/>
          <w:highlight w:val="none"/>
        </w:rPr>
      </w:pPr>
      <w:r>
        <w:rPr>
          <w:rFonts w:hint="eastAsia" w:ascii="楷体" w:hAnsi="楷体" w:eastAsia="楷体" w:cs="楷体"/>
          <w:bCs/>
          <w:sz w:val="30"/>
          <w:szCs w:val="30"/>
          <w:highlight w:val="none"/>
        </w:rPr>
        <w:t>（一）评审方法</w:t>
      </w:r>
    </w:p>
    <w:p w14:paraId="64B5C119">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结合项目特点，本项目采用“综合评分法”比选，总分为100分。</w:t>
      </w:r>
    </w:p>
    <w:p w14:paraId="6E6B03E9">
      <w:pPr>
        <w:pStyle w:val="2"/>
        <w:adjustRightInd w:val="0"/>
        <w:snapToGrid w:val="0"/>
        <w:spacing w:line="360" w:lineRule="auto"/>
        <w:ind w:firstLine="600" w:firstLineChars="200"/>
        <w:textAlignment w:val="center"/>
        <w:outlineLvl w:val="2"/>
        <w:rPr>
          <w:rFonts w:ascii="楷体" w:hAnsi="楷体" w:eastAsia="楷体" w:cs="楷体"/>
          <w:bCs/>
          <w:sz w:val="30"/>
          <w:szCs w:val="30"/>
          <w:highlight w:val="none"/>
        </w:rPr>
      </w:pPr>
      <w:r>
        <w:rPr>
          <w:rFonts w:hint="eastAsia" w:ascii="楷体" w:hAnsi="楷体" w:eastAsia="楷体" w:cs="楷体"/>
          <w:bCs/>
          <w:sz w:val="30"/>
          <w:szCs w:val="30"/>
          <w:highlight w:val="none"/>
        </w:rPr>
        <w:t>（二）评审委员会</w:t>
      </w:r>
    </w:p>
    <w:p w14:paraId="585B9610">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1、本项目比选工作由评审委员会负责，评审委员会由采购人代表、政府职能部门专家、上海市政府采购评审专家组成，政府采购评审专家的人数不少于评审委员会成员总数的</w:t>
      </w:r>
      <w:r>
        <w:rPr>
          <w:rFonts w:hint="eastAsia" w:ascii="仿宋_GB2312" w:hAnsi="仿宋_GB2312" w:eastAsia="仿宋_GB2312" w:cs="仿宋_GB2312"/>
          <w:sz w:val="30"/>
          <w:szCs w:val="30"/>
          <w:highlight w:val="none"/>
          <w:lang w:eastAsia="zh-CN"/>
        </w:rPr>
        <w:t>二分之一</w:t>
      </w:r>
      <w:r>
        <w:rPr>
          <w:rFonts w:hint="eastAsia" w:ascii="仿宋_GB2312" w:hAnsi="仿宋_GB2312" w:eastAsia="仿宋_GB2312" w:cs="仿宋_GB2312"/>
          <w:sz w:val="30"/>
          <w:szCs w:val="30"/>
          <w:highlight w:val="none"/>
        </w:rPr>
        <w:t>。</w:t>
      </w:r>
    </w:p>
    <w:p w14:paraId="03B667E1">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2、评审委员会成员应坚持客观、公正、审慎的原则，依据比选文件对响应文件响应情况、响应文件编制情况等，按照《评分细则》逐项进行综合、科学、客观评分。</w:t>
      </w:r>
    </w:p>
    <w:p w14:paraId="0A185235">
      <w:pPr>
        <w:pStyle w:val="2"/>
        <w:adjustRightInd w:val="0"/>
        <w:snapToGrid w:val="0"/>
        <w:spacing w:line="360" w:lineRule="auto"/>
        <w:ind w:firstLine="600" w:firstLineChars="200"/>
        <w:textAlignment w:val="center"/>
        <w:outlineLvl w:val="2"/>
        <w:rPr>
          <w:rFonts w:ascii="楷体" w:hAnsi="楷体" w:eastAsia="楷体" w:cs="楷体"/>
          <w:bCs/>
          <w:sz w:val="30"/>
          <w:szCs w:val="30"/>
          <w:highlight w:val="none"/>
        </w:rPr>
      </w:pPr>
      <w:r>
        <w:rPr>
          <w:rFonts w:hint="eastAsia" w:ascii="楷体" w:hAnsi="楷体" w:eastAsia="楷体" w:cs="楷体"/>
          <w:bCs/>
          <w:sz w:val="30"/>
          <w:szCs w:val="30"/>
          <w:highlight w:val="none"/>
        </w:rPr>
        <w:t>（三）比选程序</w:t>
      </w:r>
    </w:p>
    <w:p w14:paraId="158333E0">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本项目比选工作程序如下：</w:t>
      </w:r>
    </w:p>
    <w:p w14:paraId="51714FF3">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1、符合性审查。依据比选文件的规定，对符合资格的第三方机构的响应文件进行符合性审查，以确定其是否满足比选文件的实质性要求。</w:t>
      </w:r>
    </w:p>
    <w:p w14:paraId="4C0CD6CF">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澄清有关问题。对于比选文件中含义不明确、同类问题表述不一致或者有明显文字和计算错误的内容，评审委员会应当以书面形式要求第三方机构作出必要的澄清、说明或者补正。第三方机构的澄清、说明或者补正应当采用书面形式，并加盖公章，或者由法定代表人或其授权的代表签字。第三方机构的澄清、说明或者补正不得超出比选文件的范围或者改变比选文件的实质性内容。</w:t>
      </w:r>
    </w:p>
    <w:p w14:paraId="128CFB97">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3、比较与评价。按照比选文件规定的评分细则，对符合性审查合格的响应文件进行商务和技术评估，综合比较与评价。</w:t>
      </w:r>
    </w:p>
    <w:p w14:paraId="452F0574">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4、低价比选的认定与处理</w:t>
      </w:r>
    </w:p>
    <w:p w14:paraId="0E57292C">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评审委员会认为第三方机构的报价明显低于其他通过符合性审查第三方机构的报价，有可能影响产品质量或者不能诚信履约的，应当要求其在比选现场合理的时间内提供书面说明，必要时提交相关证明材料；第三方机构不能证明其报价合理性的，评审委员会应当将其作为无效处理。</w:t>
      </w:r>
    </w:p>
    <w:p w14:paraId="73188E0C">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比选候选人推荐办法：本项目评审委员会成员按照评审办法对每个第三方机构进行独立评分，再计算平均分值，按照每个第三方机构最终平均得分由高到低顺序排列。得分相同的，按比选报价由低到高顺序排列。若出现得分且比选报价相同并列第一的情况，采用记名投票表决，得票多者，排名靠前。</w:t>
      </w:r>
    </w:p>
    <w:p w14:paraId="7B64DD7D">
      <w:pPr>
        <w:pStyle w:val="2"/>
        <w:adjustRightInd w:val="0"/>
        <w:snapToGrid w:val="0"/>
        <w:spacing w:line="360" w:lineRule="auto"/>
        <w:ind w:firstLine="600" w:firstLineChars="200"/>
        <w:textAlignment w:val="center"/>
        <w:outlineLvl w:val="2"/>
        <w:rPr>
          <w:rFonts w:ascii="楷体" w:hAnsi="楷体" w:eastAsia="楷体" w:cs="楷体"/>
          <w:bCs/>
          <w:sz w:val="30"/>
          <w:szCs w:val="30"/>
          <w:highlight w:val="none"/>
        </w:rPr>
      </w:pPr>
      <w:r>
        <w:rPr>
          <w:rFonts w:hint="eastAsia" w:ascii="楷体" w:hAnsi="楷体" w:eastAsia="楷体" w:cs="楷体"/>
          <w:bCs/>
          <w:sz w:val="30"/>
          <w:szCs w:val="30"/>
          <w:highlight w:val="none"/>
        </w:rPr>
        <w:t>（四）评分细则</w:t>
      </w:r>
    </w:p>
    <w:p w14:paraId="4DEE4489">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本项目评分细则说明如下：</w:t>
      </w:r>
    </w:p>
    <w:p w14:paraId="049AAB2D">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1、评审价格分按照以下方式进行计算（比选文件规定执行国家统一定价标准和采用固定价格采购的项目除外）：</w:t>
      </w:r>
    </w:p>
    <w:p w14:paraId="7C9C97E6">
      <w:pPr>
        <w:adjustRightInd w:val="0"/>
        <w:snapToGrid w:val="0"/>
        <w:spacing w:line="360" w:lineRule="auto"/>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（1）价格评分：评选报价分＝（评选基准价/评选报价）×价格权值×100</w:t>
      </w:r>
    </w:p>
    <w:p w14:paraId="141BF460">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（2）评选基准价：是经符合性审查合格（技术、商务基本符合要求，无重大缺、漏项）满足比选文件要求且比选价格最低的报价。</w:t>
      </w:r>
    </w:p>
    <w:p w14:paraId="5D7F4CCC">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2、比选文件评分因素及分值设置等详见《评分细则》。</w:t>
      </w:r>
    </w:p>
    <w:p w14:paraId="56187DA4">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3、分值说明：</w:t>
      </w:r>
    </w:p>
    <w:p w14:paraId="2125E838">
      <w:pPr>
        <w:adjustRightInd w:val="0"/>
        <w:snapToGrid w:val="0"/>
        <w:spacing w:line="36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价格分分值精确到小数点后二位，第三位数四舍五入；其他各分项分值最小单位为“0.1”分；平均得分保留到小数点后二位，第三位数四舍五入。</w:t>
      </w:r>
    </w:p>
    <w:p w14:paraId="29CBB1CB">
      <w:pPr>
        <w:rPr>
          <w:rFonts w:hint="eastAsia" w:ascii="仿宋_GB2312" w:hAnsi="仿宋_GB2312" w:eastAsia="仿宋_GB2312" w:cs="仿宋_GB2312"/>
          <w:sz w:val="30"/>
          <w:szCs w:val="30"/>
          <w:highlight w:val="none"/>
        </w:rPr>
      </w:pPr>
    </w:p>
    <w:p w14:paraId="553CB107">
      <w:pPr>
        <w:spacing w:line="400" w:lineRule="exact"/>
        <w:jc w:val="center"/>
        <w:outlineLvl w:val="1"/>
        <w:rPr>
          <w:rFonts w:ascii="黑体" w:hAnsi="黑体" w:eastAsia="黑体" w:cs="黑体"/>
          <w:bCs/>
          <w:sz w:val="32"/>
          <w:szCs w:val="32"/>
          <w:highlight w:val="none"/>
        </w:rPr>
      </w:pPr>
      <w:r>
        <w:rPr>
          <w:rFonts w:hint="eastAsia" w:ascii="黑体" w:hAnsi="黑体" w:eastAsia="黑体" w:cs="黑体"/>
          <w:bCs/>
          <w:sz w:val="32"/>
          <w:szCs w:val="32"/>
          <w:highlight w:val="none"/>
        </w:rPr>
        <w:t>评分细则</w:t>
      </w:r>
    </w:p>
    <w:tbl>
      <w:tblPr>
        <w:tblStyle w:val="8"/>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6840"/>
      </w:tblGrid>
      <w:tr w14:paraId="3ACC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68" w:type="dxa"/>
            <w:vAlign w:val="center"/>
          </w:tcPr>
          <w:p w14:paraId="63290463">
            <w:pPr>
              <w:spacing w:line="300" w:lineRule="exact"/>
              <w:ind w:left="-107" w:leftChars="-51"/>
              <w:jc w:val="center"/>
              <w:rPr>
                <w:rFonts w:ascii="宋体" w:hAnsi="宋体"/>
                <w:b/>
                <w:bCs/>
                <w:spacing w:val="20"/>
                <w:szCs w:val="21"/>
                <w:highlight w:val="none"/>
              </w:rPr>
            </w:pPr>
            <w:r>
              <w:rPr>
                <w:rFonts w:hint="eastAsia" w:ascii="宋体" w:hAnsi="宋体"/>
                <w:b/>
                <w:bCs/>
                <w:spacing w:val="20"/>
                <w:szCs w:val="21"/>
                <w:highlight w:val="none"/>
              </w:rPr>
              <w:t>评分内容</w:t>
            </w:r>
          </w:p>
        </w:tc>
        <w:tc>
          <w:tcPr>
            <w:tcW w:w="1260" w:type="dxa"/>
            <w:vAlign w:val="center"/>
          </w:tcPr>
          <w:p w14:paraId="61C41EE7">
            <w:pPr>
              <w:spacing w:line="300" w:lineRule="exact"/>
              <w:ind w:left="-107" w:leftChars="-51" w:firstLine="118" w:firstLineChars="47"/>
              <w:jc w:val="center"/>
              <w:rPr>
                <w:rFonts w:ascii="宋体" w:hAnsi="宋体"/>
                <w:b/>
                <w:bCs/>
                <w:spacing w:val="20"/>
                <w:szCs w:val="21"/>
                <w:highlight w:val="none"/>
              </w:rPr>
            </w:pPr>
            <w:r>
              <w:rPr>
                <w:rFonts w:hint="eastAsia" w:ascii="宋体" w:hAnsi="宋体"/>
                <w:b/>
                <w:bCs/>
                <w:spacing w:val="20"/>
                <w:szCs w:val="21"/>
                <w:highlight w:val="none"/>
              </w:rPr>
              <w:t>基础分</w:t>
            </w:r>
          </w:p>
        </w:tc>
        <w:tc>
          <w:tcPr>
            <w:tcW w:w="6840" w:type="dxa"/>
            <w:vAlign w:val="center"/>
          </w:tcPr>
          <w:p w14:paraId="650B2078">
            <w:pPr>
              <w:spacing w:line="300" w:lineRule="exact"/>
              <w:ind w:left="-107" w:leftChars="-51"/>
              <w:jc w:val="center"/>
              <w:rPr>
                <w:rFonts w:ascii="宋体" w:hAnsi="宋体"/>
                <w:b/>
                <w:bCs/>
                <w:spacing w:val="20"/>
                <w:szCs w:val="21"/>
                <w:highlight w:val="none"/>
              </w:rPr>
            </w:pPr>
            <w:r>
              <w:rPr>
                <w:rFonts w:hint="eastAsia" w:ascii="宋体" w:hAnsi="宋体"/>
                <w:b/>
                <w:bCs/>
                <w:spacing w:val="20"/>
                <w:szCs w:val="21"/>
                <w:highlight w:val="none"/>
              </w:rPr>
              <w:t>评分标准</w:t>
            </w:r>
          </w:p>
        </w:tc>
      </w:tr>
      <w:tr w14:paraId="3964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68" w:type="dxa"/>
            <w:vAlign w:val="center"/>
          </w:tcPr>
          <w:p w14:paraId="2C20BE3B">
            <w:pPr>
              <w:keepNext w:val="0"/>
              <w:keepLines w:val="0"/>
              <w:pageBreakBefore w:val="0"/>
              <w:widowControl w:val="0"/>
              <w:kinsoku/>
              <w:wordWrap/>
              <w:overflowPunct/>
              <w:topLinePunct w:val="0"/>
              <w:autoSpaceDE/>
              <w:autoSpaceDN/>
              <w:bidi w:val="0"/>
              <w:spacing w:line="300" w:lineRule="auto"/>
              <w:ind w:left="-107" w:leftChars="-51" w:right="-107" w:rightChars="-51"/>
              <w:jc w:val="center"/>
              <w:textAlignment w:val="auto"/>
              <w:rPr>
                <w:rFonts w:ascii="宋体" w:hAnsi="宋体"/>
                <w:bCs/>
                <w:szCs w:val="21"/>
                <w:highlight w:val="none"/>
              </w:rPr>
            </w:pPr>
            <w:r>
              <w:rPr>
                <w:rFonts w:hint="eastAsia" w:ascii="宋体" w:hAnsi="宋体"/>
                <w:bCs/>
                <w:szCs w:val="21"/>
                <w:highlight w:val="none"/>
              </w:rPr>
              <w:t>价格</w:t>
            </w:r>
          </w:p>
        </w:tc>
        <w:tc>
          <w:tcPr>
            <w:tcW w:w="1260" w:type="dxa"/>
            <w:vAlign w:val="center"/>
          </w:tcPr>
          <w:p w14:paraId="0AA05D7C">
            <w:pPr>
              <w:keepNext w:val="0"/>
              <w:keepLines w:val="0"/>
              <w:pageBreakBefore w:val="0"/>
              <w:widowControl w:val="0"/>
              <w:kinsoku/>
              <w:wordWrap/>
              <w:overflowPunct/>
              <w:topLinePunct w:val="0"/>
              <w:autoSpaceDE/>
              <w:autoSpaceDN/>
              <w:bidi w:val="0"/>
              <w:spacing w:line="300" w:lineRule="auto"/>
              <w:ind w:left="-107" w:leftChars="-51"/>
              <w:jc w:val="center"/>
              <w:textAlignment w:val="auto"/>
              <w:rPr>
                <w:rFonts w:ascii="宋体" w:hAnsi="宋体"/>
                <w:bCs/>
                <w:spacing w:val="20"/>
                <w:szCs w:val="21"/>
                <w:highlight w:val="none"/>
              </w:rPr>
            </w:pPr>
            <w:r>
              <w:rPr>
                <w:rFonts w:hint="eastAsia" w:ascii="宋体" w:hAnsi="宋体"/>
                <w:bCs/>
                <w:spacing w:val="20"/>
                <w:szCs w:val="21"/>
                <w:highlight w:val="none"/>
              </w:rPr>
              <w:t>20</w:t>
            </w:r>
          </w:p>
        </w:tc>
        <w:tc>
          <w:tcPr>
            <w:tcW w:w="6840" w:type="dxa"/>
            <w:vAlign w:val="center"/>
          </w:tcPr>
          <w:p w14:paraId="138FDE0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szCs w:val="21"/>
                <w:highlight w:val="none"/>
                <w:lang w:val="en-US" w:eastAsia="zh-CN"/>
              </w:rPr>
            </w:pPr>
            <w:r>
              <w:rPr>
                <w:rFonts w:hint="eastAsia" w:ascii="宋体" w:hAnsi="宋体"/>
                <w:szCs w:val="21"/>
                <w:highlight w:val="none"/>
              </w:rPr>
              <w:t>通过资格审查的所有比选申请人的最低价为基准价，供应商报价得分=(基准价／供应商报价)×20</w:t>
            </w:r>
            <w:r>
              <w:rPr>
                <w:rFonts w:hint="eastAsia" w:ascii="宋体" w:hAnsi="宋体"/>
                <w:szCs w:val="21"/>
                <w:highlight w:val="none"/>
                <w:lang w:val="en-US" w:eastAsia="zh-CN"/>
              </w:rPr>
              <w:t>%</w:t>
            </w:r>
            <w:r>
              <w:rPr>
                <w:rFonts w:hint="eastAsia" w:ascii="宋体" w:hAnsi="宋体"/>
                <w:szCs w:val="21"/>
                <w:highlight w:val="none"/>
              </w:rPr>
              <w:t>×100</w:t>
            </w:r>
          </w:p>
        </w:tc>
      </w:tr>
      <w:tr w14:paraId="3DBC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368" w:type="dxa"/>
            <w:vAlign w:val="center"/>
          </w:tcPr>
          <w:p w14:paraId="33F9419B">
            <w:pPr>
              <w:keepNext w:val="0"/>
              <w:keepLines w:val="0"/>
              <w:pageBreakBefore w:val="0"/>
              <w:widowControl w:val="0"/>
              <w:kinsoku/>
              <w:wordWrap/>
              <w:overflowPunct/>
              <w:topLinePunct w:val="0"/>
              <w:autoSpaceDE/>
              <w:autoSpaceDN/>
              <w:bidi w:val="0"/>
              <w:spacing w:line="300" w:lineRule="auto"/>
              <w:ind w:left="-107" w:leftChars="-51" w:right="-107" w:rightChars="-51"/>
              <w:jc w:val="center"/>
              <w:textAlignment w:val="auto"/>
              <w:rPr>
                <w:rFonts w:ascii="宋体" w:hAnsi="宋体"/>
                <w:bCs/>
                <w:szCs w:val="21"/>
                <w:highlight w:val="none"/>
              </w:rPr>
            </w:pPr>
            <w:r>
              <w:rPr>
                <w:rFonts w:hint="eastAsia" w:ascii="宋体" w:hAnsi="宋体"/>
                <w:bCs/>
                <w:szCs w:val="21"/>
                <w:highlight w:val="none"/>
              </w:rPr>
              <w:t>实施方案</w:t>
            </w:r>
          </w:p>
        </w:tc>
        <w:tc>
          <w:tcPr>
            <w:tcW w:w="1260" w:type="dxa"/>
            <w:vAlign w:val="center"/>
          </w:tcPr>
          <w:p w14:paraId="4D7D79C0">
            <w:pPr>
              <w:keepNext w:val="0"/>
              <w:keepLines w:val="0"/>
              <w:pageBreakBefore w:val="0"/>
              <w:widowControl w:val="0"/>
              <w:kinsoku/>
              <w:wordWrap/>
              <w:overflowPunct/>
              <w:topLinePunct w:val="0"/>
              <w:autoSpaceDE/>
              <w:autoSpaceDN/>
              <w:bidi w:val="0"/>
              <w:spacing w:line="300" w:lineRule="auto"/>
              <w:ind w:left="-107" w:leftChars="-51"/>
              <w:jc w:val="center"/>
              <w:textAlignment w:val="auto"/>
              <w:rPr>
                <w:rFonts w:hint="eastAsia" w:ascii="宋体" w:hAnsi="宋体" w:eastAsia="宋体"/>
                <w:bCs/>
                <w:spacing w:val="20"/>
                <w:szCs w:val="21"/>
                <w:highlight w:val="none"/>
                <w:lang w:eastAsia="zh-CN"/>
              </w:rPr>
            </w:pPr>
            <w:r>
              <w:rPr>
                <w:rFonts w:hint="eastAsia" w:ascii="宋体" w:hAnsi="宋体"/>
                <w:bCs/>
                <w:spacing w:val="20"/>
                <w:szCs w:val="21"/>
                <w:highlight w:val="none"/>
              </w:rPr>
              <w:t>4</w:t>
            </w:r>
            <w:r>
              <w:rPr>
                <w:rFonts w:hint="eastAsia" w:ascii="宋体" w:hAnsi="宋体"/>
                <w:bCs/>
                <w:spacing w:val="20"/>
                <w:szCs w:val="21"/>
                <w:highlight w:val="none"/>
                <w:lang w:val="en-US" w:eastAsia="zh-CN"/>
              </w:rPr>
              <w:t>5</w:t>
            </w:r>
          </w:p>
        </w:tc>
        <w:tc>
          <w:tcPr>
            <w:tcW w:w="6840" w:type="dxa"/>
            <w:vAlign w:val="center"/>
          </w:tcPr>
          <w:p w14:paraId="5F78BAE5">
            <w:pPr>
              <w:keepNext w:val="0"/>
              <w:keepLines w:val="0"/>
              <w:pageBreakBefore w:val="0"/>
              <w:widowControl w:val="0"/>
              <w:tabs>
                <w:tab w:val="left" w:pos="4600"/>
              </w:tabs>
              <w:kinsoku/>
              <w:wordWrap/>
              <w:overflowPunct/>
              <w:topLinePunct w:val="0"/>
              <w:autoSpaceDE/>
              <w:autoSpaceDN/>
              <w:bidi w:val="0"/>
              <w:adjustRightInd w:val="0"/>
              <w:snapToGrid w:val="0"/>
              <w:spacing w:line="300" w:lineRule="auto"/>
              <w:ind w:left="55" w:leftChars="26"/>
              <w:textAlignment w:val="auto"/>
              <w:rPr>
                <w:rFonts w:ascii="宋体" w:hAnsi="宋体"/>
                <w:szCs w:val="21"/>
                <w:highlight w:val="none"/>
              </w:rPr>
            </w:pPr>
            <w:r>
              <w:rPr>
                <w:rFonts w:hint="eastAsia" w:ascii="宋体" w:hAnsi="宋体"/>
                <w:szCs w:val="21"/>
                <w:highlight w:val="none"/>
              </w:rPr>
              <w:t>服务方案：包括项目概况、项目现状分析、服务完成后预期成效、工作程序（流程）、文件归档措施等。</w:t>
            </w:r>
          </w:p>
          <w:p w14:paraId="25E379CE">
            <w:pPr>
              <w:keepNext w:val="0"/>
              <w:keepLines w:val="0"/>
              <w:pageBreakBefore w:val="0"/>
              <w:widowControl w:val="0"/>
              <w:kinsoku/>
              <w:wordWrap/>
              <w:overflowPunct/>
              <w:topLinePunct w:val="0"/>
              <w:autoSpaceDE/>
              <w:autoSpaceDN/>
              <w:bidi w:val="0"/>
              <w:adjustRightInd w:val="0"/>
              <w:snapToGrid w:val="0"/>
              <w:spacing w:before="78" w:beforeLines="25" w:after="78" w:afterLines="25" w:line="300" w:lineRule="auto"/>
              <w:textAlignment w:val="auto"/>
              <w:rPr>
                <w:rFonts w:ascii="宋体" w:hAnsi="宋体"/>
                <w:szCs w:val="21"/>
                <w:highlight w:val="none"/>
              </w:rPr>
            </w:pPr>
            <w:r>
              <w:rPr>
                <w:rFonts w:hint="eastAsia" w:ascii="宋体" w:hAnsi="宋体"/>
                <w:szCs w:val="21"/>
                <w:highlight w:val="none"/>
              </w:rPr>
              <w:t>包括比选方案是否充分考虑用户的工作实效性和其他需求等。</w:t>
            </w:r>
          </w:p>
          <w:p w14:paraId="1D17E4A3">
            <w:pPr>
              <w:keepNext w:val="0"/>
              <w:keepLines w:val="0"/>
              <w:pageBreakBefore w:val="0"/>
              <w:widowControl w:val="0"/>
              <w:tabs>
                <w:tab w:val="left" w:pos="4600"/>
              </w:tabs>
              <w:kinsoku/>
              <w:wordWrap/>
              <w:overflowPunct/>
              <w:topLinePunct w:val="0"/>
              <w:autoSpaceDE/>
              <w:autoSpaceDN/>
              <w:bidi w:val="0"/>
              <w:adjustRightInd w:val="0"/>
              <w:snapToGrid w:val="0"/>
              <w:spacing w:line="300" w:lineRule="auto"/>
              <w:ind w:left="-51" w:firstLine="115" w:firstLineChars="55"/>
              <w:textAlignment w:val="auto"/>
              <w:rPr>
                <w:rFonts w:ascii="宋体" w:hAnsi="宋体"/>
                <w:szCs w:val="21"/>
                <w:highlight w:val="none"/>
              </w:rPr>
            </w:pPr>
            <w:r>
              <w:rPr>
                <w:rFonts w:hint="eastAsia" w:ascii="宋体" w:hAnsi="宋体"/>
                <w:szCs w:val="21"/>
                <w:highlight w:val="none"/>
              </w:rPr>
              <w:t>方案优：3</w:t>
            </w:r>
            <w:r>
              <w:rPr>
                <w:rFonts w:hint="eastAsia" w:ascii="宋体" w:hAnsi="宋体"/>
                <w:szCs w:val="21"/>
                <w:highlight w:val="none"/>
                <w:lang w:val="en-US" w:eastAsia="zh-CN"/>
              </w:rPr>
              <w:t>0</w:t>
            </w:r>
            <w:r>
              <w:rPr>
                <w:rFonts w:hint="eastAsia" w:ascii="宋体" w:hAnsi="宋体"/>
                <w:szCs w:val="21"/>
                <w:highlight w:val="none"/>
              </w:rPr>
              <w:t>-4</w:t>
            </w:r>
            <w:r>
              <w:rPr>
                <w:rFonts w:hint="eastAsia" w:ascii="宋体" w:hAnsi="宋体"/>
                <w:szCs w:val="21"/>
                <w:highlight w:val="none"/>
                <w:lang w:val="en-US" w:eastAsia="zh-CN"/>
              </w:rPr>
              <w:t>5</w:t>
            </w:r>
            <w:r>
              <w:rPr>
                <w:rFonts w:hint="eastAsia" w:ascii="宋体" w:hAnsi="宋体"/>
                <w:szCs w:val="21"/>
                <w:highlight w:val="none"/>
              </w:rPr>
              <w:t>分；方案较好：1</w:t>
            </w:r>
            <w:r>
              <w:rPr>
                <w:rFonts w:hint="eastAsia" w:ascii="宋体" w:hAnsi="宋体"/>
                <w:szCs w:val="21"/>
                <w:highlight w:val="none"/>
                <w:lang w:val="en-US" w:eastAsia="zh-CN"/>
              </w:rPr>
              <w:t>5</w:t>
            </w:r>
            <w:r>
              <w:rPr>
                <w:rFonts w:hint="eastAsia" w:ascii="宋体" w:hAnsi="宋体"/>
                <w:szCs w:val="21"/>
                <w:highlight w:val="none"/>
              </w:rPr>
              <w:t>-30分；方案一般：0-15分；</w:t>
            </w:r>
          </w:p>
        </w:tc>
      </w:tr>
      <w:tr w14:paraId="1491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368" w:type="dxa"/>
            <w:vAlign w:val="center"/>
          </w:tcPr>
          <w:p w14:paraId="583D3732">
            <w:pPr>
              <w:keepNext w:val="0"/>
              <w:keepLines w:val="0"/>
              <w:pageBreakBefore w:val="0"/>
              <w:widowControl w:val="0"/>
              <w:kinsoku/>
              <w:wordWrap/>
              <w:overflowPunct/>
              <w:topLinePunct w:val="0"/>
              <w:autoSpaceDE/>
              <w:autoSpaceDN/>
              <w:bidi w:val="0"/>
              <w:spacing w:line="300" w:lineRule="auto"/>
              <w:ind w:left="-107" w:leftChars="-51" w:right="-107" w:rightChars="-51"/>
              <w:jc w:val="center"/>
              <w:textAlignment w:val="auto"/>
              <w:rPr>
                <w:rFonts w:ascii="宋体" w:hAnsi="宋体"/>
                <w:bCs/>
                <w:szCs w:val="21"/>
                <w:highlight w:val="none"/>
              </w:rPr>
            </w:pPr>
            <w:r>
              <w:rPr>
                <w:rFonts w:hint="eastAsia" w:ascii="宋体" w:hAnsi="宋体"/>
                <w:bCs/>
                <w:szCs w:val="21"/>
                <w:highlight w:val="none"/>
              </w:rPr>
              <w:t>人员配备</w:t>
            </w:r>
          </w:p>
        </w:tc>
        <w:tc>
          <w:tcPr>
            <w:tcW w:w="1260" w:type="dxa"/>
            <w:vAlign w:val="center"/>
          </w:tcPr>
          <w:p w14:paraId="11CAD605">
            <w:pPr>
              <w:keepNext w:val="0"/>
              <w:keepLines w:val="0"/>
              <w:pageBreakBefore w:val="0"/>
              <w:widowControl w:val="0"/>
              <w:kinsoku/>
              <w:wordWrap/>
              <w:overflowPunct/>
              <w:topLinePunct w:val="0"/>
              <w:autoSpaceDE/>
              <w:autoSpaceDN/>
              <w:bidi w:val="0"/>
              <w:spacing w:line="300" w:lineRule="auto"/>
              <w:ind w:left="-107" w:leftChars="-51"/>
              <w:jc w:val="center"/>
              <w:textAlignment w:val="auto"/>
              <w:rPr>
                <w:rFonts w:ascii="宋体" w:hAnsi="宋体"/>
                <w:bCs/>
                <w:spacing w:val="20"/>
                <w:szCs w:val="21"/>
                <w:highlight w:val="none"/>
              </w:rPr>
            </w:pPr>
            <w:r>
              <w:rPr>
                <w:rFonts w:hint="eastAsia" w:ascii="宋体" w:hAnsi="宋体"/>
                <w:bCs/>
                <w:spacing w:val="20"/>
                <w:szCs w:val="21"/>
                <w:highlight w:val="none"/>
              </w:rPr>
              <w:t>10</w:t>
            </w:r>
          </w:p>
        </w:tc>
        <w:tc>
          <w:tcPr>
            <w:tcW w:w="6840" w:type="dxa"/>
            <w:vAlign w:val="center"/>
          </w:tcPr>
          <w:p w14:paraId="2B4FD245">
            <w:pPr>
              <w:keepNext w:val="0"/>
              <w:keepLines w:val="0"/>
              <w:pageBreakBefore w:val="0"/>
              <w:widowControl w:val="0"/>
              <w:tabs>
                <w:tab w:val="left" w:pos="4600"/>
              </w:tabs>
              <w:kinsoku/>
              <w:wordWrap/>
              <w:overflowPunct/>
              <w:topLinePunct w:val="0"/>
              <w:autoSpaceDE/>
              <w:autoSpaceDN/>
              <w:bidi w:val="0"/>
              <w:adjustRightInd w:val="0"/>
              <w:snapToGrid w:val="0"/>
              <w:spacing w:line="300" w:lineRule="auto"/>
              <w:ind w:left="55" w:leftChars="26"/>
              <w:textAlignment w:val="auto"/>
              <w:rPr>
                <w:rFonts w:ascii="宋体" w:hAnsi="宋体"/>
                <w:szCs w:val="21"/>
                <w:highlight w:val="none"/>
              </w:rPr>
            </w:pPr>
            <w:r>
              <w:rPr>
                <w:rFonts w:hint="eastAsia" w:ascii="宋体" w:hAnsi="宋体"/>
                <w:szCs w:val="21"/>
                <w:highlight w:val="none"/>
              </w:rPr>
              <w:t>人员情况：包括人员构成、资格证书、主要类似项目经历，项目组成员主要工作职责。</w:t>
            </w:r>
          </w:p>
          <w:p w14:paraId="7F7CE543">
            <w:pPr>
              <w:keepNext w:val="0"/>
              <w:keepLines w:val="0"/>
              <w:pageBreakBefore w:val="0"/>
              <w:widowControl w:val="0"/>
              <w:tabs>
                <w:tab w:val="left" w:pos="4600"/>
              </w:tabs>
              <w:kinsoku/>
              <w:wordWrap/>
              <w:overflowPunct/>
              <w:topLinePunct w:val="0"/>
              <w:autoSpaceDE/>
              <w:autoSpaceDN/>
              <w:bidi w:val="0"/>
              <w:adjustRightInd w:val="0"/>
              <w:snapToGrid w:val="0"/>
              <w:spacing w:line="300" w:lineRule="auto"/>
              <w:ind w:left="55" w:leftChars="26"/>
              <w:textAlignment w:val="auto"/>
              <w:rPr>
                <w:rFonts w:ascii="宋体" w:hAnsi="宋体"/>
                <w:bCs/>
                <w:szCs w:val="21"/>
                <w:highlight w:val="none"/>
              </w:rPr>
            </w:pPr>
            <w:r>
              <w:rPr>
                <w:rFonts w:hint="eastAsia" w:ascii="宋体" w:hAnsi="宋体"/>
                <w:bCs/>
                <w:szCs w:val="21"/>
                <w:highlight w:val="none"/>
              </w:rPr>
              <w:t>较好8-10分；一般6-7分；较差0-5分。</w:t>
            </w:r>
          </w:p>
        </w:tc>
      </w:tr>
      <w:tr w14:paraId="6142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368" w:type="dxa"/>
            <w:vAlign w:val="center"/>
          </w:tcPr>
          <w:p w14:paraId="1C813225">
            <w:pPr>
              <w:keepNext w:val="0"/>
              <w:keepLines w:val="0"/>
              <w:pageBreakBefore w:val="0"/>
              <w:widowControl w:val="0"/>
              <w:kinsoku/>
              <w:wordWrap/>
              <w:overflowPunct/>
              <w:topLinePunct w:val="0"/>
              <w:autoSpaceDE/>
              <w:autoSpaceDN/>
              <w:bidi w:val="0"/>
              <w:spacing w:line="300" w:lineRule="auto"/>
              <w:ind w:left="-107" w:leftChars="-51" w:right="-107" w:rightChars="-51"/>
              <w:jc w:val="center"/>
              <w:textAlignment w:val="auto"/>
              <w:rPr>
                <w:rFonts w:ascii="宋体" w:hAnsi="宋体"/>
                <w:bCs/>
                <w:spacing w:val="-4"/>
                <w:szCs w:val="21"/>
                <w:highlight w:val="none"/>
              </w:rPr>
            </w:pPr>
            <w:r>
              <w:rPr>
                <w:rFonts w:hint="eastAsia" w:ascii="宋体" w:hAnsi="宋体"/>
                <w:bCs/>
                <w:spacing w:val="-4"/>
                <w:szCs w:val="21"/>
                <w:highlight w:val="none"/>
              </w:rPr>
              <w:t>组织机构和内部管理制度</w:t>
            </w:r>
          </w:p>
        </w:tc>
        <w:tc>
          <w:tcPr>
            <w:tcW w:w="1260" w:type="dxa"/>
            <w:vAlign w:val="center"/>
          </w:tcPr>
          <w:p w14:paraId="6CCFA0D9">
            <w:pPr>
              <w:keepNext w:val="0"/>
              <w:keepLines w:val="0"/>
              <w:pageBreakBefore w:val="0"/>
              <w:widowControl w:val="0"/>
              <w:kinsoku/>
              <w:wordWrap/>
              <w:overflowPunct/>
              <w:topLinePunct w:val="0"/>
              <w:autoSpaceDE/>
              <w:autoSpaceDN/>
              <w:bidi w:val="0"/>
              <w:spacing w:line="300" w:lineRule="auto"/>
              <w:ind w:left="-107" w:leftChars="-51"/>
              <w:jc w:val="center"/>
              <w:textAlignment w:val="auto"/>
              <w:rPr>
                <w:rFonts w:ascii="宋体" w:hAnsi="宋体"/>
                <w:bCs/>
                <w:spacing w:val="20"/>
                <w:szCs w:val="21"/>
                <w:highlight w:val="none"/>
              </w:rPr>
            </w:pPr>
            <w:r>
              <w:rPr>
                <w:rFonts w:hint="eastAsia" w:ascii="宋体" w:hAnsi="宋体"/>
                <w:bCs/>
                <w:spacing w:val="20"/>
                <w:szCs w:val="21"/>
                <w:highlight w:val="none"/>
              </w:rPr>
              <w:t>10</w:t>
            </w:r>
          </w:p>
        </w:tc>
        <w:tc>
          <w:tcPr>
            <w:tcW w:w="6840" w:type="dxa"/>
            <w:vAlign w:val="center"/>
          </w:tcPr>
          <w:p w14:paraId="6555A39C">
            <w:pPr>
              <w:keepNext w:val="0"/>
              <w:keepLines w:val="0"/>
              <w:pageBreakBefore w:val="0"/>
              <w:widowControl w:val="0"/>
              <w:kinsoku/>
              <w:wordWrap/>
              <w:overflowPunct/>
              <w:topLinePunct w:val="0"/>
              <w:autoSpaceDE/>
              <w:autoSpaceDN/>
              <w:bidi w:val="0"/>
              <w:adjustRightInd w:val="0"/>
              <w:snapToGrid w:val="0"/>
              <w:spacing w:before="78" w:beforeLines="25" w:after="78" w:afterLines="25" w:line="300" w:lineRule="auto"/>
              <w:textAlignment w:val="auto"/>
              <w:rPr>
                <w:rFonts w:ascii="宋体" w:hAnsi="宋体"/>
                <w:szCs w:val="21"/>
                <w:highlight w:val="none"/>
              </w:rPr>
            </w:pPr>
            <w:r>
              <w:rPr>
                <w:rFonts w:hint="eastAsia" w:ascii="宋体" w:hAnsi="宋体"/>
                <w:szCs w:val="21"/>
                <w:highlight w:val="none"/>
              </w:rPr>
              <w:t>1、项目管理机构及其运作方法与流程</w:t>
            </w:r>
          </w:p>
          <w:p w14:paraId="4ECD84E8">
            <w:pPr>
              <w:keepNext w:val="0"/>
              <w:keepLines w:val="0"/>
              <w:pageBreakBefore w:val="0"/>
              <w:widowControl w:val="0"/>
              <w:kinsoku/>
              <w:wordWrap/>
              <w:overflowPunct/>
              <w:topLinePunct w:val="0"/>
              <w:autoSpaceDE/>
              <w:autoSpaceDN/>
              <w:bidi w:val="0"/>
              <w:adjustRightInd w:val="0"/>
              <w:snapToGrid w:val="0"/>
              <w:spacing w:before="78" w:beforeLines="25" w:after="78" w:afterLines="25" w:line="300" w:lineRule="auto"/>
              <w:textAlignment w:val="auto"/>
              <w:rPr>
                <w:rFonts w:ascii="宋体" w:hAnsi="宋体"/>
                <w:szCs w:val="21"/>
                <w:highlight w:val="none"/>
              </w:rPr>
            </w:pPr>
            <w:r>
              <w:rPr>
                <w:rFonts w:hint="eastAsia" w:ascii="宋体" w:hAnsi="宋体"/>
                <w:szCs w:val="21"/>
                <w:highlight w:val="none"/>
              </w:rPr>
              <w:t>2、各项管理制度</w:t>
            </w:r>
          </w:p>
          <w:p w14:paraId="07CB2298">
            <w:pPr>
              <w:keepNext w:val="0"/>
              <w:keepLines w:val="0"/>
              <w:pageBreakBefore w:val="0"/>
              <w:widowControl w:val="0"/>
              <w:tabs>
                <w:tab w:val="left" w:pos="4600"/>
              </w:tabs>
              <w:kinsoku/>
              <w:wordWrap/>
              <w:overflowPunct/>
              <w:topLinePunct w:val="0"/>
              <w:autoSpaceDE/>
              <w:autoSpaceDN/>
              <w:bidi w:val="0"/>
              <w:adjustRightInd w:val="0"/>
              <w:snapToGrid w:val="0"/>
              <w:spacing w:line="300" w:lineRule="auto"/>
              <w:ind w:left="-50" w:leftChars="-24" w:firstLine="105" w:firstLineChars="50"/>
              <w:textAlignment w:val="auto"/>
              <w:rPr>
                <w:rFonts w:ascii="宋体" w:hAnsi="宋体"/>
                <w:szCs w:val="21"/>
                <w:highlight w:val="none"/>
              </w:rPr>
            </w:pPr>
            <w:r>
              <w:rPr>
                <w:rFonts w:hint="eastAsia" w:ascii="宋体" w:hAnsi="宋体"/>
                <w:bCs/>
                <w:szCs w:val="21"/>
                <w:highlight w:val="none"/>
              </w:rPr>
              <w:t>较好7-10分；一般4-6分；较差0-3分。</w:t>
            </w:r>
          </w:p>
        </w:tc>
      </w:tr>
      <w:tr w14:paraId="5CB7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368" w:type="dxa"/>
            <w:vAlign w:val="center"/>
          </w:tcPr>
          <w:p w14:paraId="64F01BB7">
            <w:pPr>
              <w:keepNext w:val="0"/>
              <w:keepLines w:val="0"/>
              <w:pageBreakBefore w:val="0"/>
              <w:widowControl w:val="0"/>
              <w:kinsoku/>
              <w:wordWrap/>
              <w:overflowPunct/>
              <w:topLinePunct w:val="0"/>
              <w:autoSpaceDE/>
              <w:autoSpaceDN/>
              <w:bidi w:val="0"/>
              <w:spacing w:line="300" w:lineRule="auto"/>
              <w:ind w:left="-107" w:leftChars="-51" w:right="-107" w:rightChars="-51"/>
              <w:jc w:val="center"/>
              <w:textAlignment w:val="auto"/>
              <w:rPr>
                <w:rFonts w:hint="eastAsia" w:ascii="宋体" w:hAnsi="宋体"/>
                <w:bCs/>
                <w:szCs w:val="21"/>
                <w:highlight w:val="none"/>
              </w:rPr>
            </w:pPr>
            <w:r>
              <w:rPr>
                <w:rFonts w:hint="eastAsia" w:ascii="宋体" w:hAnsi="宋体"/>
                <w:bCs/>
                <w:szCs w:val="21"/>
                <w:highlight w:val="none"/>
              </w:rPr>
              <w:t>服务承诺、</w:t>
            </w:r>
          </w:p>
          <w:p w14:paraId="036765B1">
            <w:pPr>
              <w:keepNext w:val="0"/>
              <w:keepLines w:val="0"/>
              <w:pageBreakBefore w:val="0"/>
              <w:widowControl w:val="0"/>
              <w:kinsoku/>
              <w:wordWrap/>
              <w:overflowPunct/>
              <w:topLinePunct w:val="0"/>
              <w:autoSpaceDE/>
              <w:autoSpaceDN/>
              <w:bidi w:val="0"/>
              <w:spacing w:line="300" w:lineRule="auto"/>
              <w:ind w:left="-107" w:leftChars="-51" w:right="-107" w:rightChars="-51"/>
              <w:jc w:val="center"/>
              <w:textAlignment w:val="auto"/>
              <w:rPr>
                <w:rFonts w:ascii="宋体" w:hAnsi="宋体"/>
                <w:bCs/>
                <w:szCs w:val="21"/>
                <w:highlight w:val="none"/>
              </w:rPr>
            </w:pPr>
            <w:r>
              <w:rPr>
                <w:rFonts w:hint="eastAsia" w:ascii="宋体" w:hAnsi="宋体"/>
                <w:bCs/>
                <w:szCs w:val="21"/>
                <w:highlight w:val="none"/>
              </w:rPr>
              <w:t>奖惩措施</w:t>
            </w:r>
          </w:p>
        </w:tc>
        <w:tc>
          <w:tcPr>
            <w:tcW w:w="1260" w:type="dxa"/>
            <w:vAlign w:val="center"/>
          </w:tcPr>
          <w:p w14:paraId="0B9D2C50">
            <w:pPr>
              <w:keepNext w:val="0"/>
              <w:keepLines w:val="0"/>
              <w:pageBreakBefore w:val="0"/>
              <w:widowControl w:val="0"/>
              <w:kinsoku/>
              <w:wordWrap/>
              <w:overflowPunct/>
              <w:topLinePunct w:val="0"/>
              <w:autoSpaceDE/>
              <w:autoSpaceDN/>
              <w:bidi w:val="0"/>
              <w:spacing w:line="300" w:lineRule="auto"/>
              <w:ind w:left="-107" w:leftChars="-51"/>
              <w:jc w:val="center"/>
              <w:textAlignment w:val="auto"/>
              <w:rPr>
                <w:rFonts w:ascii="宋体" w:hAnsi="宋体"/>
                <w:bCs/>
                <w:spacing w:val="20"/>
                <w:szCs w:val="21"/>
                <w:highlight w:val="none"/>
              </w:rPr>
            </w:pPr>
            <w:r>
              <w:rPr>
                <w:rFonts w:hint="eastAsia" w:ascii="宋体" w:hAnsi="宋体"/>
                <w:bCs/>
                <w:spacing w:val="20"/>
                <w:szCs w:val="21"/>
                <w:highlight w:val="none"/>
              </w:rPr>
              <w:t>5</w:t>
            </w:r>
          </w:p>
        </w:tc>
        <w:tc>
          <w:tcPr>
            <w:tcW w:w="6840" w:type="dxa"/>
            <w:vAlign w:val="center"/>
          </w:tcPr>
          <w:p w14:paraId="2239488A">
            <w:pPr>
              <w:keepNext w:val="0"/>
              <w:keepLines w:val="0"/>
              <w:pageBreakBefore w:val="0"/>
              <w:widowControl w:val="0"/>
              <w:kinsoku/>
              <w:wordWrap/>
              <w:overflowPunct/>
              <w:topLinePunct w:val="0"/>
              <w:autoSpaceDE/>
              <w:autoSpaceDN/>
              <w:bidi w:val="0"/>
              <w:adjustRightInd w:val="0"/>
              <w:snapToGrid w:val="0"/>
              <w:spacing w:line="300" w:lineRule="auto"/>
              <w:ind w:left="64" w:leftChars="30" w:hanging="1"/>
              <w:textAlignment w:val="auto"/>
              <w:rPr>
                <w:rFonts w:ascii="宋体" w:hAnsi="宋体"/>
                <w:bCs/>
                <w:szCs w:val="21"/>
                <w:highlight w:val="none"/>
              </w:rPr>
            </w:pPr>
            <w:r>
              <w:rPr>
                <w:rFonts w:hint="eastAsia" w:ascii="宋体" w:hAnsi="宋体"/>
                <w:bCs/>
                <w:szCs w:val="21"/>
                <w:highlight w:val="none"/>
              </w:rPr>
              <w:t>服务承诺全面详尽，并有相应详细处罚保证措施等。</w:t>
            </w:r>
          </w:p>
          <w:p w14:paraId="71144004">
            <w:pPr>
              <w:keepNext w:val="0"/>
              <w:keepLines w:val="0"/>
              <w:pageBreakBefore w:val="0"/>
              <w:widowControl w:val="0"/>
              <w:kinsoku/>
              <w:wordWrap/>
              <w:overflowPunct/>
              <w:topLinePunct w:val="0"/>
              <w:autoSpaceDE/>
              <w:autoSpaceDN/>
              <w:bidi w:val="0"/>
              <w:adjustRightInd w:val="0"/>
              <w:snapToGrid w:val="0"/>
              <w:spacing w:line="300" w:lineRule="auto"/>
              <w:ind w:left="66" w:leftChars="31" w:hanging="1"/>
              <w:textAlignment w:val="auto"/>
              <w:rPr>
                <w:rFonts w:ascii="宋体" w:hAnsi="宋体"/>
                <w:bCs/>
                <w:szCs w:val="21"/>
                <w:highlight w:val="none"/>
              </w:rPr>
            </w:pPr>
            <w:r>
              <w:rPr>
                <w:rFonts w:hint="eastAsia" w:ascii="宋体" w:hAnsi="宋体"/>
                <w:bCs/>
                <w:szCs w:val="21"/>
                <w:highlight w:val="none"/>
              </w:rPr>
              <w:t>较好4-5分；一般3-4分；较差0-3分。</w:t>
            </w:r>
          </w:p>
        </w:tc>
      </w:tr>
      <w:tr w14:paraId="04D2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368" w:type="dxa"/>
            <w:vMerge w:val="restart"/>
            <w:vAlign w:val="center"/>
          </w:tcPr>
          <w:p w14:paraId="155938DF">
            <w:pPr>
              <w:keepNext w:val="0"/>
              <w:keepLines w:val="0"/>
              <w:pageBreakBefore w:val="0"/>
              <w:widowControl w:val="0"/>
              <w:kinsoku/>
              <w:wordWrap/>
              <w:overflowPunct/>
              <w:topLinePunct w:val="0"/>
              <w:autoSpaceDE/>
              <w:autoSpaceDN/>
              <w:bidi w:val="0"/>
              <w:spacing w:line="300" w:lineRule="auto"/>
              <w:ind w:left="-107" w:leftChars="-51" w:right="-107" w:rightChars="-51"/>
              <w:jc w:val="center"/>
              <w:textAlignment w:val="auto"/>
              <w:rPr>
                <w:rFonts w:ascii="宋体" w:hAnsi="宋体"/>
                <w:bCs/>
                <w:szCs w:val="21"/>
                <w:highlight w:val="none"/>
              </w:rPr>
            </w:pPr>
            <w:r>
              <w:rPr>
                <w:rFonts w:hint="eastAsia" w:ascii="宋体" w:hAnsi="宋体"/>
                <w:bCs/>
                <w:szCs w:val="21"/>
                <w:highlight w:val="none"/>
              </w:rPr>
              <w:t>综合能力</w:t>
            </w:r>
          </w:p>
        </w:tc>
        <w:tc>
          <w:tcPr>
            <w:tcW w:w="1260" w:type="dxa"/>
            <w:vAlign w:val="center"/>
          </w:tcPr>
          <w:p w14:paraId="213BA9BB">
            <w:pPr>
              <w:keepNext w:val="0"/>
              <w:keepLines w:val="0"/>
              <w:pageBreakBefore w:val="0"/>
              <w:widowControl w:val="0"/>
              <w:kinsoku/>
              <w:wordWrap/>
              <w:overflowPunct/>
              <w:topLinePunct w:val="0"/>
              <w:autoSpaceDE/>
              <w:autoSpaceDN/>
              <w:bidi w:val="0"/>
              <w:spacing w:line="300" w:lineRule="auto"/>
              <w:ind w:left="-107" w:leftChars="-51"/>
              <w:jc w:val="center"/>
              <w:textAlignment w:val="auto"/>
              <w:rPr>
                <w:rFonts w:ascii="宋体" w:hAnsi="宋体"/>
                <w:bCs/>
                <w:spacing w:val="20"/>
                <w:szCs w:val="21"/>
                <w:highlight w:val="none"/>
              </w:rPr>
            </w:pPr>
            <w:r>
              <w:rPr>
                <w:rFonts w:hint="eastAsia" w:ascii="宋体" w:hAnsi="宋体"/>
                <w:bCs/>
                <w:spacing w:val="20"/>
                <w:szCs w:val="21"/>
                <w:highlight w:val="none"/>
              </w:rPr>
              <w:t>2</w:t>
            </w:r>
          </w:p>
        </w:tc>
        <w:tc>
          <w:tcPr>
            <w:tcW w:w="6840" w:type="dxa"/>
            <w:vAlign w:val="center"/>
          </w:tcPr>
          <w:p w14:paraId="663080B3">
            <w:pPr>
              <w:keepNext w:val="0"/>
              <w:keepLines w:val="0"/>
              <w:pageBreakBefore w:val="0"/>
              <w:widowControl w:val="0"/>
              <w:tabs>
                <w:tab w:val="left" w:pos="4600"/>
              </w:tabs>
              <w:kinsoku/>
              <w:wordWrap/>
              <w:overflowPunct/>
              <w:topLinePunct w:val="0"/>
              <w:autoSpaceDE/>
              <w:autoSpaceDN/>
              <w:bidi w:val="0"/>
              <w:adjustRightInd w:val="0"/>
              <w:snapToGrid w:val="0"/>
              <w:spacing w:line="300" w:lineRule="auto"/>
              <w:ind w:left="55" w:leftChars="26"/>
              <w:textAlignment w:val="auto"/>
              <w:rPr>
                <w:rFonts w:hint="eastAsia" w:ascii="宋体" w:hAnsi="宋体"/>
                <w:szCs w:val="21"/>
                <w:highlight w:val="none"/>
              </w:rPr>
            </w:pPr>
            <w:r>
              <w:rPr>
                <w:rFonts w:hint="eastAsia" w:ascii="宋体" w:hAnsi="宋体"/>
                <w:szCs w:val="21"/>
                <w:highlight w:val="none"/>
              </w:rPr>
              <w:t>是否有固定且集中、独立的办公场所（提供租赁合同或房屋产权证复印件）；提供材料得1分；</w:t>
            </w:r>
          </w:p>
          <w:p w14:paraId="6ECFEA64">
            <w:pPr>
              <w:keepNext w:val="0"/>
              <w:keepLines w:val="0"/>
              <w:pageBreakBefore w:val="0"/>
              <w:widowControl w:val="0"/>
              <w:tabs>
                <w:tab w:val="left" w:pos="4600"/>
              </w:tabs>
              <w:kinsoku/>
              <w:wordWrap/>
              <w:overflowPunct/>
              <w:topLinePunct w:val="0"/>
              <w:autoSpaceDE/>
              <w:autoSpaceDN/>
              <w:bidi w:val="0"/>
              <w:adjustRightInd w:val="0"/>
              <w:snapToGrid w:val="0"/>
              <w:spacing w:line="300" w:lineRule="auto"/>
              <w:ind w:left="55" w:leftChars="26"/>
              <w:textAlignment w:val="auto"/>
              <w:rPr>
                <w:rFonts w:ascii="宋体" w:hAnsi="宋体"/>
                <w:bCs/>
                <w:szCs w:val="21"/>
                <w:highlight w:val="none"/>
              </w:rPr>
            </w:pPr>
            <w:r>
              <w:rPr>
                <w:rFonts w:hint="eastAsia" w:ascii="宋体" w:hAnsi="宋体"/>
                <w:szCs w:val="21"/>
                <w:highlight w:val="none"/>
              </w:rPr>
              <w:t>是否有必要的办公设施和现代化的办公场所（提供办公设施清单及图片、办公场所图片）；提供材料得1分。</w:t>
            </w:r>
          </w:p>
        </w:tc>
      </w:tr>
      <w:tr w14:paraId="13A5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1368" w:type="dxa"/>
            <w:vMerge w:val="continue"/>
            <w:vAlign w:val="center"/>
          </w:tcPr>
          <w:p w14:paraId="479AAC7E">
            <w:pPr>
              <w:keepNext w:val="0"/>
              <w:keepLines w:val="0"/>
              <w:pageBreakBefore w:val="0"/>
              <w:widowControl w:val="0"/>
              <w:kinsoku/>
              <w:wordWrap/>
              <w:overflowPunct/>
              <w:topLinePunct w:val="0"/>
              <w:autoSpaceDE/>
              <w:autoSpaceDN/>
              <w:bidi w:val="0"/>
              <w:spacing w:line="300" w:lineRule="auto"/>
              <w:ind w:left="-107" w:leftChars="-51" w:right="-107" w:rightChars="-51"/>
              <w:jc w:val="center"/>
              <w:textAlignment w:val="auto"/>
              <w:rPr>
                <w:rFonts w:ascii="宋体" w:hAnsi="宋体"/>
                <w:bCs/>
                <w:szCs w:val="21"/>
                <w:highlight w:val="none"/>
              </w:rPr>
            </w:pPr>
          </w:p>
        </w:tc>
        <w:tc>
          <w:tcPr>
            <w:tcW w:w="1260" w:type="dxa"/>
            <w:vAlign w:val="center"/>
          </w:tcPr>
          <w:p w14:paraId="32CDB451">
            <w:pPr>
              <w:keepNext w:val="0"/>
              <w:keepLines w:val="0"/>
              <w:pageBreakBefore w:val="0"/>
              <w:widowControl w:val="0"/>
              <w:kinsoku/>
              <w:wordWrap/>
              <w:overflowPunct/>
              <w:topLinePunct w:val="0"/>
              <w:autoSpaceDE/>
              <w:autoSpaceDN/>
              <w:bidi w:val="0"/>
              <w:spacing w:line="300" w:lineRule="auto"/>
              <w:ind w:left="-107" w:leftChars="-51"/>
              <w:jc w:val="center"/>
              <w:textAlignment w:val="auto"/>
              <w:rPr>
                <w:rFonts w:hint="eastAsia" w:ascii="宋体" w:hAnsi="宋体" w:eastAsia="宋体"/>
                <w:bCs/>
                <w:spacing w:val="20"/>
                <w:szCs w:val="21"/>
                <w:highlight w:val="none"/>
                <w:lang w:eastAsia="zh-CN"/>
              </w:rPr>
            </w:pPr>
            <w:r>
              <w:rPr>
                <w:rFonts w:hint="eastAsia" w:ascii="宋体" w:hAnsi="宋体"/>
                <w:bCs/>
                <w:spacing w:val="20"/>
                <w:szCs w:val="21"/>
                <w:highlight w:val="none"/>
                <w:lang w:val="en-US" w:eastAsia="zh-CN"/>
              </w:rPr>
              <w:t>8</w:t>
            </w:r>
          </w:p>
        </w:tc>
        <w:tc>
          <w:tcPr>
            <w:tcW w:w="6840" w:type="dxa"/>
            <w:vAlign w:val="center"/>
          </w:tcPr>
          <w:p w14:paraId="6B2AC4A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宋体" w:hAnsi="宋体"/>
                <w:color w:val="FF0000"/>
                <w:szCs w:val="21"/>
                <w:highlight w:val="none"/>
              </w:rPr>
            </w:pPr>
            <w:r>
              <w:rPr>
                <w:rFonts w:hint="eastAsia" w:ascii="宋体" w:hAnsi="宋体"/>
                <w:szCs w:val="21"/>
                <w:highlight w:val="none"/>
              </w:rPr>
              <w:t>1、根据第三方机构单位</w:t>
            </w:r>
            <w:r>
              <w:rPr>
                <w:rFonts w:hint="eastAsia" w:ascii="宋体" w:hAnsi="宋体"/>
                <w:szCs w:val="21"/>
                <w:highlight w:val="none"/>
                <w:lang w:eastAsia="zh-CN"/>
              </w:rPr>
              <w:t>近三年</w:t>
            </w:r>
            <w:r>
              <w:rPr>
                <w:rFonts w:hint="eastAsia" w:ascii="宋体" w:hAnsi="宋体"/>
                <w:szCs w:val="21"/>
                <w:highlight w:val="none"/>
              </w:rPr>
              <w:t>所承担过的类似项目经验情况进行评分（提供合同复印件</w:t>
            </w:r>
            <w:r>
              <w:rPr>
                <w:rFonts w:ascii="宋体" w:hAnsi="宋体"/>
                <w:szCs w:val="21"/>
                <w:highlight w:val="none"/>
              </w:rPr>
              <w:t>及盖章处</w:t>
            </w:r>
            <w:r>
              <w:rPr>
                <w:rFonts w:hint="eastAsia" w:ascii="宋体" w:hAnsi="宋体"/>
                <w:szCs w:val="21"/>
                <w:highlight w:val="none"/>
              </w:rPr>
              <w:t>），提供一个得1分，满分5分；</w:t>
            </w:r>
          </w:p>
          <w:p w14:paraId="56C4BE2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宋体" w:hAnsi="宋体"/>
                <w:szCs w:val="21"/>
                <w:highlight w:val="none"/>
              </w:rPr>
            </w:pPr>
            <w:r>
              <w:rPr>
                <w:rFonts w:hint="eastAsia" w:ascii="宋体" w:hAnsi="宋体"/>
                <w:szCs w:val="21"/>
                <w:highlight w:val="none"/>
              </w:rPr>
              <w:t>2、根据第三方机构单位所服务单位提供的服务反馈等综合情况进行评分（主要参考依据可以为服务单位盖章的项目服务评价），0-</w:t>
            </w:r>
            <w:r>
              <w:rPr>
                <w:rFonts w:hint="eastAsia" w:ascii="宋体" w:hAnsi="宋体"/>
                <w:szCs w:val="21"/>
                <w:highlight w:val="none"/>
                <w:lang w:val="en-US" w:eastAsia="zh-CN"/>
              </w:rPr>
              <w:t>3</w:t>
            </w:r>
            <w:r>
              <w:rPr>
                <w:rFonts w:hint="eastAsia" w:ascii="宋体" w:hAnsi="宋体"/>
                <w:szCs w:val="21"/>
                <w:highlight w:val="none"/>
              </w:rPr>
              <w:t>分。</w:t>
            </w:r>
          </w:p>
        </w:tc>
      </w:tr>
      <w:tr w14:paraId="3FC2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468" w:type="dxa"/>
            <w:gridSpan w:val="3"/>
            <w:vAlign w:val="center"/>
          </w:tcPr>
          <w:p w14:paraId="5DD08EF1">
            <w:pPr>
              <w:keepNext w:val="0"/>
              <w:keepLines w:val="0"/>
              <w:pageBreakBefore w:val="0"/>
              <w:widowControl w:val="0"/>
              <w:kinsoku/>
              <w:wordWrap/>
              <w:overflowPunct/>
              <w:topLinePunct w:val="0"/>
              <w:autoSpaceDE/>
              <w:autoSpaceDN/>
              <w:bidi w:val="0"/>
              <w:spacing w:line="300" w:lineRule="auto"/>
              <w:ind w:left="-107" w:leftChars="-51" w:firstLine="105" w:firstLineChars="50"/>
              <w:textAlignment w:val="auto"/>
              <w:rPr>
                <w:rFonts w:ascii="宋体" w:hAnsi="宋体" w:cs="宋体"/>
                <w:kern w:val="0"/>
                <w:szCs w:val="21"/>
                <w:highlight w:val="none"/>
              </w:rPr>
            </w:pPr>
            <w:r>
              <w:rPr>
                <w:rFonts w:hint="eastAsia" w:ascii="宋体" w:hAnsi="宋体" w:cs="宋体"/>
                <w:kern w:val="0"/>
                <w:szCs w:val="21"/>
                <w:highlight w:val="none"/>
              </w:rPr>
              <w:t>注：若评审内容在响应文件中未做描述，则该项得“0”分。</w:t>
            </w:r>
          </w:p>
        </w:tc>
      </w:tr>
    </w:tbl>
    <w:p w14:paraId="3C5EBBB3">
      <w:pPr>
        <w:rPr>
          <w:rFonts w:ascii="仿宋_GB2312" w:hAnsi="Times New Roman" w:eastAsia="仿宋_GB2312"/>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6725964"/>
      <w:docPartObj>
        <w:docPartGallery w:val="autotext"/>
      </w:docPartObj>
    </w:sdtPr>
    <w:sdtContent>
      <w:p w14:paraId="16CD5572">
        <w:pPr>
          <w:pStyle w:val="5"/>
          <w:jc w:val="center"/>
        </w:pPr>
        <w:r>
          <w:fldChar w:fldCharType="begin"/>
        </w:r>
        <w:r>
          <w:instrText xml:space="preserve">PAGE   \* MERGEFORMAT</w:instrText>
        </w:r>
        <w:r>
          <w:fldChar w:fldCharType="separate"/>
        </w:r>
        <w:r>
          <w:rPr>
            <w:lang w:val="zh-CN"/>
          </w:rPr>
          <w:t>10</w:t>
        </w:r>
        <w:r>
          <w:fldChar w:fldCharType="end"/>
        </w:r>
      </w:p>
    </w:sdtContent>
  </w:sdt>
  <w:p w14:paraId="2D20282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hNTI4YmNmMDVhNGJkMzIyMDZiYmQ5ZDJlYTcyNjIifQ=="/>
  </w:docVars>
  <w:rsids>
    <w:rsidRoot w:val="00062CC6"/>
    <w:rsid w:val="00033B3E"/>
    <w:rsid w:val="00062CC6"/>
    <w:rsid w:val="0009075B"/>
    <w:rsid w:val="000F5AB9"/>
    <w:rsid w:val="001221C0"/>
    <w:rsid w:val="00155573"/>
    <w:rsid w:val="00182FC3"/>
    <w:rsid w:val="00197DDF"/>
    <w:rsid w:val="00220FCD"/>
    <w:rsid w:val="00287D27"/>
    <w:rsid w:val="002E6073"/>
    <w:rsid w:val="00342997"/>
    <w:rsid w:val="003C2181"/>
    <w:rsid w:val="00493E52"/>
    <w:rsid w:val="00497869"/>
    <w:rsid w:val="004C382E"/>
    <w:rsid w:val="00506529"/>
    <w:rsid w:val="00587754"/>
    <w:rsid w:val="005B00F2"/>
    <w:rsid w:val="00637241"/>
    <w:rsid w:val="00647399"/>
    <w:rsid w:val="0070748F"/>
    <w:rsid w:val="00732F71"/>
    <w:rsid w:val="00761E86"/>
    <w:rsid w:val="00785426"/>
    <w:rsid w:val="00812E28"/>
    <w:rsid w:val="00863FFC"/>
    <w:rsid w:val="008C588F"/>
    <w:rsid w:val="008F4EC4"/>
    <w:rsid w:val="00911D79"/>
    <w:rsid w:val="00946E07"/>
    <w:rsid w:val="009E40BB"/>
    <w:rsid w:val="00A8232C"/>
    <w:rsid w:val="00AC7ACC"/>
    <w:rsid w:val="00B21932"/>
    <w:rsid w:val="00B7547F"/>
    <w:rsid w:val="00C15E23"/>
    <w:rsid w:val="00C84997"/>
    <w:rsid w:val="00CB3100"/>
    <w:rsid w:val="00CC2292"/>
    <w:rsid w:val="00D47191"/>
    <w:rsid w:val="00DE5E17"/>
    <w:rsid w:val="00DF3269"/>
    <w:rsid w:val="00E247A5"/>
    <w:rsid w:val="00F42A41"/>
    <w:rsid w:val="04BB5E2C"/>
    <w:rsid w:val="04E5304F"/>
    <w:rsid w:val="06B84A02"/>
    <w:rsid w:val="08BA69F7"/>
    <w:rsid w:val="090F1795"/>
    <w:rsid w:val="0B61769D"/>
    <w:rsid w:val="0B8D3AD4"/>
    <w:rsid w:val="0BFB273A"/>
    <w:rsid w:val="0D5C32F8"/>
    <w:rsid w:val="11005262"/>
    <w:rsid w:val="112E14CB"/>
    <w:rsid w:val="1489324D"/>
    <w:rsid w:val="14B52807"/>
    <w:rsid w:val="14BC6B21"/>
    <w:rsid w:val="14D856C8"/>
    <w:rsid w:val="19BD6248"/>
    <w:rsid w:val="19E85BD9"/>
    <w:rsid w:val="1AEB6F83"/>
    <w:rsid w:val="1BEC0C12"/>
    <w:rsid w:val="1E2C211B"/>
    <w:rsid w:val="1EB33096"/>
    <w:rsid w:val="1FBB7200"/>
    <w:rsid w:val="210D60DD"/>
    <w:rsid w:val="23692D30"/>
    <w:rsid w:val="24AB3F84"/>
    <w:rsid w:val="259C46F3"/>
    <w:rsid w:val="282F4953"/>
    <w:rsid w:val="2909592E"/>
    <w:rsid w:val="2A0F70C6"/>
    <w:rsid w:val="2A1D772F"/>
    <w:rsid w:val="2A2C6C70"/>
    <w:rsid w:val="2B092DFE"/>
    <w:rsid w:val="2BBD0DB2"/>
    <w:rsid w:val="2CEC3168"/>
    <w:rsid w:val="2D4F4430"/>
    <w:rsid w:val="2E762EBB"/>
    <w:rsid w:val="300932A8"/>
    <w:rsid w:val="3037310A"/>
    <w:rsid w:val="30586AEA"/>
    <w:rsid w:val="30D95ED9"/>
    <w:rsid w:val="34570B55"/>
    <w:rsid w:val="37911A79"/>
    <w:rsid w:val="38EF05DC"/>
    <w:rsid w:val="3A296D28"/>
    <w:rsid w:val="3A3A12C0"/>
    <w:rsid w:val="3AC67B85"/>
    <w:rsid w:val="3B744A0D"/>
    <w:rsid w:val="3C2E6878"/>
    <w:rsid w:val="3D506884"/>
    <w:rsid w:val="3D9170BE"/>
    <w:rsid w:val="3DB57251"/>
    <w:rsid w:val="3E3444BC"/>
    <w:rsid w:val="3ED27799"/>
    <w:rsid w:val="427D5E63"/>
    <w:rsid w:val="45863281"/>
    <w:rsid w:val="470B6133"/>
    <w:rsid w:val="483465B3"/>
    <w:rsid w:val="48916DA1"/>
    <w:rsid w:val="48954F0F"/>
    <w:rsid w:val="490C7F41"/>
    <w:rsid w:val="494F4769"/>
    <w:rsid w:val="4B3A7171"/>
    <w:rsid w:val="4DF74D1B"/>
    <w:rsid w:val="508F4D93"/>
    <w:rsid w:val="585F008D"/>
    <w:rsid w:val="5A0233C6"/>
    <w:rsid w:val="5B4524B8"/>
    <w:rsid w:val="5BA1276A"/>
    <w:rsid w:val="5C460BFA"/>
    <w:rsid w:val="5C8E3E1E"/>
    <w:rsid w:val="5D686F31"/>
    <w:rsid w:val="5EF3C4DD"/>
    <w:rsid w:val="621C3195"/>
    <w:rsid w:val="63083AA2"/>
    <w:rsid w:val="65056458"/>
    <w:rsid w:val="66E3632D"/>
    <w:rsid w:val="681C5653"/>
    <w:rsid w:val="68610E40"/>
    <w:rsid w:val="6A3852DF"/>
    <w:rsid w:val="6C0E1756"/>
    <w:rsid w:val="6C411B2C"/>
    <w:rsid w:val="6D325918"/>
    <w:rsid w:val="6DC2123C"/>
    <w:rsid w:val="78F82C57"/>
    <w:rsid w:val="7DAD6864"/>
    <w:rsid w:val="7E3C03A5"/>
    <w:rsid w:val="7EC6133F"/>
    <w:rsid w:val="7EEE1EBA"/>
    <w:rsid w:val="7FD5285F"/>
    <w:rsid w:val="FED11877"/>
    <w:rsid w:val="FFEEB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cs="Courier New" w:eastAsiaTheme="minorEastAsia"/>
      <w:szCs w:val="21"/>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character" w:customStyle="1" w:styleId="10">
    <w:name w:val="页眉 Char"/>
    <w:basedOn w:val="9"/>
    <w:link w:val="6"/>
    <w:qFormat/>
    <w:uiPriority w:val="99"/>
    <w:rPr>
      <w:rFonts w:ascii="Calibri" w:hAnsi="Calibri" w:eastAsia="宋体" w:cs="Times New Roman"/>
      <w:sz w:val="18"/>
      <w:szCs w:val="18"/>
    </w:rPr>
  </w:style>
  <w:style w:type="character" w:customStyle="1" w:styleId="11">
    <w:name w:val="页脚 Char"/>
    <w:basedOn w:val="9"/>
    <w:link w:val="5"/>
    <w:qFormat/>
    <w:uiPriority w:val="99"/>
    <w:rPr>
      <w:rFonts w:ascii="Calibri" w:hAnsi="Calibri" w:eastAsia="宋体" w:cs="Times New Roman"/>
      <w:sz w:val="18"/>
      <w:szCs w:val="18"/>
    </w:rPr>
  </w:style>
  <w:style w:type="character" w:customStyle="1" w:styleId="12">
    <w:name w:val="日期 Char"/>
    <w:basedOn w:val="9"/>
    <w:link w:val="3"/>
    <w:semiHidden/>
    <w:qFormat/>
    <w:uiPriority w:val="99"/>
    <w:rPr>
      <w:rFonts w:ascii="Calibri" w:hAnsi="Calibri" w:eastAsia="宋体" w:cs="Times New Roman"/>
      <w:szCs w:val="24"/>
    </w:rPr>
  </w:style>
  <w:style w:type="character" w:customStyle="1" w:styleId="13">
    <w:name w:val="纯文本 Char"/>
    <w:basedOn w:val="9"/>
    <w:link w:val="2"/>
    <w:qFormat/>
    <w:uiPriority w:val="0"/>
    <w:rPr>
      <w:rFonts w:ascii="宋体" w:hAnsi="Courier New" w:cs="Courier New"/>
      <w:szCs w:val="21"/>
    </w:rPr>
  </w:style>
  <w:style w:type="character" w:customStyle="1" w:styleId="14">
    <w:name w:val="列出段落 Char"/>
    <w:link w:val="15"/>
    <w:qFormat/>
    <w:locked/>
    <w:uiPriority w:val="0"/>
    <w:rPr>
      <w:rFonts w:ascii="Calibri" w:hAnsi="Calibri"/>
    </w:rPr>
  </w:style>
  <w:style w:type="paragraph" w:styleId="15">
    <w:name w:val="List Paragraph"/>
    <w:basedOn w:val="1"/>
    <w:link w:val="14"/>
    <w:qFormat/>
    <w:uiPriority w:val="0"/>
    <w:pPr>
      <w:ind w:firstLine="420" w:firstLineChars="200"/>
    </w:pPr>
    <w:rPr>
      <w:rFonts w:eastAsiaTheme="minorEastAsia" w:cstheme="minorBidi"/>
      <w:szCs w:val="22"/>
    </w:rPr>
  </w:style>
  <w:style w:type="character" w:customStyle="1" w:styleId="16">
    <w:name w:val="批注框文本 Char"/>
    <w:basedOn w:val="9"/>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3997</Words>
  <Characters>4157</Characters>
  <Lines>33</Lines>
  <Paragraphs>9</Paragraphs>
  <TotalTime>1</TotalTime>
  <ScaleCrop>false</ScaleCrop>
  <LinksUpToDate>false</LinksUpToDate>
  <CharactersWithSpaces>4160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2022-02-20T07:58:00Z</dcterms:created>
  <dc:creator>发改委窗口</dc:creator>
  <cp:lastModifiedBy>Administrator</cp:lastModifiedBy>
  <cp:lastPrinted>2024-12-03T01:24:00Z</cp:lastPrinted>
  <dcterms:modified xsi:type="dcterms:W3CDTF">2024-12-16T05:22:39Z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E94F76E8AF0043B19EB836803ED3EC01_13</vt:lpwstr>
  </property>
</Properties>
</file>