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hint="eastAsia" w:ascii="黑体" w:hAnsi="黑体" w:eastAsia="黑体" w:cs="黑体"/>
          <w:sz w:val="40"/>
          <w:szCs w:val="40"/>
          <w:lang w:eastAsia="zh-CN"/>
        </w:rPr>
      </w:pPr>
      <w:r>
        <w:rPr>
          <w:rFonts w:hint="eastAsia" w:ascii="黑体" w:hAnsi="黑体" w:eastAsia="黑体" w:cs="黑体"/>
          <w:sz w:val="40"/>
          <w:szCs w:val="40"/>
          <w:lang w:eastAsia="zh-CN"/>
        </w:rPr>
        <w:t>闵行区标准化菜市场稳供调节</w:t>
      </w:r>
    </w:p>
    <w:p>
      <w:pPr>
        <w:spacing w:line="560" w:lineRule="exact"/>
        <w:jc w:val="center"/>
        <w:rPr>
          <w:rFonts w:hint="eastAsia" w:ascii="黑体" w:hAnsi="黑体" w:eastAsia="黑体" w:cs="黑体"/>
          <w:sz w:val="40"/>
          <w:szCs w:val="40"/>
          <w:lang w:eastAsia="zh-CN"/>
        </w:rPr>
      </w:pPr>
      <w:r>
        <w:rPr>
          <w:rFonts w:hint="eastAsia" w:ascii="黑体" w:hAnsi="黑体" w:eastAsia="黑体" w:cs="黑体"/>
          <w:sz w:val="40"/>
          <w:szCs w:val="40"/>
          <w:lang w:eastAsia="zh-CN"/>
        </w:rPr>
        <w:t>专项资金管理办法</w:t>
      </w:r>
    </w:p>
    <w:p>
      <w:pPr>
        <w:spacing w:line="560" w:lineRule="exact"/>
        <w:jc w:val="center"/>
        <w:rPr>
          <w:rFonts w:hint="eastAsia" w:ascii="楷体" w:hAnsi="楷体" w:eastAsia="楷体" w:cs="楷体"/>
          <w:sz w:val="32"/>
          <w:szCs w:val="32"/>
          <w:lang w:eastAsia="zh-CN"/>
        </w:rPr>
      </w:pPr>
      <w:r>
        <w:rPr>
          <w:rFonts w:hint="eastAsia" w:ascii="楷体" w:hAnsi="楷体" w:eastAsia="楷体" w:cs="楷体"/>
          <w:sz w:val="32"/>
          <w:szCs w:val="32"/>
          <w:lang w:eastAsia="zh-CN"/>
        </w:rPr>
        <w:t>（</w:t>
      </w:r>
      <w:r>
        <w:rPr>
          <w:rFonts w:hint="eastAsia" w:ascii="楷体" w:hAnsi="楷体" w:eastAsia="楷体" w:cs="楷体"/>
          <w:sz w:val="32"/>
          <w:szCs w:val="32"/>
          <w:lang w:val="en-US" w:eastAsia="zh-CN"/>
        </w:rPr>
        <w:t>草案</w:t>
      </w:r>
      <w:r>
        <w:rPr>
          <w:rFonts w:hint="eastAsia" w:ascii="楷体" w:hAnsi="楷体" w:eastAsia="楷体" w:cs="楷体"/>
          <w:sz w:val="32"/>
          <w:szCs w:val="32"/>
          <w:lang w:eastAsia="zh-CN"/>
        </w:rPr>
        <w:t>）</w:t>
      </w:r>
    </w:p>
    <w:p>
      <w:pPr>
        <w:spacing w:line="560" w:lineRule="exact"/>
        <w:ind w:firstLine="640" w:firstLineChars="200"/>
        <w:jc w:val="both"/>
        <w:rPr>
          <w:rFonts w:hint="eastAsia" w:ascii="仿宋" w:hAnsi="仿宋" w:eastAsia="仿宋" w:cs="仿宋"/>
          <w:sz w:val="32"/>
          <w:szCs w:val="32"/>
          <w:lang w:eastAsia="zh-CN"/>
        </w:rPr>
      </w:pPr>
    </w:p>
    <w:p>
      <w:pPr>
        <w:spacing w:line="560" w:lineRule="exact"/>
        <w:jc w:val="center"/>
        <w:rPr>
          <w:rFonts w:hint="eastAsia" w:ascii="黑体" w:hAnsi="黑体" w:eastAsia="黑体" w:cs="黑体"/>
          <w:sz w:val="32"/>
          <w:szCs w:val="32"/>
          <w:lang w:eastAsia="zh-CN"/>
        </w:rPr>
      </w:pPr>
      <w:r>
        <w:rPr>
          <w:rFonts w:hint="eastAsia" w:ascii="黑体" w:hAnsi="黑体" w:eastAsia="黑体" w:cs="黑体"/>
          <w:sz w:val="32"/>
          <w:szCs w:val="32"/>
          <w:lang w:eastAsia="zh-CN"/>
        </w:rPr>
        <w:t>第一章 总则</w:t>
      </w:r>
    </w:p>
    <w:p>
      <w:pPr>
        <w:spacing w:line="560" w:lineRule="exact"/>
        <w:ind w:firstLine="640" w:firstLineChars="200"/>
        <w:jc w:val="both"/>
        <w:rPr>
          <w:rFonts w:hint="eastAsia" w:ascii="仿宋" w:hAnsi="仿宋" w:eastAsia="仿宋" w:cs="仿宋"/>
          <w:sz w:val="32"/>
          <w:szCs w:val="32"/>
          <w:lang w:eastAsia="zh-CN"/>
        </w:rPr>
      </w:pPr>
    </w:p>
    <w:p>
      <w:pPr>
        <w:spacing w:line="560" w:lineRule="exact"/>
        <w:ind w:firstLine="643" w:firstLineChars="200"/>
        <w:jc w:val="both"/>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第一条 目的</w:t>
      </w:r>
    </w:p>
    <w:p>
      <w:pPr>
        <w:spacing w:line="560" w:lineRule="exact"/>
        <w:ind w:firstLine="640" w:firstLineChars="200"/>
        <w:jc w:val="both"/>
        <w:rPr>
          <w:rFonts w:hint="eastAsia" w:ascii="仿宋" w:hAnsi="仿宋" w:eastAsia="仿宋" w:cs="仿宋"/>
          <w:sz w:val="32"/>
          <w:szCs w:val="32"/>
          <w:lang w:eastAsia="zh-CN"/>
        </w:rPr>
      </w:pPr>
      <w:r>
        <w:rPr>
          <w:rFonts w:hint="eastAsia" w:ascii="仿宋" w:hAnsi="仿宋" w:eastAsia="仿宋" w:cs="仿宋"/>
          <w:sz w:val="32"/>
          <w:szCs w:val="32"/>
          <w:lang w:eastAsia="zh-CN"/>
        </w:rPr>
        <w:t>根据《上海市标准化菜市场管理办法》、《上海市“菜篮子”区长负责制考核办法》、《上海市标准化菜市场设置与管理规范》、《关于加强本市标准化菜市场“平价菜（肉）专柜”建设和管理的工作指引》等文件精神，为贯彻落实“菜篮子”区长负责制，进一步加强我区“菜篮子”工程建设，切实做好保供稳价工作，更好地满足闵行区居民基本生活需求，结合本区实际，特制定本办法。</w:t>
      </w:r>
    </w:p>
    <w:p>
      <w:pPr>
        <w:spacing w:line="560" w:lineRule="exact"/>
        <w:ind w:firstLine="643" w:firstLineChars="200"/>
        <w:jc w:val="both"/>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第二条 支持对象</w:t>
      </w:r>
    </w:p>
    <w:p>
      <w:pPr>
        <w:spacing w:line="560" w:lineRule="exact"/>
        <w:ind w:firstLine="640" w:firstLineChars="200"/>
        <w:jc w:val="both"/>
        <w:rPr>
          <w:rFonts w:hint="eastAsia" w:ascii="仿宋" w:hAnsi="仿宋" w:eastAsia="仿宋" w:cs="仿宋"/>
          <w:sz w:val="32"/>
          <w:szCs w:val="32"/>
          <w:lang w:eastAsia="zh-CN"/>
        </w:rPr>
      </w:pPr>
      <w:r>
        <w:rPr>
          <w:rFonts w:hint="eastAsia" w:ascii="仿宋" w:hAnsi="仿宋" w:eastAsia="仿宋" w:cs="仿宋"/>
          <w:sz w:val="32"/>
          <w:szCs w:val="32"/>
          <w:lang w:eastAsia="zh-CN"/>
        </w:rPr>
        <w:t>本办法支持对象为在闵行区规划布局的标准化菜市场（含新建和改建）。</w:t>
      </w:r>
    </w:p>
    <w:p>
      <w:pPr>
        <w:spacing w:line="560" w:lineRule="exact"/>
        <w:ind w:firstLine="643" w:firstLineChars="200"/>
        <w:jc w:val="both"/>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第三条 支持方向</w:t>
      </w:r>
    </w:p>
    <w:p>
      <w:pPr>
        <w:spacing w:line="560" w:lineRule="exact"/>
        <w:ind w:firstLine="640" w:firstLineChars="200"/>
        <w:jc w:val="both"/>
        <w:rPr>
          <w:rFonts w:hint="eastAsia" w:ascii="仿宋" w:hAnsi="仿宋" w:eastAsia="仿宋" w:cs="仿宋"/>
          <w:color w:val="000000" w:themeColor="text1"/>
          <w:sz w:val="32"/>
          <w:szCs w:val="32"/>
          <w:lang w:eastAsia="zh-CN"/>
          <w14:textFill>
            <w14:solidFill>
              <w14:schemeClr w14:val="tx1"/>
            </w14:solidFill>
          </w14:textFill>
        </w:rPr>
      </w:pPr>
      <w:r>
        <w:rPr>
          <w:rFonts w:hint="eastAsia" w:ascii="仿宋" w:hAnsi="仿宋" w:eastAsia="仿宋" w:cs="仿宋"/>
          <w:sz w:val="32"/>
          <w:szCs w:val="32"/>
          <w:lang w:eastAsia="zh-CN"/>
        </w:rPr>
        <w:t>一是稳定市场，确保主副食品供应；二是强化管理，确保生产经营和食品安全；三是促进发展，提升市场经营能级；四是平抑菜价，确保惠民便民。</w:t>
      </w:r>
    </w:p>
    <w:p>
      <w:pPr>
        <w:spacing w:line="560" w:lineRule="exact"/>
        <w:ind w:firstLine="643" w:firstLineChars="200"/>
        <w:jc w:val="both"/>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第四条 资金来源</w:t>
      </w:r>
    </w:p>
    <w:p>
      <w:pPr>
        <w:spacing w:line="560" w:lineRule="exact"/>
        <w:ind w:firstLine="640" w:firstLineChars="200"/>
        <w:jc w:val="both"/>
        <w:rPr>
          <w:rFonts w:hint="eastAsia" w:ascii="仿宋" w:hAnsi="仿宋" w:eastAsia="仿宋" w:cs="仿宋"/>
          <w:sz w:val="32"/>
          <w:szCs w:val="32"/>
          <w:lang w:eastAsia="zh-CN"/>
        </w:rPr>
      </w:pPr>
      <w:r>
        <w:rPr>
          <w:rFonts w:hint="eastAsia" w:ascii="仿宋" w:hAnsi="仿宋" w:eastAsia="仿宋" w:cs="仿宋"/>
          <w:sz w:val="32"/>
          <w:szCs w:val="32"/>
          <w:lang w:eastAsia="zh-CN"/>
        </w:rPr>
        <w:t>闵行区标准化菜市场稳供调节专项资金（以下简称“专项资金”）由区级财政预算统筹安排。</w:t>
      </w:r>
    </w:p>
    <w:p>
      <w:pPr>
        <w:spacing w:line="560" w:lineRule="exact"/>
        <w:ind w:firstLine="643" w:firstLineChars="200"/>
        <w:jc w:val="both"/>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第五条 使用原则</w:t>
      </w:r>
    </w:p>
    <w:p>
      <w:pPr>
        <w:spacing w:line="560" w:lineRule="exact"/>
        <w:ind w:firstLine="640" w:firstLineChars="200"/>
        <w:jc w:val="both"/>
        <w:rPr>
          <w:rFonts w:hint="eastAsia" w:ascii="仿宋" w:hAnsi="仿宋" w:eastAsia="仿宋" w:cs="仿宋"/>
          <w:sz w:val="32"/>
          <w:szCs w:val="32"/>
          <w:lang w:eastAsia="zh-CN"/>
        </w:rPr>
      </w:pPr>
      <w:r>
        <w:rPr>
          <w:rFonts w:hint="eastAsia" w:ascii="仿宋" w:hAnsi="仿宋" w:eastAsia="仿宋" w:cs="Times New Roman"/>
          <w:sz w:val="32"/>
          <w:szCs w:val="32"/>
          <w:lang w:eastAsia="zh-CN"/>
        </w:rPr>
        <w:t>专项资金按照“总量控制、动态调整、据实列支”的原则使用，</w:t>
      </w:r>
      <w:r>
        <w:rPr>
          <w:rFonts w:hint="eastAsia" w:ascii="仿宋" w:hAnsi="仿宋" w:eastAsia="仿宋" w:cs="仿宋"/>
          <w:sz w:val="32"/>
          <w:szCs w:val="32"/>
          <w:lang w:eastAsia="zh-CN"/>
        </w:rPr>
        <w:t>用于保障闵行区标准化菜市场建设发展及保供稳价相关工作开展。</w:t>
      </w:r>
    </w:p>
    <w:p>
      <w:pPr>
        <w:spacing w:line="560" w:lineRule="exact"/>
        <w:ind w:firstLine="643" w:firstLineChars="200"/>
        <w:jc w:val="both"/>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第六条 部门职责</w:t>
      </w:r>
    </w:p>
    <w:p>
      <w:pPr>
        <w:spacing w:line="560" w:lineRule="exact"/>
        <w:ind w:firstLine="640" w:firstLineChars="200"/>
        <w:jc w:val="both"/>
        <w:rPr>
          <w:rFonts w:hint="eastAsia" w:ascii="仿宋" w:hAnsi="仿宋" w:eastAsia="仿宋" w:cs="仿宋"/>
          <w:sz w:val="32"/>
          <w:szCs w:val="32"/>
          <w:lang w:eastAsia="zh-CN"/>
        </w:rPr>
      </w:pPr>
      <w:r>
        <w:rPr>
          <w:rFonts w:hint="eastAsia" w:ascii="仿宋" w:hAnsi="仿宋" w:eastAsia="仿宋" w:cs="仿宋"/>
          <w:sz w:val="32"/>
          <w:szCs w:val="32"/>
          <w:lang w:eastAsia="zh-CN"/>
        </w:rPr>
        <w:t>（一）区商务委作为农产品流通行业行政管理部门，承接全区市场保供稳价职能，在年度部门预算中安排设置闵行“专项资金”，纳入区级财政预算，负责专项资金的日常管理，包括资金的预算编制、申请、调整、使用等。</w:t>
      </w:r>
    </w:p>
    <w:p>
      <w:pPr>
        <w:spacing w:line="560" w:lineRule="exact"/>
        <w:ind w:firstLine="640" w:firstLineChars="200"/>
        <w:jc w:val="both"/>
        <w:rPr>
          <w:rFonts w:hint="eastAsia" w:ascii="仿宋" w:hAnsi="仿宋" w:eastAsia="仿宋" w:cs="仿宋"/>
          <w:sz w:val="32"/>
          <w:szCs w:val="32"/>
          <w:lang w:eastAsia="zh-CN"/>
        </w:rPr>
      </w:pPr>
      <w:r>
        <w:rPr>
          <w:rFonts w:hint="eastAsia" w:ascii="仿宋" w:hAnsi="仿宋" w:eastAsia="仿宋" w:cs="仿宋"/>
          <w:sz w:val="32"/>
          <w:szCs w:val="32"/>
          <w:lang w:eastAsia="zh-CN"/>
        </w:rPr>
        <w:t>（二）区财政局为区级财政预算的行政管理部门，负责落实专项资金的预算安排，做好专项资金的拨付和监督管理工作。</w:t>
      </w:r>
    </w:p>
    <w:p>
      <w:pPr>
        <w:spacing w:line="560" w:lineRule="exact"/>
        <w:ind w:firstLine="640" w:firstLineChars="200"/>
        <w:jc w:val="both"/>
        <w:rPr>
          <w:rFonts w:hint="eastAsia" w:ascii="仿宋" w:hAnsi="仿宋" w:eastAsia="仿宋" w:cs="仿宋"/>
          <w:sz w:val="32"/>
          <w:szCs w:val="32"/>
          <w:lang w:eastAsia="zh-CN"/>
        </w:rPr>
      </w:pPr>
      <w:r>
        <w:rPr>
          <w:rFonts w:hint="eastAsia" w:ascii="仿宋" w:hAnsi="仿宋" w:eastAsia="仿宋" w:cs="仿宋"/>
          <w:sz w:val="32"/>
          <w:szCs w:val="32"/>
          <w:lang w:eastAsia="zh-CN"/>
        </w:rPr>
        <w:t>（三）各镇（莘庄工业区）落实属地职责，负责菜市场建设项目、保供稳价运行调控项目的指导落实、资金支持和监督等。</w:t>
      </w:r>
    </w:p>
    <w:p>
      <w:pPr>
        <w:spacing w:line="560" w:lineRule="exact"/>
        <w:ind w:firstLine="640" w:firstLineChars="200"/>
        <w:jc w:val="both"/>
        <w:rPr>
          <w:rFonts w:hint="eastAsia" w:ascii="仿宋" w:hAnsi="仿宋" w:eastAsia="仿宋" w:cs="仿宋"/>
          <w:sz w:val="32"/>
          <w:szCs w:val="32"/>
          <w:lang w:eastAsia="zh-CN"/>
        </w:rPr>
      </w:pPr>
    </w:p>
    <w:p>
      <w:pPr>
        <w:spacing w:line="560" w:lineRule="exact"/>
        <w:jc w:val="center"/>
        <w:rPr>
          <w:rFonts w:hint="eastAsia" w:ascii="黑体" w:hAnsi="黑体" w:eastAsia="黑体" w:cs="黑体"/>
          <w:sz w:val="32"/>
          <w:szCs w:val="32"/>
          <w:lang w:eastAsia="zh-CN"/>
        </w:rPr>
      </w:pPr>
      <w:r>
        <w:rPr>
          <w:rFonts w:hint="eastAsia" w:ascii="黑体" w:hAnsi="黑体" w:eastAsia="黑体" w:cs="黑体"/>
          <w:sz w:val="32"/>
          <w:szCs w:val="32"/>
          <w:lang w:eastAsia="zh-CN"/>
        </w:rPr>
        <w:t>第二章 支持范围、方式和标准</w:t>
      </w:r>
    </w:p>
    <w:p>
      <w:pPr>
        <w:spacing w:line="560" w:lineRule="exact"/>
        <w:ind w:firstLine="640" w:firstLineChars="200"/>
        <w:jc w:val="both"/>
        <w:rPr>
          <w:rFonts w:hint="eastAsia" w:ascii="仿宋" w:hAnsi="仿宋" w:eastAsia="仿宋" w:cs="仿宋"/>
          <w:sz w:val="32"/>
          <w:szCs w:val="32"/>
          <w:lang w:eastAsia="zh-CN"/>
        </w:rPr>
      </w:pPr>
    </w:p>
    <w:p>
      <w:pPr>
        <w:spacing w:line="560" w:lineRule="exact"/>
        <w:ind w:firstLine="643" w:firstLineChars="200"/>
        <w:jc w:val="both"/>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第七条 支持范围</w:t>
      </w:r>
    </w:p>
    <w:p>
      <w:pPr>
        <w:spacing w:line="560" w:lineRule="exact"/>
        <w:ind w:firstLine="643" w:firstLineChars="200"/>
        <w:jc w:val="both"/>
        <w:rPr>
          <w:rFonts w:hint="eastAsia" w:ascii="仿宋" w:hAnsi="仿宋" w:eastAsia="仿宋" w:cs="仿宋"/>
          <w:sz w:val="32"/>
          <w:szCs w:val="32"/>
          <w:lang w:eastAsia="zh-CN"/>
        </w:rPr>
      </w:pPr>
      <w:r>
        <w:rPr>
          <w:rFonts w:hint="eastAsia" w:ascii="仿宋" w:hAnsi="仿宋" w:eastAsia="仿宋" w:cs="仿宋"/>
          <w:b/>
          <w:bCs/>
          <w:sz w:val="32"/>
          <w:szCs w:val="32"/>
          <w:lang w:eastAsia="zh-CN"/>
        </w:rPr>
        <w:t>（一）标准化菜市场建设。</w:t>
      </w:r>
      <w:r>
        <w:rPr>
          <w:rFonts w:hint="eastAsia" w:ascii="仿宋" w:hAnsi="仿宋" w:eastAsia="仿宋" w:cs="仿宋"/>
          <w:sz w:val="32"/>
          <w:szCs w:val="32"/>
          <w:lang w:eastAsia="zh-CN"/>
        </w:rPr>
        <w:t>针对新建菜市场和老旧菜市场的环境更新、硬件设施更新等标准化建设。</w:t>
      </w:r>
    </w:p>
    <w:p>
      <w:pPr>
        <w:spacing w:line="560" w:lineRule="exact"/>
        <w:ind w:firstLine="643" w:firstLineChars="200"/>
        <w:jc w:val="both"/>
        <w:rPr>
          <w:rFonts w:hint="eastAsia" w:ascii="仿宋" w:hAnsi="仿宋" w:eastAsia="仿宋" w:cs="仿宋"/>
          <w:sz w:val="32"/>
          <w:szCs w:val="32"/>
          <w:lang w:eastAsia="zh-CN"/>
        </w:rPr>
      </w:pPr>
      <w:r>
        <w:rPr>
          <w:rFonts w:hint="eastAsia" w:ascii="仿宋" w:hAnsi="仿宋" w:eastAsia="仿宋" w:cs="仿宋"/>
          <w:b/>
          <w:bCs/>
          <w:sz w:val="32"/>
          <w:szCs w:val="32"/>
          <w:lang w:eastAsia="zh-CN"/>
        </w:rPr>
        <w:t>（二）平价菜（肉）专柜设置。</w:t>
      </w:r>
      <w:r>
        <w:rPr>
          <w:rFonts w:hint="eastAsia" w:ascii="仿宋" w:hAnsi="仿宋" w:eastAsia="仿宋" w:cs="仿宋"/>
          <w:sz w:val="32"/>
          <w:szCs w:val="32"/>
          <w:lang w:eastAsia="zh-CN"/>
        </w:rPr>
        <w:t>标准化菜市场</w:t>
      </w:r>
      <w:r>
        <w:rPr>
          <w:rFonts w:hint="eastAsia" w:ascii="仿宋" w:hAnsi="仿宋" w:eastAsia="仿宋" w:cs="仿宋"/>
          <w:sz w:val="32"/>
          <w:szCs w:val="32"/>
          <w:lang w:val="en-US" w:eastAsia="zh-CN"/>
        </w:rPr>
        <w:t>内</w:t>
      </w:r>
      <w:r>
        <w:rPr>
          <w:rFonts w:hint="eastAsia" w:ascii="仿宋" w:hAnsi="仿宋" w:eastAsia="仿宋" w:cs="仿宋"/>
          <w:sz w:val="32"/>
          <w:szCs w:val="32"/>
          <w:lang w:eastAsia="zh-CN"/>
        </w:rPr>
        <w:t>的平价菜（肉）专柜建设。</w:t>
      </w:r>
    </w:p>
    <w:p>
      <w:pPr>
        <w:spacing w:line="560" w:lineRule="exact"/>
        <w:ind w:firstLine="643" w:firstLineChars="200"/>
        <w:jc w:val="both"/>
        <w:rPr>
          <w:rFonts w:hint="eastAsia" w:ascii="仿宋" w:hAnsi="仿宋" w:eastAsia="仿宋" w:cs="仿宋"/>
          <w:sz w:val="32"/>
          <w:szCs w:val="32"/>
          <w:lang w:eastAsia="zh-CN"/>
        </w:rPr>
      </w:pPr>
      <w:r>
        <w:rPr>
          <w:rFonts w:hint="eastAsia" w:ascii="仿宋" w:hAnsi="仿宋" w:eastAsia="仿宋" w:cs="仿宋"/>
          <w:b/>
          <w:bCs/>
          <w:sz w:val="32"/>
          <w:szCs w:val="32"/>
          <w:lang w:eastAsia="zh-CN"/>
        </w:rPr>
        <w:t>（三）考核奖励</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每年开展</w:t>
      </w:r>
      <w:r>
        <w:rPr>
          <w:rFonts w:hint="eastAsia" w:ascii="仿宋" w:hAnsi="仿宋" w:eastAsia="仿宋" w:cs="仿宋"/>
          <w:sz w:val="32"/>
          <w:szCs w:val="32"/>
          <w:lang w:eastAsia="zh-CN"/>
        </w:rPr>
        <w:t>全区标准化菜市场综合检查考核，对</w:t>
      </w:r>
      <w:r>
        <w:rPr>
          <w:rFonts w:hint="eastAsia" w:ascii="仿宋" w:hAnsi="仿宋" w:eastAsia="仿宋" w:cs="仿宋"/>
          <w:sz w:val="32"/>
          <w:szCs w:val="32"/>
          <w:lang w:val="en-US" w:eastAsia="zh-CN"/>
        </w:rPr>
        <w:t>考核先进</w:t>
      </w:r>
      <w:r>
        <w:rPr>
          <w:rFonts w:hint="eastAsia" w:ascii="仿宋" w:hAnsi="仿宋" w:eastAsia="仿宋" w:cs="仿宋"/>
          <w:sz w:val="32"/>
          <w:szCs w:val="32"/>
          <w:lang w:eastAsia="zh-CN"/>
        </w:rPr>
        <w:t>的标准化菜市场予以奖励。</w:t>
      </w:r>
    </w:p>
    <w:p>
      <w:pPr>
        <w:spacing w:line="560" w:lineRule="exact"/>
        <w:ind w:firstLine="643" w:firstLineChars="200"/>
        <w:jc w:val="both"/>
        <w:rPr>
          <w:rFonts w:hint="eastAsia" w:ascii="仿宋" w:hAnsi="仿宋" w:eastAsia="仿宋" w:cs="仿宋"/>
          <w:sz w:val="32"/>
          <w:szCs w:val="32"/>
          <w:lang w:eastAsia="zh-CN"/>
        </w:rPr>
      </w:pPr>
      <w:r>
        <w:rPr>
          <w:rFonts w:hint="eastAsia" w:ascii="仿宋" w:hAnsi="仿宋" w:eastAsia="仿宋" w:cs="仿宋"/>
          <w:b/>
          <w:bCs/>
          <w:sz w:val="32"/>
          <w:szCs w:val="32"/>
          <w:lang w:eastAsia="zh-CN"/>
        </w:rPr>
        <w:t>（四）其他需要支持的事项。</w:t>
      </w:r>
    </w:p>
    <w:p>
      <w:pPr>
        <w:spacing w:line="560" w:lineRule="exact"/>
        <w:ind w:firstLine="643" w:firstLineChars="200"/>
        <w:jc w:val="both"/>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第八条 支持方式</w:t>
      </w:r>
    </w:p>
    <w:p>
      <w:pPr>
        <w:spacing w:line="560" w:lineRule="exact"/>
        <w:ind w:firstLine="640" w:firstLineChars="200"/>
        <w:jc w:val="both"/>
        <w:rPr>
          <w:rFonts w:hint="eastAsia" w:ascii="仿宋" w:hAnsi="仿宋" w:eastAsia="仿宋" w:cs="仿宋"/>
          <w:sz w:val="32"/>
          <w:szCs w:val="32"/>
          <w:lang w:eastAsia="zh-CN"/>
        </w:rPr>
      </w:pPr>
      <w:r>
        <w:rPr>
          <w:rFonts w:hint="eastAsia" w:ascii="仿宋" w:hAnsi="仿宋" w:eastAsia="仿宋" w:cs="仿宋"/>
          <w:sz w:val="32"/>
          <w:szCs w:val="32"/>
          <w:lang w:eastAsia="zh-CN"/>
        </w:rPr>
        <w:t>专项资金采用项目补贴、政府奖励等支持方式。</w:t>
      </w:r>
    </w:p>
    <w:p>
      <w:pPr>
        <w:spacing w:line="560" w:lineRule="exact"/>
        <w:ind w:firstLine="643" w:firstLineChars="200"/>
        <w:jc w:val="both"/>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第九条 扶持标准</w:t>
      </w:r>
    </w:p>
    <w:p>
      <w:pPr>
        <w:spacing w:line="560" w:lineRule="exact"/>
        <w:ind w:firstLine="640" w:firstLineChars="200"/>
        <w:jc w:val="both"/>
        <w:rPr>
          <w:rFonts w:hint="eastAsia" w:ascii="仿宋" w:hAnsi="仿宋" w:eastAsia="仿宋" w:cs="仿宋"/>
          <w:sz w:val="32"/>
          <w:szCs w:val="32"/>
          <w:lang w:val="en-US" w:eastAsia="zh-CN"/>
        </w:rPr>
      </w:pPr>
      <w:r>
        <w:rPr>
          <w:rFonts w:hint="eastAsia" w:ascii="仿宋" w:hAnsi="仿宋" w:eastAsia="仿宋" w:cs="仿宋"/>
          <w:sz w:val="32"/>
          <w:szCs w:val="32"/>
          <w:lang w:eastAsia="zh-CN"/>
        </w:rPr>
        <w:t>（一）标准化菜市场建设。完成新建、改建并持续运营的标准化菜市场，对</w:t>
      </w:r>
      <w:r>
        <w:rPr>
          <w:rFonts w:hint="eastAsia" w:ascii="仿宋" w:hAnsi="仿宋" w:eastAsia="仿宋" w:cs="仿宋"/>
          <w:sz w:val="32"/>
          <w:szCs w:val="32"/>
          <w:lang w:val="en-US" w:eastAsia="zh-CN"/>
        </w:rPr>
        <w:t>项目建设</w:t>
      </w:r>
      <w:r>
        <w:rPr>
          <w:rFonts w:hint="eastAsia" w:ascii="仿宋" w:hAnsi="仿宋" w:eastAsia="仿宋" w:cs="仿宋"/>
          <w:sz w:val="32"/>
          <w:szCs w:val="32"/>
          <w:lang w:eastAsia="zh-CN"/>
        </w:rPr>
        <w:t>过程中硬件装修、消防设施、湿垃圾处置设施、便民服务设施等建设工程相关费用及必备设施采购费用进行补贴。总投资金额以专项审计报告为准，补贴标准为总投资额的30%，每家菜市场本项补贴不超过50万元，且单位面积扶持金额不超过600元/平方米。（</w:t>
      </w:r>
      <w:r>
        <w:rPr>
          <w:rFonts w:hint="eastAsia" w:ascii="仿宋" w:hAnsi="仿宋" w:eastAsia="仿宋" w:cs="Times New Roman"/>
          <w:sz w:val="32"/>
          <w:szCs w:val="32"/>
        </w:rPr>
        <w:t>项目以镇级为主体，由区、镇按50:50比例共同出资补贴，街道资金由区级财政全额保障</w:t>
      </w:r>
      <w:r>
        <w:rPr>
          <w:rFonts w:hint="eastAsia" w:ascii="仿宋" w:hAnsi="仿宋" w:eastAsia="仿宋" w:cs="Times New Roman"/>
          <w:sz w:val="32"/>
          <w:szCs w:val="32"/>
          <w:lang w:eastAsia="zh-CN"/>
        </w:rPr>
        <w:t>）</w:t>
      </w:r>
    </w:p>
    <w:p>
      <w:pPr>
        <w:spacing w:line="560" w:lineRule="exact"/>
        <w:ind w:firstLine="640" w:firstLineChars="200"/>
        <w:jc w:val="both"/>
        <w:rPr>
          <w:rFonts w:hint="eastAsia" w:ascii="仿宋" w:hAnsi="仿宋" w:eastAsia="仿宋" w:cs="仿宋"/>
          <w:sz w:val="32"/>
          <w:szCs w:val="32"/>
          <w:lang w:eastAsia="zh-CN"/>
        </w:rPr>
      </w:pPr>
      <w:r>
        <w:rPr>
          <w:rFonts w:hint="eastAsia" w:ascii="仿宋" w:hAnsi="仿宋" w:eastAsia="仿宋" w:cs="仿宋"/>
          <w:sz w:val="32"/>
          <w:szCs w:val="32"/>
          <w:lang w:eastAsia="zh-CN"/>
        </w:rPr>
        <w:t>（二）平价菜（肉）专柜设置。对标准化菜市场内设置平价菜（肉）专柜的经营管理主体予以补贴，单专柜每日补贴不高于100元。（补贴资金</w:t>
      </w:r>
      <w:r>
        <w:rPr>
          <w:rFonts w:hint="eastAsia" w:ascii="仿宋" w:hAnsi="仿宋" w:eastAsia="仿宋" w:cs="Times New Roman"/>
          <w:sz w:val="32"/>
          <w:szCs w:val="32"/>
        </w:rPr>
        <w:t>由区级财政全额保障</w:t>
      </w:r>
      <w:r>
        <w:rPr>
          <w:rFonts w:hint="eastAsia" w:ascii="仿宋" w:hAnsi="仿宋" w:eastAsia="仿宋" w:cs="仿宋"/>
          <w:sz w:val="32"/>
          <w:szCs w:val="32"/>
          <w:lang w:eastAsia="zh-CN"/>
        </w:rPr>
        <w:t>）</w:t>
      </w:r>
    </w:p>
    <w:p>
      <w:pPr>
        <w:spacing w:line="560" w:lineRule="exact"/>
        <w:ind w:firstLine="640" w:firstLineChars="200"/>
        <w:jc w:val="both"/>
        <w:rPr>
          <w:rFonts w:hint="eastAsia" w:ascii="仿宋" w:hAnsi="仿宋" w:eastAsia="仿宋" w:cs="仿宋"/>
          <w:sz w:val="32"/>
          <w:szCs w:val="32"/>
          <w:lang w:eastAsia="zh-CN"/>
        </w:rPr>
      </w:pPr>
      <w:r>
        <w:rPr>
          <w:rFonts w:hint="eastAsia" w:ascii="仿宋" w:hAnsi="仿宋" w:eastAsia="仿宋" w:cs="仿宋"/>
          <w:sz w:val="32"/>
          <w:szCs w:val="32"/>
          <w:lang w:eastAsia="zh-CN"/>
        </w:rPr>
        <w:t>（三）考核奖励。制定《闵行区标准化菜市场考核评比办法》，对菜市场年度考核先进的经营管理主体予以奖励。每年奖励数量</w:t>
      </w:r>
      <w:r>
        <w:rPr>
          <w:rFonts w:hint="eastAsia" w:ascii="仿宋" w:hAnsi="仿宋" w:eastAsia="仿宋" w:cs="仿宋"/>
          <w:sz w:val="32"/>
          <w:szCs w:val="32"/>
          <w:lang w:val="en-US" w:eastAsia="zh-CN"/>
        </w:rPr>
        <w:t>为</w:t>
      </w:r>
      <w:r>
        <w:rPr>
          <w:rFonts w:hint="eastAsia" w:ascii="仿宋" w:hAnsi="仿宋" w:eastAsia="仿宋" w:cs="仿宋"/>
          <w:sz w:val="32"/>
          <w:szCs w:val="32"/>
          <w:lang w:eastAsia="zh-CN"/>
        </w:rPr>
        <w:t>闵行区持续经营的菜市场数量的1</w:t>
      </w:r>
      <w:r>
        <w:rPr>
          <w:rFonts w:hint="eastAsia" w:ascii="仿宋" w:hAnsi="仿宋" w:eastAsia="仿宋" w:cs="仿宋"/>
          <w:sz w:val="32"/>
          <w:szCs w:val="32"/>
          <w:lang w:val="en-US" w:eastAsia="zh-CN"/>
        </w:rPr>
        <w:t>0</w:t>
      </w:r>
      <w:r>
        <w:rPr>
          <w:rFonts w:hint="eastAsia" w:ascii="仿宋" w:hAnsi="仿宋" w:eastAsia="仿宋" w:cs="仿宋"/>
          <w:sz w:val="32"/>
          <w:szCs w:val="32"/>
          <w:lang w:eastAsia="zh-CN"/>
        </w:rPr>
        <w:t>%，实行分档奖励，单个菜市场给予最高不超过10万元。（补贴资金</w:t>
      </w:r>
      <w:r>
        <w:rPr>
          <w:rFonts w:hint="eastAsia" w:ascii="仿宋" w:hAnsi="仿宋" w:eastAsia="仿宋" w:cs="Times New Roman"/>
          <w:sz w:val="32"/>
          <w:szCs w:val="32"/>
        </w:rPr>
        <w:t>由区级财政全额保障</w:t>
      </w:r>
      <w:r>
        <w:rPr>
          <w:rFonts w:hint="eastAsia" w:ascii="仿宋" w:hAnsi="仿宋" w:eastAsia="仿宋" w:cs="仿宋"/>
          <w:sz w:val="32"/>
          <w:szCs w:val="32"/>
          <w:lang w:eastAsia="zh-CN"/>
        </w:rPr>
        <w:t>）</w:t>
      </w:r>
    </w:p>
    <w:p>
      <w:pPr>
        <w:spacing w:line="560" w:lineRule="exact"/>
        <w:ind w:firstLine="640" w:firstLineChars="200"/>
        <w:jc w:val="both"/>
        <w:rPr>
          <w:rFonts w:hint="eastAsia" w:ascii="仿宋" w:hAnsi="仿宋" w:eastAsia="仿宋" w:cs="仿宋"/>
          <w:sz w:val="32"/>
          <w:szCs w:val="32"/>
          <w:lang w:eastAsia="zh-CN"/>
        </w:rPr>
      </w:pPr>
      <w:r>
        <w:rPr>
          <w:rFonts w:hint="eastAsia" w:ascii="仿宋" w:hAnsi="仿宋" w:eastAsia="仿宋" w:cs="仿宋"/>
          <w:sz w:val="32"/>
          <w:szCs w:val="32"/>
          <w:lang w:eastAsia="zh-CN"/>
        </w:rPr>
        <w:t>（四）其他需重点支持的事项。其他需区重点支持的“菜篮子”有关事项，由区商务委、区财政局研究并报区政府批准后实施。</w:t>
      </w:r>
    </w:p>
    <w:p>
      <w:pPr>
        <w:spacing w:line="560" w:lineRule="exact"/>
        <w:ind w:firstLine="640" w:firstLineChars="200"/>
        <w:jc w:val="both"/>
        <w:rPr>
          <w:rFonts w:hint="eastAsia" w:ascii="仿宋" w:hAnsi="仿宋" w:eastAsia="仿宋" w:cs="仿宋"/>
          <w:sz w:val="32"/>
          <w:szCs w:val="32"/>
          <w:lang w:eastAsia="zh-CN"/>
        </w:rPr>
      </w:pPr>
    </w:p>
    <w:p>
      <w:pPr>
        <w:spacing w:line="560" w:lineRule="exact"/>
        <w:jc w:val="center"/>
        <w:rPr>
          <w:rFonts w:hint="eastAsia" w:ascii="黑体" w:hAnsi="黑体" w:eastAsia="黑体" w:cs="黑体"/>
          <w:sz w:val="32"/>
          <w:szCs w:val="32"/>
          <w:lang w:eastAsia="zh-CN"/>
        </w:rPr>
      </w:pPr>
      <w:r>
        <w:rPr>
          <w:rFonts w:hint="eastAsia" w:ascii="黑体" w:hAnsi="黑体" w:eastAsia="黑体" w:cs="黑体"/>
          <w:sz w:val="32"/>
          <w:szCs w:val="32"/>
          <w:lang w:eastAsia="zh-CN"/>
        </w:rPr>
        <w:t>第三章 预算安排和工作机制</w:t>
      </w:r>
    </w:p>
    <w:p>
      <w:pPr>
        <w:spacing w:line="560" w:lineRule="exact"/>
        <w:ind w:firstLine="640" w:firstLineChars="200"/>
        <w:jc w:val="both"/>
        <w:rPr>
          <w:rFonts w:hint="eastAsia" w:ascii="仿宋" w:hAnsi="仿宋" w:eastAsia="仿宋" w:cs="仿宋"/>
          <w:sz w:val="32"/>
          <w:szCs w:val="32"/>
          <w:lang w:eastAsia="zh-CN"/>
        </w:rPr>
      </w:pPr>
    </w:p>
    <w:p>
      <w:pPr>
        <w:spacing w:line="560" w:lineRule="exact"/>
        <w:ind w:firstLine="643" w:firstLineChars="200"/>
        <w:jc w:val="both"/>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第十条 资金预算安排</w:t>
      </w:r>
    </w:p>
    <w:p>
      <w:pPr>
        <w:spacing w:line="560" w:lineRule="exact"/>
        <w:ind w:firstLine="640" w:firstLineChars="200"/>
        <w:jc w:val="both"/>
        <w:rPr>
          <w:rFonts w:hint="eastAsia" w:ascii="仿宋" w:hAnsi="仿宋" w:eastAsia="仿宋" w:cs="仿宋"/>
          <w:sz w:val="32"/>
          <w:szCs w:val="32"/>
          <w:lang w:eastAsia="zh-CN"/>
        </w:rPr>
      </w:pPr>
      <w:r>
        <w:rPr>
          <w:rFonts w:hint="eastAsia" w:ascii="仿宋" w:hAnsi="仿宋" w:eastAsia="仿宋" w:cs="仿宋"/>
          <w:sz w:val="32"/>
          <w:szCs w:val="32"/>
          <w:lang w:eastAsia="zh-CN"/>
        </w:rPr>
        <w:t>区商务委根据年度工作重点，按照区级部门预算编制的时间要求，编制专项资金年度预算需求报区财政局。区财政局结合实际，核定下一年度区级预算，按照程序上报批准后实施。</w:t>
      </w:r>
    </w:p>
    <w:p>
      <w:pPr>
        <w:spacing w:line="560" w:lineRule="exact"/>
        <w:ind w:firstLine="643" w:firstLineChars="200"/>
        <w:jc w:val="both"/>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第十一条 工作机制</w:t>
      </w:r>
    </w:p>
    <w:p>
      <w:pPr>
        <w:spacing w:line="560" w:lineRule="exact"/>
        <w:ind w:firstLine="640" w:firstLineChars="200"/>
        <w:jc w:val="both"/>
        <w:rPr>
          <w:rFonts w:hint="eastAsia" w:ascii="仿宋" w:hAnsi="仿宋" w:eastAsia="仿宋" w:cs="仿宋"/>
          <w:sz w:val="32"/>
          <w:szCs w:val="32"/>
          <w:lang w:eastAsia="zh-CN"/>
        </w:rPr>
      </w:pPr>
      <w:r>
        <w:rPr>
          <w:rFonts w:hint="eastAsia" w:ascii="仿宋" w:hAnsi="仿宋" w:eastAsia="仿宋" w:cs="仿宋"/>
          <w:sz w:val="32"/>
          <w:szCs w:val="32"/>
          <w:lang w:eastAsia="zh-CN"/>
        </w:rPr>
        <w:t>成立“闵行区标准化菜市场稳供调节专项资金评审小组”（以下简称“评审小组”），结合项目实际适时开展项目验收、考核、评审工作。评审小组常设成员单位为：区商务委、区财政局、区市场监管局、区卫健委、区绿容局、区消防救援支队等部门及各街镇、莘庄工业区。评审小组办公室常设在区商务委。</w:t>
      </w:r>
    </w:p>
    <w:p>
      <w:pPr>
        <w:spacing w:line="560" w:lineRule="exact"/>
        <w:ind w:firstLine="643" w:firstLineChars="200"/>
        <w:jc w:val="both"/>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第十</w:t>
      </w:r>
      <w:r>
        <w:rPr>
          <w:rFonts w:hint="eastAsia" w:ascii="仿宋" w:hAnsi="仿宋" w:eastAsia="仿宋" w:cs="仿宋"/>
          <w:b/>
          <w:bCs/>
          <w:sz w:val="32"/>
          <w:szCs w:val="32"/>
          <w:lang w:val="en-US" w:eastAsia="zh-CN"/>
        </w:rPr>
        <w:t>二</w:t>
      </w:r>
      <w:r>
        <w:rPr>
          <w:rFonts w:hint="eastAsia" w:ascii="仿宋" w:hAnsi="仿宋" w:eastAsia="仿宋" w:cs="仿宋"/>
          <w:b/>
          <w:bCs/>
          <w:sz w:val="32"/>
          <w:szCs w:val="32"/>
          <w:lang w:eastAsia="zh-CN"/>
        </w:rPr>
        <w:t xml:space="preserve">条 </w:t>
      </w:r>
      <w:r>
        <w:rPr>
          <w:rFonts w:hint="eastAsia" w:ascii="仿宋" w:hAnsi="仿宋" w:eastAsia="仿宋" w:cs="仿宋"/>
          <w:b/>
          <w:bCs/>
          <w:sz w:val="32"/>
          <w:szCs w:val="32"/>
          <w:lang w:val="en-US" w:eastAsia="zh-CN"/>
        </w:rPr>
        <w:t>项目申报</w:t>
      </w:r>
    </w:p>
    <w:p>
      <w:pPr>
        <w:spacing w:line="560" w:lineRule="exact"/>
        <w:ind w:firstLine="640" w:firstLineChars="200"/>
        <w:jc w:val="both"/>
        <w:rPr>
          <w:rFonts w:hint="default" w:ascii="仿宋" w:hAnsi="仿宋" w:eastAsia="仿宋" w:cs="仿宋"/>
          <w:b/>
          <w:bCs/>
          <w:sz w:val="32"/>
          <w:szCs w:val="32"/>
          <w:lang w:val="en-US" w:eastAsia="zh-CN"/>
        </w:rPr>
      </w:pPr>
      <w:r>
        <w:rPr>
          <w:rFonts w:hint="eastAsia" w:ascii="仿宋" w:hAnsi="仿宋" w:eastAsia="仿宋" w:cs="仿宋"/>
          <w:sz w:val="32"/>
          <w:szCs w:val="32"/>
          <w:lang w:val="en-US" w:eastAsia="zh-CN"/>
        </w:rPr>
        <w:t>区商务委负责发布项目申报通知，明确申报时间、项目内容、受理地点、申报要求等具体信息。申请单位提出书面申请，根据项目性质按要求提供项目合同、审计报告等相关资料由属地街镇初审后报送区商务委。建设类项目原则上五年内不重复申请。</w:t>
      </w:r>
    </w:p>
    <w:p>
      <w:pPr>
        <w:spacing w:line="560" w:lineRule="exact"/>
        <w:ind w:firstLine="643" w:firstLineChars="200"/>
        <w:jc w:val="both"/>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第十</w:t>
      </w:r>
      <w:r>
        <w:rPr>
          <w:rFonts w:hint="eastAsia" w:ascii="仿宋" w:hAnsi="仿宋" w:eastAsia="仿宋" w:cs="仿宋"/>
          <w:b/>
          <w:bCs/>
          <w:sz w:val="32"/>
          <w:szCs w:val="32"/>
          <w:lang w:val="en-US" w:eastAsia="zh-CN"/>
        </w:rPr>
        <w:t>三</w:t>
      </w:r>
      <w:r>
        <w:rPr>
          <w:rFonts w:hint="eastAsia" w:ascii="仿宋" w:hAnsi="仿宋" w:eastAsia="仿宋" w:cs="仿宋"/>
          <w:b/>
          <w:bCs/>
          <w:sz w:val="32"/>
          <w:szCs w:val="32"/>
          <w:lang w:eastAsia="zh-CN"/>
        </w:rPr>
        <w:t>条 验收评审</w:t>
      </w:r>
    </w:p>
    <w:p>
      <w:pPr>
        <w:spacing w:line="560" w:lineRule="exact"/>
        <w:ind w:firstLine="640" w:firstLineChars="200"/>
        <w:jc w:val="both"/>
        <w:rPr>
          <w:rFonts w:hint="default" w:ascii="仿宋" w:hAnsi="仿宋" w:eastAsia="仿宋" w:cs="仿宋"/>
          <w:sz w:val="32"/>
          <w:szCs w:val="32"/>
          <w:lang w:val="en-US" w:eastAsia="zh-CN"/>
        </w:rPr>
      </w:pPr>
      <w:r>
        <w:rPr>
          <w:rFonts w:hint="eastAsia" w:ascii="仿宋" w:hAnsi="仿宋" w:eastAsia="仿宋" w:cs="仿宋"/>
          <w:sz w:val="32"/>
          <w:szCs w:val="32"/>
          <w:lang w:eastAsia="zh-CN"/>
        </w:rPr>
        <w:t>区商务委</w:t>
      </w:r>
      <w:r>
        <w:rPr>
          <w:rFonts w:hint="eastAsia" w:ascii="仿宋" w:hAnsi="仿宋" w:eastAsia="仿宋" w:cs="仿宋"/>
          <w:sz w:val="32"/>
          <w:szCs w:val="32"/>
          <w:lang w:val="en-US" w:eastAsia="zh-CN"/>
        </w:rPr>
        <w:t>根据</w:t>
      </w:r>
      <w:r>
        <w:rPr>
          <w:rFonts w:hint="eastAsia" w:ascii="仿宋" w:hAnsi="仿宋" w:eastAsia="仿宋" w:cs="仿宋"/>
          <w:sz w:val="32"/>
          <w:szCs w:val="32"/>
          <w:lang w:eastAsia="zh-CN"/>
        </w:rPr>
        <w:t>申报</w:t>
      </w:r>
      <w:r>
        <w:rPr>
          <w:rFonts w:hint="eastAsia" w:ascii="仿宋" w:hAnsi="仿宋" w:eastAsia="仿宋" w:cs="仿宋"/>
          <w:sz w:val="32"/>
          <w:szCs w:val="32"/>
          <w:lang w:val="en-US" w:eastAsia="zh-CN"/>
        </w:rPr>
        <w:t>情况（考核情况）</w:t>
      </w:r>
      <w:r>
        <w:rPr>
          <w:rFonts w:hint="eastAsia" w:ascii="仿宋" w:hAnsi="仿宋" w:eastAsia="仿宋" w:cs="仿宋"/>
          <w:sz w:val="32"/>
          <w:szCs w:val="32"/>
          <w:lang w:eastAsia="zh-CN"/>
        </w:rPr>
        <w:t>，牵头组织进行项目验收和评审，形成</w:t>
      </w:r>
      <w:r>
        <w:rPr>
          <w:rFonts w:hint="eastAsia" w:ascii="仿宋" w:hAnsi="仿宋" w:eastAsia="仿宋" w:cs="仿宋"/>
          <w:sz w:val="32"/>
          <w:szCs w:val="32"/>
          <w:lang w:val="en-US" w:eastAsia="zh-CN"/>
        </w:rPr>
        <w:t>综合</w:t>
      </w:r>
      <w:r>
        <w:rPr>
          <w:rFonts w:hint="eastAsia" w:ascii="仿宋" w:hAnsi="仿宋" w:eastAsia="仿宋" w:cs="仿宋"/>
          <w:sz w:val="32"/>
          <w:szCs w:val="32"/>
          <w:lang w:eastAsia="zh-CN"/>
        </w:rPr>
        <w:t>意见，</w:t>
      </w:r>
      <w:r>
        <w:rPr>
          <w:rFonts w:hint="eastAsia" w:ascii="仿宋" w:hAnsi="仿宋" w:eastAsia="仿宋" w:cs="仿宋"/>
          <w:sz w:val="32"/>
          <w:szCs w:val="32"/>
          <w:lang w:val="en-US" w:eastAsia="zh-CN"/>
        </w:rPr>
        <w:t>明确评审结果。</w:t>
      </w:r>
    </w:p>
    <w:p>
      <w:pPr>
        <w:spacing w:line="560" w:lineRule="exact"/>
        <w:ind w:firstLine="643" w:firstLineChars="200"/>
        <w:jc w:val="both"/>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第十</w:t>
      </w:r>
      <w:r>
        <w:rPr>
          <w:rFonts w:hint="eastAsia" w:ascii="仿宋" w:hAnsi="仿宋" w:eastAsia="仿宋" w:cs="仿宋"/>
          <w:b/>
          <w:bCs/>
          <w:sz w:val="32"/>
          <w:szCs w:val="32"/>
          <w:lang w:val="en-US" w:eastAsia="zh-CN"/>
        </w:rPr>
        <w:t>四</w:t>
      </w:r>
      <w:r>
        <w:rPr>
          <w:rFonts w:hint="eastAsia" w:ascii="仿宋" w:hAnsi="仿宋" w:eastAsia="仿宋" w:cs="仿宋"/>
          <w:b/>
          <w:bCs/>
          <w:sz w:val="32"/>
          <w:szCs w:val="32"/>
          <w:lang w:eastAsia="zh-CN"/>
        </w:rPr>
        <w:t>条 资金拨付</w:t>
      </w:r>
    </w:p>
    <w:p>
      <w:pPr>
        <w:spacing w:line="560" w:lineRule="exact"/>
        <w:ind w:firstLine="640" w:firstLineChars="200"/>
        <w:jc w:val="both"/>
        <w:rPr>
          <w:rFonts w:hint="eastAsia" w:ascii="仿宋" w:hAnsi="仿宋" w:eastAsia="仿宋" w:cs="仿宋"/>
          <w:sz w:val="32"/>
          <w:szCs w:val="32"/>
          <w:lang w:eastAsia="zh-CN"/>
        </w:rPr>
      </w:pPr>
      <w:r>
        <w:rPr>
          <w:rFonts w:hint="eastAsia" w:ascii="仿宋" w:hAnsi="仿宋" w:eastAsia="仿宋" w:cs="仿宋"/>
          <w:sz w:val="32"/>
          <w:szCs w:val="32"/>
          <w:lang w:eastAsia="zh-CN"/>
        </w:rPr>
        <w:t>区商务委汇总评审结果报委党委会审议后进行公示，无异议后报区主要领导审定。经批准，按流程将区级专项资金拨付至菜市场产权方或运营主体。</w:t>
      </w:r>
    </w:p>
    <w:p>
      <w:pPr>
        <w:spacing w:line="560" w:lineRule="exact"/>
        <w:ind w:firstLine="640" w:firstLineChars="200"/>
        <w:jc w:val="both"/>
        <w:rPr>
          <w:rFonts w:hint="eastAsia" w:ascii="黑体" w:hAnsi="黑体" w:eastAsia="黑体" w:cs="黑体"/>
          <w:sz w:val="32"/>
          <w:szCs w:val="32"/>
          <w:lang w:eastAsia="zh-CN"/>
        </w:rPr>
      </w:pPr>
    </w:p>
    <w:p>
      <w:pPr>
        <w:spacing w:line="560" w:lineRule="exact"/>
        <w:jc w:val="center"/>
        <w:rPr>
          <w:rFonts w:hint="eastAsia" w:ascii="黑体" w:hAnsi="黑体" w:eastAsia="黑体" w:cs="黑体"/>
          <w:sz w:val="32"/>
          <w:szCs w:val="32"/>
          <w:lang w:eastAsia="zh-CN"/>
        </w:rPr>
      </w:pPr>
      <w:r>
        <w:rPr>
          <w:rFonts w:hint="eastAsia" w:ascii="黑体" w:hAnsi="黑体" w:eastAsia="黑体" w:cs="黑体"/>
          <w:sz w:val="32"/>
          <w:szCs w:val="32"/>
          <w:lang w:eastAsia="zh-CN"/>
        </w:rPr>
        <w:t>第四章 监督管理</w:t>
      </w:r>
    </w:p>
    <w:p>
      <w:pPr>
        <w:spacing w:line="560" w:lineRule="exact"/>
        <w:ind w:firstLine="640" w:firstLineChars="200"/>
        <w:jc w:val="both"/>
        <w:rPr>
          <w:rFonts w:hint="eastAsia" w:ascii="仿宋" w:hAnsi="仿宋" w:eastAsia="仿宋" w:cs="仿宋"/>
          <w:sz w:val="32"/>
          <w:szCs w:val="32"/>
          <w:lang w:eastAsia="zh-CN"/>
        </w:rPr>
      </w:pPr>
    </w:p>
    <w:p>
      <w:pPr>
        <w:spacing w:line="560" w:lineRule="exact"/>
        <w:ind w:firstLine="643" w:firstLineChars="200"/>
        <w:jc w:val="both"/>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第十</w:t>
      </w:r>
      <w:r>
        <w:rPr>
          <w:rFonts w:hint="eastAsia" w:ascii="仿宋" w:hAnsi="仿宋" w:eastAsia="仿宋" w:cs="仿宋"/>
          <w:b/>
          <w:bCs/>
          <w:sz w:val="32"/>
          <w:szCs w:val="32"/>
          <w:lang w:val="en-US" w:eastAsia="zh-CN"/>
        </w:rPr>
        <w:t>五</w:t>
      </w:r>
      <w:r>
        <w:rPr>
          <w:rFonts w:hint="eastAsia" w:ascii="仿宋" w:hAnsi="仿宋" w:eastAsia="仿宋" w:cs="仿宋"/>
          <w:b/>
          <w:bCs/>
          <w:sz w:val="32"/>
          <w:szCs w:val="32"/>
          <w:lang w:eastAsia="zh-CN"/>
        </w:rPr>
        <w:t>条 明确使用范围</w:t>
      </w:r>
    </w:p>
    <w:p>
      <w:pPr>
        <w:spacing w:line="560" w:lineRule="exact"/>
        <w:ind w:firstLine="640" w:firstLineChars="200"/>
        <w:jc w:val="both"/>
        <w:rPr>
          <w:rFonts w:hint="eastAsia" w:ascii="仿宋" w:hAnsi="仿宋" w:eastAsia="仿宋" w:cs="仿宋"/>
          <w:sz w:val="32"/>
          <w:szCs w:val="32"/>
          <w:lang w:eastAsia="zh-CN"/>
        </w:rPr>
      </w:pPr>
      <w:r>
        <w:rPr>
          <w:rFonts w:hint="eastAsia" w:ascii="仿宋" w:hAnsi="仿宋" w:eastAsia="仿宋" w:cs="仿宋"/>
          <w:sz w:val="32"/>
          <w:szCs w:val="32"/>
          <w:lang w:eastAsia="zh-CN"/>
        </w:rPr>
        <w:t>专项资金应当严格按照区级财政资金管理的有关规定，严禁截留、挤占或挪用。专项资金的预算安排和使用管理情况，应依法接受审计和监察部门的监督。</w:t>
      </w:r>
    </w:p>
    <w:p>
      <w:pPr>
        <w:spacing w:line="560" w:lineRule="exact"/>
        <w:ind w:firstLine="643" w:firstLineChars="200"/>
        <w:jc w:val="both"/>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第十</w:t>
      </w:r>
      <w:r>
        <w:rPr>
          <w:rFonts w:hint="eastAsia" w:ascii="仿宋" w:hAnsi="仿宋" w:eastAsia="仿宋" w:cs="仿宋"/>
          <w:b/>
          <w:bCs/>
          <w:sz w:val="32"/>
          <w:szCs w:val="32"/>
          <w:lang w:val="en-US" w:eastAsia="zh-CN"/>
        </w:rPr>
        <w:t>六</w:t>
      </w:r>
      <w:r>
        <w:rPr>
          <w:rFonts w:hint="eastAsia" w:ascii="仿宋" w:hAnsi="仿宋" w:eastAsia="仿宋" w:cs="仿宋"/>
          <w:b/>
          <w:bCs/>
          <w:sz w:val="32"/>
          <w:szCs w:val="32"/>
          <w:lang w:eastAsia="zh-CN"/>
        </w:rPr>
        <w:t>条 加强项目审查</w:t>
      </w:r>
    </w:p>
    <w:p>
      <w:pPr>
        <w:spacing w:line="560" w:lineRule="exact"/>
        <w:ind w:firstLine="640" w:firstLineChars="200"/>
        <w:jc w:val="both"/>
        <w:rPr>
          <w:rFonts w:hint="eastAsia" w:ascii="仿宋" w:hAnsi="仿宋" w:eastAsia="仿宋" w:cs="仿宋"/>
          <w:sz w:val="32"/>
          <w:szCs w:val="32"/>
          <w:lang w:eastAsia="zh-CN"/>
        </w:rPr>
      </w:pPr>
      <w:r>
        <w:rPr>
          <w:rFonts w:hint="eastAsia" w:ascii="仿宋" w:hAnsi="仿宋" w:eastAsia="仿宋" w:cs="仿宋"/>
          <w:sz w:val="32"/>
          <w:szCs w:val="32"/>
          <w:lang w:eastAsia="zh-CN"/>
        </w:rPr>
        <w:t>区商务委负责对各项目进行指导、管理，监督相关单位按要求进行建设、改</w:t>
      </w:r>
      <w:r>
        <w:rPr>
          <w:rFonts w:hint="eastAsia" w:ascii="仿宋" w:hAnsi="仿宋" w:eastAsia="仿宋" w:cs="仿宋"/>
          <w:sz w:val="32"/>
          <w:szCs w:val="32"/>
          <w:lang w:val="en-US" w:eastAsia="zh-CN"/>
        </w:rPr>
        <w:t>建</w:t>
      </w:r>
      <w:r>
        <w:rPr>
          <w:rFonts w:hint="eastAsia" w:ascii="仿宋" w:hAnsi="仿宋" w:eastAsia="仿宋" w:cs="仿宋"/>
          <w:sz w:val="32"/>
          <w:szCs w:val="32"/>
          <w:lang w:eastAsia="zh-CN"/>
        </w:rPr>
        <w:t>、提升管理和服务，按要求完成项目任务。在项目申请、实施、验收过程中，加强对申报项目的材料审查，如对相关单位提交的证明文件有疑问的，可聘请第三方机构再审。各街镇、莘庄工业区负责对标准化菜市场实行建设项目的动态管理。</w:t>
      </w:r>
    </w:p>
    <w:p>
      <w:pPr>
        <w:spacing w:line="560" w:lineRule="exact"/>
        <w:ind w:firstLine="643" w:firstLineChars="200"/>
        <w:jc w:val="both"/>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第十</w:t>
      </w:r>
      <w:r>
        <w:rPr>
          <w:rFonts w:hint="eastAsia" w:ascii="仿宋" w:hAnsi="仿宋" w:eastAsia="仿宋" w:cs="仿宋"/>
          <w:b/>
          <w:bCs/>
          <w:sz w:val="32"/>
          <w:szCs w:val="32"/>
          <w:lang w:val="en-US" w:eastAsia="zh-CN"/>
        </w:rPr>
        <w:t>七</w:t>
      </w:r>
      <w:r>
        <w:rPr>
          <w:rFonts w:hint="eastAsia" w:ascii="仿宋" w:hAnsi="仿宋" w:eastAsia="仿宋" w:cs="仿宋"/>
          <w:b/>
          <w:bCs/>
          <w:sz w:val="32"/>
          <w:szCs w:val="32"/>
          <w:lang w:eastAsia="zh-CN"/>
        </w:rPr>
        <w:t>条 落实主体责任</w:t>
      </w:r>
    </w:p>
    <w:p>
      <w:pPr>
        <w:spacing w:line="560" w:lineRule="exact"/>
        <w:ind w:firstLine="640" w:firstLineChars="200"/>
        <w:jc w:val="both"/>
        <w:rPr>
          <w:rFonts w:hint="eastAsia" w:ascii="仿宋" w:hAnsi="仿宋" w:eastAsia="仿宋" w:cs="仿宋"/>
          <w:sz w:val="32"/>
          <w:szCs w:val="32"/>
          <w:lang w:eastAsia="zh-CN"/>
        </w:rPr>
      </w:pPr>
      <w:r>
        <w:rPr>
          <w:rFonts w:hint="eastAsia" w:ascii="仿宋" w:hAnsi="仿宋" w:eastAsia="仿宋" w:cs="仿宋"/>
          <w:sz w:val="32"/>
          <w:szCs w:val="32"/>
          <w:lang w:eastAsia="zh-CN"/>
        </w:rPr>
        <w:t>申报主体的法人、负责人及相关人员对专项资金使用的合法性、真实性和有效性负责，并自觉遵守国家财经纪律，接受相关部门的监督检查。对弄虚作假、伪造材料，将依法追究法律责任；对未报批、未经审核许可擅自改变标准化菜市场属性或标准要求的，责令其退还所获专项资金，同时三年内取消资金申报主体资格同步将失信信息纳入上海市公共信用信息服务平台。</w:t>
      </w:r>
    </w:p>
    <w:p>
      <w:pPr>
        <w:spacing w:line="560" w:lineRule="exact"/>
        <w:ind w:firstLine="640" w:firstLineChars="200"/>
        <w:jc w:val="both"/>
        <w:rPr>
          <w:rFonts w:hint="eastAsia" w:ascii="仿宋" w:hAnsi="仿宋" w:eastAsia="仿宋" w:cs="仿宋"/>
          <w:sz w:val="32"/>
          <w:szCs w:val="32"/>
          <w:lang w:eastAsia="zh-CN"/>
        </w:rPr>
      </w:pPr>
    </w:p>
    <w:p>
      <w:pPr>
        <w:spacing w:line="560" w:lineRule="exact"/>
        <w:jc w:val="center"/>
        <w:rPr>
          <w:rFonts w:hint="eastAsia" w:ascii="黑体" w:hAnsi="黑体" w:eastAsia="黑体" w:cs="黑体"/>
          <w:sz w:val="32"/>
          <w:szCs w:val="32"/>
          <w:lang w:eastAsia="zh-CN"/>
        </w:rPr>
      </w:pPr>
      <w:r>
        <w:rPr>
          <w:rFonts w:hint="eastAsia" w:ascii="黑体" w:hAnsi="黑体" w:eastAsia="黑体" w:cs="黑体"/>
          <w:sz w:val="32"/>
          <w:szCs w:val="32"/>
          <w:lang w:eastAsia="zh-CN"/>
        </w:rPr>
        <w:t>第五章 附则</w:t>
      </w:r>
    </w:p>
    <w:p>
      <w:pPr>
        <w:spacing w:line="560" w:lineRule="exact"/>
        <w:ind w:firstLine="643" w:firstLineChars="200"/>
        <w:jc w:val="both"/>
        <w:rPr>
          <w:rFonts w:hint="eastAsia" w:ascii="仿宋" w:hAnsi="仿宋" w:eastAsia="仿宋" w:cs="仿宋"/>
          <w:b/>
          <w:bCs/>
          <w:sz w:val="32"/>
          <w:szCs w:val="32"/>
          <w:lang w:eastAsia="zh-CN"/>
        </w:rPr>
      </w:pPr>
    </w:p>
    <w:p>
      <w:pPr>
        <w:spacing w:line="560" w:lineRule="exact"/>
        <w:ind w:firstLine="643" w:firstLineChars="200"/>
        <w:jc w:val="both"/>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第十</w:t>
      </w:r>
      <w:r>
        <w:rPr>
          <w:rFonts w:hint="eastAsia" w:ascii="仿宋" w:hAnsi="仿宋" w:eastAsia="仿宋" w:cs="仿宋"/>
          <w:b/>
          <w:bCs/>
          <w:sz w:val="32"/>
          <w:szCs w:val="32"/>
          <w:lang w:val="en-US" w:eastAsia="zh-CN"/>
        </w:rPr>
        <w:t>八</w:t>
      </w:r>
      <w:r>
        <w:rPr>
          <w:rFonts w:hint="eastAsia" w:ascii="仿宋" w:hAnsi="仿宋" w:eastAsia="仿宋" w:cs="仿宋"/>
          <w:b/>
          <w:bCs/>
          <w:sz w:val="32"/>
          <w:szCs w:val="32"/>
          <w:lang w:eastAsia="zh-CN"/>
        </w:rPr>
        <w:t>条 附则</w:t>
      </w:r>
    </w:p>
    <w:p>
      <w:pPr>
        <w:spacing w:line="560" w:lineRule="exact"/>
        <w:ind w:firstLine="640" w:firstLineChars="200"/>
        <w:jc w:val="both"/>
        <w:rPr>
          <w:rFonts w:hint="eastAsia" w:ascii="仿宋" w:hAnsi="仿宋" w:eastAsia="仿宋" w:cs="仿宋"/>
          <w:sz w:val="32"/>
          <w:szCs w:val="32"/>
          <w:lang w:eastAsia="zh-CN"/>
        </w:rPr>
      </w:pPr>
      <w:r>
        <w:rPr>
          <w:rFonts w:hint="eastAsia" w:ascii="仿宋" w:hAnsi="仿宋" w:eastAsia="仿宋" w:cs="仿宋"/>
          <w:sz w:val="32"/>
          <w:szCs w:val="32"/>
          <w:lang w:eastAsia="zh-CN"/>
        </w:rPr>
        <w:t>（一）本办法由区商务委、</w:t>
      </w:r>
      <w:r>
        <w:rPr>
          <w:rFonts w:hint="eastAsia" w:ascii="仿宋" w:hAnsi="仿宋" w:eastAsia="仿宋" w:cs="仿宋"/>
          <w:sz w:val="32"/>
          <w:szCs w:val="32"/>
          <w:lang w:val="en-US" w:eastAsia="zh-CN"/>
        </w:rPr>
        <w:t>区财政局</w:t>
      </w:r>
      <w:r>
        <w:rPr>
          <w:rFonts w:hint="eastAsia" w:ascii="仿宋" w:hAnsi="仿宋" w:eastAsia="仿宋" w:cs="仿宋"/>
          <w:sz w:val="32"/>
          <w:szCs w:val="32"/>
          <w:lang w:eastAsia="zh-CN"/>
        </w:rPr>
        <w:t>负责解释。</w:t>
      </w:r>
    </w:p>
    <w:p>
      <w:pPr>
        <w:spacing w:line="560" w:lineRule="exact"/>
        <w:ind w:firstLine="640" w:firstLineChars="200"/>
        <w:jc w:val="both"/>
        <w:rPr>
          <w:rFonts w:hint="eastAsia" w:ascii="仿宋" w:hAnsi="仿宋" w:eastAsia="仿宋" w:cs="仿宋"/>
          <w:sz w:val="32"/>
          <w:szCs w:val="32"/>
          <w:lang w:eastAsia="zh-CN"/>
        </w:rPr>
      </w:pPr>
      <w:r>
        <w:rPr>
          <w:rFonts w:hint="eastAsia" w:ascii="仿宋" w:hAnsi="仿宋" w:eastAsia="仿宋" w:cs="仿宋"/>
          <w:sz w:val="32"/>
          <w:szCs w:val="32"/>
          <w:lang w:eastAsia="zh-CN"/>
        </w:rPr>
        <w:t>（二）各街镇、莘庄工业区可参考本办法制定相关办法。</w:t>
      </w:r>
    </w:p>
    <w:p>
      <w:pPr>
        <w:spacing w:line="560" w:lineRule="exact"/>
        <w:ind w:firstLine="640" w:firstLineChars="200"/>
        <w:jc w:val="both"/>
        <w:rPr>
          <w:rFonts w:hint="eastAsia" w:ascii="仿宋" w:hAnsi="仿宋" w:eastAsia="仿宋" w:cs="仿宋"/>
          <w:sz w:val="32"/>
          <w:szCs w:val="32"/>
          <w:lang w:eastAsia="zh-CN"/>
        </w:rPr>
      </w:pPr>
      <w:r>
        <w:rPr>
          <w:rFonts w:hint="eastAsia" w:ascii="仿宋" w:hAnsi="仿宋" w:eastAsia="仿宋" w:cs="仿宋"/>
          <w:sz w:val="32"/>
          <w:szCs w:val="32"/>
          <w:lang w:eastAsia="zh-CN"/>
        </w:rPr>
        <w:t>（三）本办法有效期</w:t>
      </w:r>
      <w:r>
        <w:rPr>
          <w:rFonts w:hint="eastAsia" w:ascii="仿宋" w:hAnsi="仿宋" w:eastAsia="仿宋" w:cs="仿宋"/>
          <w:sz w:val="32"/>
          <w:szCs w:val="32"/>
          <w:lang w:val="en-US" w:eastAsia="zh-CN"/>
        </w:rPr>
        <w:t>自xx</w:t>
      </w:r>
      <w:r>
        <w:rPr>
          <w:rFonts w:hint="eastAsia" w:ascii="仿宋" w:hAnsi="仿宋" w:eastAsia="仿宋" w:cs="仿宋"/>
          <w:sz w:val="32"/>
          <w:szCs w:val="32"/>
          <w:lang w:eastAsia="zh-CN"/>
        </w:rPr>
        <w:t>年</w:t>
      </w:r>
      <w:r>
        <w:rPr>
          <w:rFonts w:hint="eastAsia" w:ascii="仿宋" w:hAnsi="仿宋" w:eastAsia="仿宋" w:cs="仿宋"/>
          <w:sz w:val="32"/>
          <w:szCs w:val="32"/>
          <w:lang w:val="en-US" w:eastAsia="zh-CN"/>
        </w:rPr>
        <w:t>xx</w:t>
      </w:r>
      <w:r>
        <w:rPr>
          <w:rFonts w:hint="eastAsia" w:ascii="仿宋" w:hAnsi="仿宋" w:eastAsia="仿宋" w:cs="仿宋"/>
          <w:sz w:val="32"/>
          <w:szCs w:val="32"/>
          <w:lang w:eastAsia="zh-CN"/>
        </w:rPr>
        <w:t>月</w:t>
      </w:r>
      <w:r>
        <w:rPr>
          <w:rFonts w:hint="eastAsia" w:ascii="仿宋" w:hAnsi="仿宋" w:eastAsia="仿宋" w:cs="仿宋"/>
          <w:sz w:val="32"/>
          <w:szCs w:val="32"/>
          <w:lang w:val="en-US" w:eastAsia="zh-CN"/>
        </w:rPr>
        <w:t>xx</w:t>
      </w:r>
      <w:r>
        <w:rPr>
          <w:rFonts w:hint="eastAsia" w:ascii="仿宋" w:hAnsi="仿宋" w:eastAsia="仿宋" w:cs="仿宋"/>
          <w:sz w:val="32"/>
          <w:szCs w:val="32"/>
          <w:lang w:eastAsia="zh-CN"/>
        </w:rPr>
        <w:t>日至</w:t>
      </w:r>
      <w:r>
        <w:rPr>
          <w:rFonts w:hint="eastAsia" w:ascii="仿宋" w:hAnsi="仿宋" w:eastAsia="仿宋" w:cs="仿宋"/>
          <w:sz w:val="32"/>
          <w:szCs w:val="32"/>
          <w:lang w:val="en-US" w:eastAsia="zh-CN"/>
        </w:rPr>
        <w:t>xx</w:t>
      </w:r>
      <w:r>
        <w:rPr>
          <w:rFonts w:hint="eastAsia" w:ascii="仿宋" w:hAnsi="仿宋" w:eastAsia="仿宋" w:cs="仿宋"/>
          <w:sz w:val="32"/>
          <w:szCs w:val="32"/>
          <w:lang w:eastAsia="zh-CN"/>
        </w:rPr>
        <w:t>年</w:t>
      </w:r>
      <w:r>
        <w:rPr>
          <w:rFonts w:hint="eastAsia" w:ascii="仿宋" w:hAnsi="仿宋" w:eastAsia="仿宋" w:cs="仿宋"/>
          <w:sz w:val="32"/>
          <w:szCs w:val="32"/>
          <w:lang w:val="en-US" w:eastAsia="zh-CN"/>
        </w:rPr>
        <w:t>xx</w:t>
      </w:r>
      <w:r>
        <w:rPr>
          <w:rFonts w:hint="eastAsia" w:ascii="仿宋" w:hAnsi="仿宋" w:eastAsia="仿宋" w:cs="仿宋"/>
          <w:sz w:val="32"/>
          <w:szCs w:val="32"/>
          <w:lang w:eastAsia="zh-CN"/>
        </w:rPr>
        <w:t>月</w:t>
      </w:r>
      <w:r>
        <w:rPr>
          <w:rFonts w:hint="eastAsia" w:ascii="仿宋" w:hAnsi="仿宋" w:eastAsia="仿宋" w:cs="仿宋"/>
          <w:sz w:val="32"/>
          <w:szCs w:val="32"/>
          <w:lang w:val="en-US" w:eastAsia="zh-CN"/>
        </w:rPr>
        <w:t>xx</w:t>
      </w:r>
      <w:r>
        <w:rPr>
          <w:rFonts w:hint="eastAsia" w:ascii="仿宋" w:hAnsi="仿宋" w:eastAsia="仿宋" w:cs="仿宋"/>
          <w:sz w:val="32"/>
          <w:szCs w:val="32"/>
          <w:lang w:eastAsia="zh-CN"/>
        </w:rPr>
        <w:t>日。</w:t>
      </w:r>
    </w:p>
    <w:p>
      <w:bookmarkStart w:id="0" w:name="_GoBack"/>
      <w:bookmarkEnd w:id="0"/>
    </w:p>
    <w:sectPr>
      <w:type w:val="continuous"/>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EF" w:usb1="C0007841" w:usb2="00000009" w:usb3="00000000" w:csb0="400001FF" w:csb1="FFFF0000"/>
  </w:font>
  <w:font w:name="宋体">
    <w:altName w:val="汉仪书宋二KW"/>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704020202020204"/>
    <w:charset w:val="01"/>
    <w:family w:val="swiss"/>
    <w:pitch w:val="default"/>
    <w:sig w:usb0="E0002AFF" w:usb1="C0007843" w:usb2="00000009" w:usb3="00000000" w:csb0="400001FF" w:csb1="FFFF0000"/>
  </w:font>
  <w:font w:name="黑体">
    <w:altName w:val="汉仪中黑KW"/>
    <w:panose1 w:val="02010609060101010101"/>
    <w:charset w:val="86"/>
    <w:family w:val="auto"/>
    <w:pitch w:val="default"/>
    <w:sig w:usb0="800002BF" w:usb1="38CF7CFA" w:usb2="00000016" w:usb3="00000000" w:csb0="00040001" w:csb1="00000000"/>
  </w:font>
  <w:font w:name="Courier New">
    <w:panose1 w:val="02070609020205020404"/>
    <w:charset w:val="01"/>
    <w:family w:val="modern"/>
    <w:pitch w:val="default"/>
    <w:sig w:usb0="E0002AFF" w:usb1="C0007843" w:usb2="00000009" w:usb3="00000000" w:csb0="400001FF" w:csb1="FFFF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楷体">
    <w:altName w:val="汉仪楷体KW"/>
    <w:panose1 w:val="02010609060101010101"/>
    <w:charset w:val="86"/>
    <w:family w:val="modern"/>
    <w:pitch w:val="default"/>
    <w:sig w:usb0="00000000" w:usb1="00000000" w:usb2="00000016" w:usb3="00000000" w:csb0="00040001" w:csb1="00000000"/>
  </w:font>
  <w:font w:name="仿宋">
    <w:altName w:val="方正仿宋_GBK"/>
    <w:panose1 w:val="02010609060101010101"/>
    <w:charset w:val="86"/>
    <w:family w:val="modern"/>
    <w:pitch w:val="default"/>
    <w:sig w:usb0="00000000" w:usb1="00000000" w:usb2="00000016" w:usb3="00000000" w:csb0="00040001" w:csb1="00000000"/>
  </w:font>
  <w:font w:name="汉仪书宋二KW">
    <w:panose1 w:val="00020600040101010101"/>
    <w:charset w:val="86"/>
    <w:family w:val="auto"/>
    <w:pitch w:val="default"/>
    <w:sig w:usb0="A00002BF" w:usb1="18EF7CFA" w:usb2="00000016" w:usb3="00000000" w:csb0="00040000" w:csb1="00000000"/>
  </w:font>
  <w:font w:name="汉仪中黑KW">
    <w:panose1 w:val="00020600040101010101"/>
    <w:charset w:val="86"/>
    <w:family w:val="auto"/>
    <w:pitch w:val="default"/>
    <w:sig w:usb0="A00002BF" w:usb1="18EF7CFA" w:usb2="00000016" w:usb3="00000000" w:csb0="00040000" w:csb1="00000000"/>
  </w:font>
  <w:font w:name="汉仪楷体KW">
    <w:panose1 w:val="00020600040101010101"/>
    <w:charset w:val="86"/>
    <w:family w:val="auto"/>
    <w:pitch w:val="default"/>
    <w:sig w:usb0="A00002BF" w:usb1="18EF7CFA" w:usb2="00000016" w:usb3="00000000" w:csb0="00040000" w:csb1="00000000"/>
  </w:font>
  <w:font w:name="方正仿宋_GBK">
    <w:panose1 w:val="02000000000000000000"/>
    <w:charset w:val="86"/>
    <w:family w:val="auto"/>
    <w:pitch w:val="default"/>
    <w:sig w:usb0="A00002BF" w:usb1="38CF7CFA" w:usb2="00082016" w:usb3="00000000" w:csb0="00040001" w:csb1="00000000"/>
  </w:font>
  <w:font w:name="Kingsoft Sign">
    <w:panose1 w:val="05050102010706020507"/>
    <w:charset w:val="00"/>
    <w:family w:val="auto"/>
    <w:pitch w:val="default"/>
    <w:sig w:usb0="00000000" w:usb1="10000000" w:usb2="00000000" w:usb3="00000000" w:csb0="00000001" w:csb1="00000000"/>
  </w:font>
  <w:font w:name="Helvetica Neue">
    <w:panose1 w:val="02000503000000020004"/>
    <w:charset w:val="00"/>
    <w:family w:val="auto"/>
    <w:pitch w:val="default"/>
    <w:sig w:usb0="E50002FF" w:usb1="500079DB" w:usb2="0000001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3"/>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U1MDU3YTgwZmYwNDUyMWYzYTk5Y2YzMTJjYzk5YjkifQ=="/>
    <w:docVar w:name="KSO_WPS_MARK_KEY" w:val="2e6897fc-3b85-497e-8832-f95ee616debe"/>
  </w:docVars>
  <w:rsids>
    <w:rsidRoot w:val="5DC042C3"/>
    <w:rsid w:val="0001167F"/>
    <w:rsid w:val="000642B5"/>
    <w:rsid w:val="000825EE"/>
    <w:rsid w:val="000A3736"/>
    <w:rsid w:val="0019783D"/>
    <w:rsid w:val="001B6583"/>
    <w:rsid w:val="001D66A7"/>
    <w:rsid w:val="00202135"/>
    <w:rsid w:val="00220894"/>
    <w:rsid w:val="00434C21"/>
    <w:rsid w:val="004C55B7"/>
    <w:rsid w:val="004D2B31"/>
    <w:rsid w:val="0054194B"/>
    <w:rsid w:val="00695FC0"/>
    <w:rsid w:val="006E3E45"/>
    <w:rsid w:val="00872E04"/>
    <w:rsid w:val="0087662E"/>
    <w:rsid w:val="009727B4"/>
    <w:rsid w:val="00996F20"/>
    <w:rsid w:val="00A01F4C"/>
    <w:rsid w:val="00AF0C81"/>
    <w:rsid w:val="00CB2248"/>
    <w:rsid w:val="00CC644A"/>
    <w:rsid w:val="00E23C8B"/>
    <w:rsid w:val="00E551B0"/>
    <w:rsid w:val="00FA4CAC"/>
    <w:rsid w:val="00FB3CA5"/>
    <w:rsid w:val="01F62F61"/>
    <w:rsid w:val="089512F8"/>
    <w:rsid w:val="202B56B1"/>
    <w:rsid w:val="2DB57FA1"/>
    <w:rsid w:val="2ECE57B5"/>
    <w:rsid w:val="2FFA5D94"/>
    <w:rsid w:val="313792AB"/>
    <w:rsid w:val="35E4E5C2"/>
    <w:rsid w:val="3ECF017A"/>
    <w:rsid w:val="44CC1069"/>
    <w:rsid w:val="46AB31C7"/>
    <w:rsid w:val="46C75EE7"/>
    <w:rsid w:val="47B4644A"/>
    <w:rsid w:val="4C661AD6"/>
    <w:rsid w:val="55AB0944"/>
    <w:rsid w:val="575C534A"/>
    <w:rsid w:val="5DC042C3"/>
    <w:rsid w:val="62AF2356"/>
    <w:rsid w:val="6764794B"/>
    <w:rsid w:val="6F6D565E"/>
    <w:rsid w:val="79435F35"/>
    <w:rsid w:val="799D570E"/>
    <w:rsid w:val="7A3D7C35"/>
    <w:rsid w:val="7B3FEBCA"/>
    <w:rsid w:val="7CEC1841"/>
    <w:rsid w:val="7D35DBF2"/>
    <w:rsid w:val="7FE5136F"/>
    <w:rsid w:val="BDFE6B90"/>
    <w:rsid w:val="DF9B77FE"/>
    <w:rsid w:val="EFF666C8"/>
    <w:rsid w:val="FBCB8695"/>
    <w:rsid w:val="FBFFD3D3"/>
    <w:rsid w:val="FFFE6A2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1"/>
    <w:rPr>
      <w:sz w:val="32"/>
      <w:szCs w:val="32"/>
    </w:rPr>
  </w:style>
  <w:style w:type="paragraph" w:styleId="3">
    <w:name w:val="footer"/>
    <w:basedOn w:val="1"/>
    <w:link w:val="8"/>
    <w:uiPriority w:val="0"/>
    <w:pPr>
      <w:tabs>
        <w:tab w:val="center" w:pos="4153"/>
        <w:tab w:val="right" w:pos="8306"/>
      </w:tabs>
      <w:snapToGrid w:val="0"/>
      <w:jc w:val="left"/>
    </w:pPr>
    <w:rPr>
      <w:sz w:val="18"/>
      <w:szCs w:val="18"/>
    </w:rPr>
  </w:style>
  <w:style w:type="paragraph" w:styleId="4">
    <w:name w:val="header"/>
    <w:basedOn w:val="1"/>
    <w:link w:val="7"/>
    <w:uiPriority w:val="0"/>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uiPriority w:val="0"/>
    <w:rPr>
      <w:kern w:val="2"/>
      <w:sz w:val="18"/>
      <w:szCs w:val="18"/>
    </w:rPr>
  </w:style>
  <w:style w:type="character" w:customStyle="1" w:styleId="8">
    <w:name w:val="页脚 Char"/>
    <w:basedOn w:val="6"/>
    <w:link w:val="3"/>
    <w:uiPriority w:val="0"/>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10</Pages>
  <Words>4915</Words>
  <Characters>5016</Characters>
  <Lines>39</Lines>
  <Paragraphs>11</Paragraphs>
  <TotalTime>0</TotalTime>
  <ScaleCrop>false</ScaleCrop>
  <LinksUpToDate>false</LinksUpToDate>
  <CharactersWithSpaces>5031</CharactersWithSpaces>
  <Application>WPS Office_6.3.0.8471_F1E327BC-269C-435d-A152-05C5408002CA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2023-09-12T07:32:00Z</dcterms:created>
  <dc:creator>丁丁历险记</dc:creator>
  <cp:lastModifiedBy>是世界上最可爱的人啊</cp:lastModifiedBy>
  <dcterms:modified xsi:type="dcterms:W3CDTF">2024-12-25T14:03:03Z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2052-6.3.0.8471</vt:lpwstr>
  </property>
  <property fmtid="{D5CDD505-2E9C-101B-9397-08002B2CF9AE}" pid="3" name="ICV">
    <vt:lpwstr>4E80B5DC25E40FDF00696A677C2F4BC9_43</vt:lpwstr>
  </property>
</Properties>
</file>