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ascii="黑体" w:hAnsi="黑体" w:eastAsia="黑体" w:cs="黑体"/>
          <w:sz w:val="40"/>
          <w:szCs w:val="40"/>
        </w:rPr>
      </w:pPr>
      <w:r>
        <w:rPr>
          <w:rFonts w:hint="eastAsia" w:ascii="黑体" w:hAnsi="黑体" w:eastAsia="黑体" w:cs="黑体"/>
          <w:sz w:val="40"/>
          <w:szCs w:val="40"/>
        </w:rPr>
        <w:t>闵行区标准化菜市场考核评比办法</w:t>
      </w:r>
    </w:p>
    <w:p>
      <w:pPr>
        <w:spacing w:line="560" w:lineRule="exact"/>
        <w:jc w:val="center"/>
        <w:rPr>
          <w:rFonts w:ascii="楷体" w:hAnsi="楷体" w:eastAsia="楷体" w:cs="楷体"/>
          <w:sz w:val="32"/>
          <w:szCs w:val="32"/>
        </w:rPr>
      </w:pPr>
      <w:r>
        <w:rPr>
          <w:rFonts w:hint="eastAsia" w:ascii="楷体" w:hAnsi="楷体" w:eastAsia="楷体" w:cs="楷体"/>
          <w:sz w:val="32"/>
          <w:szCs w:val="32"/>
        </w:rPr>
        <w:t>（</w:t>
      </w:r>
      <w:r>
        <w:rPr>
          <w:rFonts w:hint="eastAsia" w:ascii="楷体" w:hAnsi="楷体" w:eastAsia="楷体" w:cs="楷体"/>
          <w:sz w:val="32"/>
          <w:szCs w:val="32"/>
          <w:lang w:val="en-US" w:eastAsia="zh-CN"/>
        </w:rPr>
        <w:t>草案</w:t>
      </w:r>
      <w:r>
        <w:rPr>
          <w:rFonts w:hint="eastAsia" w:ascii="楷体" w:hAnsi="楷体" w:eastAsia="楷体" w:cs="楷体"/>
          <w:sz w:val="32"/>
          <w:szCs w:val="32"/>
        </w:rPr>
        <w:t>）</w:t>
      </w:r>
    </w:p>
    <w:p>
      <w:pPr>
        <w:spacing w:line="560" w:lineRule="exact"/>
        <w:ind w:firstLine="640" w:firstLineChars="200"/>
        <w:rPr>
          <w:rFonts w:ascii="仿宋" w:hAnsi="仿宋" w:eastAsia="仿宋" w:cs="仿宋"/>
          <w:sz w:val="32"/>
          <w:szCs w:val="32"/>
        </w:rPr>
      </w:pP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为进一步强化对菜市场的日常监督管理和考核，促进闵行区市场提质升级，不断提升菜市场经营管理水平，根据《上海市标准化菜市场管理办法》、《上海市标准化菜市场设置与管理规范》等文件精神，结合闵行实际，制定本办法。</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一、指导思想</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以习近平新时代中国特色社会主义思想为指导，围绕闵行高质量发展要求，坚持以人民为中心，聚焦人民群众的需求，通过建立健全公平公正的菜市场考核评价体系，强化菜市场长效管理制度，着力保障菜市场食品安全，创造整洁优美的市场环境，为市民提供整洁、舒适、放心的购物环境。</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二、考核对象</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本区范围内正常经营的标准化菜市场。</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三、考核内容</w:t>
      </w:r>
    </w:p>
    <w:p>
      <w:pPr>
        <w:spacing w:line="560" w:lineRule="exact"/>
        <w:ind w:firstLine="640" w:firstLineChars="200"/>
        <w:rPr>
          <w:rFonts w:ascii="仿宋" w:hAnsi="仿宋" w:eastAsia="仿宋" w:cs="仿宋"/>
          <w:color w:val="auto"/>
          <w:sz w:val="32"/>
          <w:szCs w:val="32"/>
        </w:rPr>
      </w:pPr>
      <w:r>
        <w:rPr>
          <w:rFonts w:hint="eastAsia" w:ascii="仿宋" w:hAnsi="仿宋" w:eastAsia="仿宋" w:cs="仿宋"/>
          <w:sz w:val="32"/>
          <w:szCs w:val="32"/>
        </w:rPr>
        <w:t>菜市场日常经营中的各个</w:t>
      </w:r>
      <w:r>
        <w:rPr>
          <w:rFonts w:hint="eastAsia" w:ascii="仿宋" w:hAnsi="仿宋" w:eastAsia="仿宋" w:cs="仿宋"/>
          <w:color w:val="auto"/>
          <w:sz w:val="32"/>
          <w:szCs w:val="32"/>
        </w:rPr>
        <w:t>方面，包括经营服务、管理规范、业态布局、环境卫生、食品安全、保供稳价、诚信经营等。</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四、考核办法</w:t>
      </w:r>
    </w:p>
    <w:p>
      <w:pPr>
        <w:spacing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按照日常考核以及第三方测评相结合的原则，按照《闵行区标准化菜市场考核评比细则》，由各相关职能部门现场对菜市场运营管理情况进行考核打分，年底汇总累计加权平均后形成年终得分，确定考核等次及排名后向社会公示。日常考核权重占比为60%；第三方测评占比为40%。</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五、考核实施</w:t>
      </w:r>
    </w:p>
    <w:p>
      <w:pPr>
        <w:spacing w:line="560" w:lineRule="exact"/>
        <w:ind w:firstLine="641" w:firstLineChars="200"/>
        <w:rPr>
          <w:rFonts w:ascii="楷体" w:hAnsi="楷体" w:eastAsia="楷体" w:cs="楷体"/>
          <w:b/>
          <w:bCs/>
          <w:sz w:val="32"/>
          <w:szCs w:val="32"/>
        </w:rPr>
      </w:pPr>
      <w:r>
        <w:rPr>
          <w:rFonts w:hint="eastAsia" w:ascii="楷体" w:hAnsi="楷体" w:eastAsia="楷体" w:cs="楷体"/>
          <w:b/>
          <w:bCs/>
          <w:sz w:val="32"/>
          <w:szCs w:val="32"/>
        </w:rPr>
        <w:t>（一）实施部门</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闵行区标准化菜市场考核评比工作由区商务委负责牵头并组织实施，区市场监管局、区卫健委、区绿化市容局、区消防救援支队等相关部门按照相关职责参与考核评比。</w:t>
      </w:r>
    </w:p>
    <w:p>
      <w:pPr>
        <w:spacing w:line="560" w:lineRule="exact"/>
        <w:ind w:firstLine="641" w:firstLineChars="200"/>
        <w:rPr>
          <w:rFonts w:ascii="楷体" w:hAnsi="楷体" w:eastAsia="楷体" w:cs="楷体"/>
          <w:b/>
          <w:bCs/>
          <w:sz w:val="32"/>
          <w:szCs w:val="32"/>
        </w:rPr>
      </w:pPr>
      <w:r>
        <w:rPr>
          <w:rFonts w:hint="eastAsia" w:ascii="楷体" w:hAnsi="楷体" w:eastAsia="楷体" w:cs="楷体"/>
          <w:b/>
          <w:bCs/>
          <w:sz w:val="32"/>
          <w:szCs w:val="32"/>
        </w:rPr>
        <w:t>（二）考核程序</w:t>
      </w:r>
    </w:p>
    <w:p>
      <w:pPr>
        <w:spacing w:line="560" w:lineRule="exact"/>
        <w:ind w:firstLine="643" w:firstLineChars="200"/>
        <w:rPr>
          <w:rFonts w:hint="eastAsia" w:ascii="仿宋" w:hAnsi="仿宋" w:eastAsia="仿宋" w:cs="仿宋"/>
          <w:sz w:val="32"/>
          <w:szCs w:val="32"/>
        </w:rPr>
      </w:pPr>
      <w:r>
        <w:rPr>
          <w:rFonts w:hint="eastAsia" w:ascii="仿宋" w:hAnsi="仿宋" w:eastAsia="仿宋" w:cs="仿宋"/>
          <w:b/>
          <w:bCs/>
          <w:sz w:val="32"/>
          <w:szCs w:val="32"/>
        </w:rPr>
        <w:t>1</w:t>
      </w:r>
      <w:r>
        <w:rPr>
          <w:rFonts w:hint="eastAsia" w:ascii="仿宋" w:hAnsi="仿宋" w:eastAsia="仿宋" w:cs="仿宋"/>
          <w:b/>
          <w:bCs/>
          <w:sz w:val="32"/>
          <w:szCs w:val="32"/>
          <w:lang w:eastAsia="zh-CN"/>
        </w:rPr>
        <w:t>.</w:t>
      </w:r>
      <w:r>
        <w:rPr>
          <w:rFonts w:hint="eastAsia" w:ascii="仿宋" w:hAnsi="仿宋" w:eastAsia="仿宋" w:cs="仿宋"/>
          <w:b/>
          <w:bCs/>
          <w:sz w:val="32"/>
          <w:szCs w:val="32"/>
        </w:rPr>
        <w:t>日常考核。</w:t>
      </w:r>
      <w:r>
        <w:rPr>
          <w:rFonts w:hint="eastAsia" w:ascii="仿宋" w:hAnsi="仿宋" w:eastAsia="仿宋" w:cs="仿宋"/>
          <w:sz w:val="32"/>
          <w:szCs w:val="32"/>
        </w:rPr>
        <w:t>区商务委、区市场监管局、区卫健委、区绿化市容局、区消防</w:t>
      </w:r>
      <w:r>
        <w:rPr>
          <w:rFonts w:hint="eastAsia" w:ascii="仿宋" w:hAnsi="仿宋" w:eastAsia="仿宋" w:cs="仿宋"/>
          <w:sz w:val="32"/>
          <w:szCs w:val="32"/>
          <w:lang w:val="en-US" w:eastAsia="zh-CN"/>
        </w:rPr>
        <w:t>救援</w:t>
      </w:r>
      <w:r>
        <w:rPr>
          <w:rFonts w:hint="eastAsia" w:ascii="仿宋" w:hAnsi="仿宋" w:eastAsia="仿宋" w:cs="仿宋"/>
          <w:sz w:val="32"/>
          <w:szCs w:val="32"/>
        </w:rPr>
        <w:t>支队等相关部门按照相关职责，全年</w:t>
      </w:r>
      <w:r>
        <w:rPr>
          <w:rFonts w:hint="eastAsia" w:ascii="仿宋" w:hAnsi="仿宋" w:eastAsia="仿宋" w:cs="仿宋"/>
          <w:sz w:val="32"/>
          <w:szCs w:val="32"/>
          <w:highlight w:val="none"/>
        </w:rPr>
        <w:t>定期对菜市</w:t>
      </w:r>
      <w:r>
        <w:rPr>
          <w:rFonts w:hint="eastAsia" w:ascii="仿宋" w:hAnsi="仿宋" w:eastAsia="仿宋" w:cs="仿宋"/>
          <w:sz w:val="32"/>
          <w:szCs w:val="32"/>
        </w:rPr>
        <w:t>场进行检查考核评分。</w:t>
      </w:r>
    </w:p>
    <w:p>
      <w:pPr>
        <w:spacing w:line="560" w:lineRule="exact"/>
        <w:ind w:firstLine="643" w:firstLineChars="200"/>
        <w:rPr>
          <w:rFonts w:hint="eastAsia" w:ascii="仿宋" w:hAnsi="仿宋" w:eastAsia="仿宋" w:cs="仿宋"/>
          <w:sz w:val="32"/>
          <w:szCs w:val="32"/>
        </w:rPr>
      </w:pPr>
      <w:r>
        <w:rPr>
          <w:rFonts w:hint="eastAsia" w:ascii="仿宋" w:hAnsi="仿宋" w:eastAsia="仿宋" w:cs="仿宋"/>
          <w:b/>
          <w:bCs/>
          <w:sz w:val="32"/>
          <w:szCs w:val="32"/>
        </w:rPr>
        <w:t>2.第三方测评。</w:t>
      </w:r>
      <w:r>
        <w:rPr>
          <w:rFonts w:hint="eastAsia" w:ascii="仿宋" w:hAnsi="仿宋" w:eastAsia="仿宋" w:cs="仿宋"/>
          <w:sz w:val="32"/>
          <w:szCs w:val="32"/>
        </w:rPr>
        <w:t>由区商务委委托第三方对全区菜市场日常经营管理</w:t>
      </w:r>
      <w:r>
        <w:rPr>
          <w:rFonts w:hint="eastAsia" w:ascii="仿宋" w:hAnsi="仿宋" w:eastAsia="仿宋" w:cs="仿宋"/>
          <w:sz w:val="32"/>
          <w:szCs w:val="32"/>
          <w:lang w:val="en-US" w:eastAsia="zh-CN"/>
        </w:rPr>
        <w:t>定期</w:t>
      </w:r>
      <w:r>
        <w:rPr>
          <w:rFonts w:hint="eastAsia" w:ascii="仿宋" w:hAnsi="仿宋" w:eastAsia="仿宋" w:cs="仿宋"/>
          <w:sz w:val="32"/>
          <w:szCs w:val="32"/>
        </w:rPr>
        <w:t>进行现场考核评分。</w:t>
      </w:r>
    </w:p>
    <w:p>
      <w:pPr>
        <w:spacing w:line="560" w:lineRule="exact"/>
        <w:ind w:firstLine="643" w:firstLineChars="200"/>
        <w:rPr>
          <w:rFonts w:ascii="仿宋" w:hAnsi="仿宋" w:eastAsia="仿宋" w:cs="仿宋"/>
          <w:sz w:val="32"/>
          <w:szCs w:val="32"/>
        </w:rPr>
      </w:pPr>
      <w:r>
        <w:rPr>
          <w:rFonts w:hint="eastAsia" w:ascii="仿宋" w:hAnsi="仿宋" w:eastAsia="仿宋" w:cs="仿宋"/>
          <w:b/>
          <w:bCs/>
          <w:sz w:val="32"/>
          <w:szCs w:val="32"/>
        </w:rPr>
        <w:t>3</w:t>
      </w:r>
      <w:r>
        <w:rPr>
          <w:rFonts w:hint="eastAsia" w:ascii="仿宋" w:hAnsi="仿宋" w:eastAsia="仿宋" w:cs="仿宋"/>
          <w:b/>
          <w:bCs/>
          <w:sz w:val="32"/>
          <w:szCs w:val="32"/>
          <w:lang w:eastAsia="zh-CN"/>
        </w:rPr>
        <w:t>.</w:t>
      </w:r>
      <w:r>
        <w:rPr>
          <w:rFonts w:hint="eastAsia" w:ascii="仿宋" w:hAnsi="仿宋" w:eastAsia="仿宋" w:cs="仿宋"/>
          <w:b/>
          <w:bCs/>
          <w:sz w:val="32"/>
          <w:szCs w:val="32"/>
        </w:rPr>
        <w:t>年度汇总。</w:t>
      </w:r>
      <w:r>
        <w:rPr>
          <w:rFonts w:hint="eastAsia" w:ascii="仿宋" w:hAnsi="仿宋" w:eastAsia="仿宋" w:cs="仿宋"/>
          <w:sz w:val="32"/>
          <w:szCs w:val="32"/>
        </w:rPr>
        <w:t>年底由区商务委根据日常考核、第三方测评评分结果，经加权计算每个菜市场年度得分，予以排名，确定考核等次。</w:t>
      </w:r>
    </w:p>
    <w:p>
      <w:pPr>
        <w:spacing w:line="560" w:lineRule="exact"/>
        <w:ind w:firstLine="643" w:firstLineChars="200"/>
        <w:rPr>
          <w:rFonts w:ascii="仿宋" w:hAnsi="仿宋" w:eastAsia="仿宋" w:cs="仿宋"/>
          <w:sz w:val="32"/>
          <w:szCs w:val="32"/>
        </w:rPr>
      </w:pPr>
      <w:r>
        <w:rPr>
          <w:rFonts w:hint="eastAsia" w:ascii="仿宋" w:hAnsi="仿宋" w:eastAsia="仿宋" w:cs="仿宋"/>
          <w:b/>
          <w:bCs/>
          <w:sz w:val="32"/>
          <w:szCs w:val="32"/>
        </w:rPr>
        <w:t>4</w:t>
      </w:r>
      <w:r>
        <w:rPr>
          <w:rFonts w:hint="eastAsia" w:ascii="仿宋" w:hAnsi="仿宋" w:eastAsia="仿宋" w:cs="仿宋"/>
          <w:b/>
          <w:bCs/>
          <w:sz w:val="32"/>
          <w:szCs w:val="32"/>
          <w:lang w:eastAsia="zh-CN"/>
        </w:rPr>
        <w:t>.</w:t>
      </w:r>
      <w:r>
        <w:rPr>
          <w:rFonts w:hint="eastAsia" w:ascii="仿宋" w:hAnsi="仿宋" w:eastAsia="仿宋" w:cs="仿宋"/>
          <w:b/>
          <w:bCs/>
          <w:sz w:val="32"/>
          <w:szCs w:val="32"/>
        </w:rPr>
        <w:t>通报和奖励。</w:t>
      </w:r>
      <w:r>
        <w:rPr>
          <w:rFonts w:hint="eastAsia" w:ascii="仿宋" w:hAnsi="仿宋" w:eastAsia="仿宋" w:cs="仿宋"/>
          <w:sz w:val="32"/>
          <w:szCs w:val="32"/>
        </w:rPr>
        <w:t>确定考核等次后，由区商务委将考核结果向各街镇（莘庄工业区）通报，对年度考核名次靠前的菜市场给予通报表彰和考核奖励。</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六、考核奖惩</w:t>
      </w:r>
    </w:p>
    <w:p>
      <w:pPr>
        <w:spacing w:line="560" w:lineRule="exact"/>
        <w:ind w:firstLine="641" w:firstLineChars="200"/>
        <w:rPr>
          <w:rFonts w:ascii="楷体" w:hAnsi="楷体" w:eastAsia="楷体" w:cs="楷体"/>
          <w:b/>
          <w:bCs/>
          <w:sz w:val="32"/>
          <w:szCs w:val="32"/>
        </w:rPr>
      </w:pPr>
      <w:r>
        <w:rPr>
          <w:rFonts w:hint="eastAsia" w:ascii="楷体" w:hAnsi="楷体" w:eastAsia="楷体" w:cs="楷体"/>
          <w:b/>
          <w:bCs/>
          <w:sz w:val="32"/>
          <w:szCs w:val="32"/>
        </w:rPr>
        <w:t>（一）等次评定标准</w:t>
      </w:r>
    </w:p>
    <w:p>
      <w:pPr>
        <w:spacing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根据考核得分，分为“优秀”“良好”“合格”和“不合格”4个等次，其中得分在90分以上的为“优秀”；得分在80-90分之间的为“良好”；得分在60-80分之间的为“合格”；得分在60分以下的为“不合格”。其中市场内食品、生鲜、蔬菜等业态配比不符合标准化菜市场设置规范的菜市场，不予评为良好及以上等次，年内出现“作弊秤”的菜市场，考核结果为“不合格”。</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（二）奖励标准和范围</w:t>
      </w:r>
    </w:p>
    <w:p>
      <w:pPr>
        <w:spacing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年度考核结果为“优秀”等次且排名在前3名的菜市场，每家给予10万元奖励；年度考核结果为“优秀”“良好”等次，给予排名前1</w:t>
      </w:r>
      <w:r>
        <w:rPr>
          <w:rFonts w:hint="eastAsia" w:ascii="仿宋" w:hAnsi="仿宋" w:eastAsia="仿宋" w:cs="仿宋"/>
          <w:sz w:val="32"/>
          <w:szCs w:val="32"/>
          <w:lang w:val="en-US" w:eastAsia="zh-CN"/>
        </w:rPr>
        <w:t>0</w:t>
      </w:r>
      <w:r>
        <w:rPr>
          <w:rFonts w:hint="eastAsia" w:ascii="仿宋" w:hAnsi="仿宋" w:eastAsia="仿宋" w:cs="仿宋"/>
          <w:sz w:val="32"/>
          <w:szCs w:val="32"/>
        </w:rPr>
        <w:t>%（除前3名）的菜市场给予5万元的奖励。</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（三）惩戒处理</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年度考核结果为“不合格”等次的菜市场，区商务委</w:t>
      </w:r>
      <w:r>
        <w:rPr>
          <w:rFonts w:hint="eastAsia" w:ascii="仿宋" w:hAnsi="仿宋" w:eastAsia="仿宋" w:cs="仿宋"/>
          <w:sz w:val="32"/>
          <w:szCs w:val="32"/>
          <w:lang w:val="en-US" w:eastAsia="zh-CN"/>
        </w:rPr>
        <w:t>会</w:t>
      </w:r>
      <w:r>
        <w:rPr>
          <w:rFonts w:hint="eastAsia" w:ascii="仿宋" w:hAnsi="仿宋" w:eastAsia="仿宋" w:cs="仿宋"/>
          <w:sz w:val="32"/>
          <w:szCs w:val="32"/>
        </w:rPr>
        <w:t>同相关部门及属地街镇（</w:t>
      </w:r>
      <w:r>
        <w:rPr>
          <w:rFonts w:hint="eastAsia" w:ascii="仿宋" w:hAnsi="仿宋" w:eastAsia="仿宋" w:cs="仿宋"/>
          <w:sz w:val="32"/>
          <w:szCs w:val="32"/>
          <w:lang w:val="en-US" w:eastAsia="zh-CN"/>
        </w:rPr>
        <w:t>工业区</w:t>
      </w:r>
      <w:r>
        <w:rPr>
          <w:rFonts w:hint="eastAsia" w:ascii="仿宋" w:hAnsi="仿宋" w:eastAsia="仿宋" w:cs="仿宋"/>
          <w:sz w:val="32"/>
          <w:szCs w:val="32"/>
        </w:rPr>
        <w:t>）约谈并责成菜市场运营管理单位限期整改，对整改不到位的，建议街镇（</w:t>
      </w:r>
      <w:r>
        <w:rPr>
          <w:rFonts w:hint="eastAsia" w:ascii="仿宋" w:hAnsi="仿宋" w:eastAsia="仿宋" w:cs="仿宋"/>
          <w:sz w:val="32"/>
          <w:szCs w:val="32"/>
          <w:lang w:val="en-US" w:eastAsia="zh-CN"/>
        </w:rPr>
        <w:t>工业区</w:t>
      </w:r>
      <w:r>
        <w:rPr>
          <w:rFonts w:hint="eastAsia" w:ascii="仿宋" w:hAnsi="仿宋" w:eastAsia="仿宋" w:cs="仿宋"/>
          <w:sz w:val="32"/>
          <w:szCs w:val="32"/>
        </w:rPr>
        <w:t>）和产权单位及时调整经营主体。</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七、其他事项</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标准化菜市场发生以下情形的，取消当年度奖励资格：</w:t>
      </w:r>
    </w:p>
    <w:p>
      <w:pPr>
        <w:spacing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1．发生重大安全生产事故</w:t>
      </w:r>
      <w:r>
        <w:rPr>
          <w:rFonts w:hint="eastAsia" w:ascii="仿宋" w:hAnsi="仿宋" w:eastAsia="仿宋" w:cs="仿宋"/>
          <w:sz w:val="32"/>
          <w:szCs w:val="32"/>
          <w:lang w:val="en-US" w:eastAsia="zh-CN"/>
        </w:rPr>
        <w:t>或</w:t>
      </w:r>
      <w:r>
        <w:rPr>
          <w:rFonts w:hint="eastAsia" w:ascii="仿宋" w:hAnsi="仿宋" w:eastAsia="仿宋" w:cs="仿宋"/>
          <w:sz w:val="32"/>
          <w:szCs w:val="32"/>
        </w:rPr>
        <w:t>重大食品安全事故；</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2．市级及以上媒体有严重负面报道；</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3．各类创建工作推进过程中被市级以上媒体曝光或直接造成我区被扣除较大分值</w:t>
      </w:r>
      <w:r>
        <w:rPr>
          <w:rFonts w:hint="eastAsia" w:ascii="仿宋" w:hAnsi="仿宋" w:eastAsia="仿宋" w:cs="仿宋"/>
          <w:color w:val="auto"/>
          <w:sz w:val="32"/>
          <w:szCs w:val="32"/>
        </w:rPr>
        <w:t>。</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八、附则</w:t>
      </w:r>
    </w:p>
    <w:p>
      <w:pPr>
        <w:spacing w:line="560" w:lineRule="exact"/>
        <w:ind w:firstLine="640" w:firstLineChars="200"/>
        <w:rPr>
          <w:rFonts w:hint="eastAsia" w:eastAsia="仿宋"/>
          <w:lang w:eastAsia="zh-CN"/>
        </w:rPr>
        <w:sectPr>
          <w:pgSz w:w="11906" w:h="16838"/>
          <w:pgMar w:top="1440" w:right="1800" w:bottom="1440" w:left="1800" w:header="851" w:footer="992" w:gutter="0"/>
          <w:cols w:space="425" w:num="1"/>
          <w:docGrid w:type="lines" w:linePitch="312" w:charSpace="0"/>
        </w:sectPr>
      </w:pPr>
      <w:r>
        <w:rPr>
          <w:rFonts w:hint="eastAsia" w:ascii="仿宋" w:hAnsi="仿宋" w:eastAsia="仿宋" w:cs="仿宋"/>
          <w:sz w:val="32"/>
          <w:szCs w:val="32"/>
        </w:rPr>
        <w:t>本办法自****年**月起施行，有效期至****年**月</w:t>
      </w:r>
      <w:bookmarkStart w:id="0" w:name="_GoBack"/>
      <w:bookmarkEnd w:id="0"/>
      <w:r>
        <w:rPr>
          <w:rFonts w:hint="eastAsia" w:ascii="仿宋" w:hAnsi="仿宋" w:eastAsia="仿宋" w:cs="仿宋"/>
          <w:sz w:val="32"/>
          <w:szCs w:val="32"/>
          <w:lang w:eastAsia="zh-CN"/>
        </w:rPr>
        <w:t>。</w:t>
      </w:r>
    </w:p>
    <w:p>
      <w:pPr>
        <w:keepNext w:val="0"/>
        <w:keepLines w:val="0"/>
        <w:pageBreakBefore w:val="0"/>
        <w:widowControl w:val="0"/>
        <w:kinsoku/>
        <w:wordWrap/>
        <w:overflowPunct/>
        <w:topLinePunct w:val="0"/>
        <w:autoSpaceDE/>
        <w:autoSpaceDN/>
        <w:bidi w:val="0"/>
        <w:adjustRightInd/>
        <w:snapToGrid/>
        <w:spacing w:line="0" w:lineRule="atLeast"/>
        <w:textAlignment w:val="auto"/>
      </w:pPr>
    </w:p>
    <w:sectPr>
      <w:type w:val="continuous"/>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704020202020204"/>
    <w:charset w:val="01"/>
    <w:family w:val="swiss"/>
    <w:pitch w:val="default"/>
    <w:sig w:usb0="E0002AFF" w:usb1="C0007843" w:usb2="00000009" w:usb3="00000000" w:csb0="400001FF" w:csb1="FFFF0000"/>
  </w:font>
  <w:font w:name="黑体">
    <w:altName w:val="汉仪中黑KW"/>
    <w:panose1 w:val="02010609060101010101"/>
    <w:charset w:val="86"/>
    <w:family w:val="auto"/>
    <w:pitch w:val="default"/>
    <w:sig w:usb0="800002BF" w:usb1="38CF7CFA" w:usb2="00000016" w:usb3="00000000" w:csb0="00040001" w:csb1="00000000"/>
  </w:font>
  <w:font w:name="Courier New">
    <w:panose1 w:val="02070609020205020404"/>
    <w:charset w:val="01"/>
    <w:family w:val="modern"/>
    <w:pitch w:val="default"/>
    <w:sig w:usb0="E0002AFF" w:usb1="C0007843" w:usb2="00000009" w:usb3="00000000" w:csb0="400001FF" w:csb1="FFFF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楷体">
    <w:altName w:val="汉仪楷体KW"/>
    <w:panose1 w:val="02010609060101010101"/>
    <w:charset w:val="86"/>
    <w:family w:val="modern"/>
    <w:pitch w:val="default"/>
    <w:sig w:usb0="00000000" w:usb1="00000000" w:usb2="00000016" w:usb3="00000000" w:csb0="00040001" w:csb1="00000000"/>
  </w:font>
  <w:font w:name="仿宋">
    <w:altName w:val="方正仿宋_GBK"/>
    <w:panose1 w:val="02010609060101010101"/>
    <w:charset w:val="86"/>
    <w:family w:val="modern"/>
    <w:pitch w:val="default"/>
    <w:sig w:usb0="00000000" w:usb1="00000000" w:usb2="00000016" w:usb3="00000000" w:csb0="00040001" w:csb1="00000000"/>
  </w:font>
  <w:font w:name="汉仪书宋二KW">
    <w:panose1 w:val="00020600040101010101"/>
    <w:charset w:val="86"/>
    <w:family w:val="auto"/>
    <w:pitch w:val="default"/>
    <w:sig w:usb0="A00002BF" w:usb1="18EF7CFA" w:usb2="00000016" w:usb3="00000000" w:csb0="00040000" w:csb1="00000000"/>
  </w:font>
  <w:font w:name="汉仪中黑KW">
    <w:panose1 w:val="00020600040101010101"/>
    <w:charset w:val="86"/>
    <w:family w:val="auto"/>
    <w:pitch w:val="default"/>
    <w:sig w:usb0="A00002BF" w:usb1="18EF7CFA" w:usb2="00000016" w:usb3="00000000" w:csb0="00040000" w:csb1="00000000"/>
  </w:font>
  <w:font w:name="汉仪楷体KW">
    <w:panose1 w:val="00020600040101010101"/>
    <w:charset w:val="86"/>
    <w:family w:val="auto"/>
    <w:pitch w:val="default"/>
    <w:sig w:usb0="A00002BF" w:usb1="18EF7CFA" w:usb2="00000016" w:usb3="00000000" w:csb0="00040000" w:csb1="00000000"/>
  </w:font>
  <w:font w:name="方正仿宋_GBK">
    <w:panose1 w:val="02000000000000000000"/>
    <w:charset w:val="86"/>
    <w:family w:val="auto"/>
    <w:pitch w:val="default"/>
    <w:sig w:usb0="A00002BF" w:usb1="38CF7CFA" w:usb2="00082016" w:usb3="00000000" w:csb0="00040001" w:csb1="00000000"/>
  </w:font>
  <w:font w:name="Kingsoft Sign">
    <w:panose1 w:val="05050102010706020507"/>
    <w:charset w:val="00"/>
    <w:family w:val="auto"/>
    <w:pitch w:val="default"/>
    <w:sig w:usb0="00000000" w:usb1="10000000" w:usb2="00000000" w:usb3="00000000" w:csb0="00000001" w:csb1="00000000"/>
  </w:font>
  <w:font w:name="Helvetica Neue">
    <w:panose1 w:val="02000503000000020004"/>
    <w:charset w:val="00"/>
    <w:family w:val="auto"/>
    <w:pitch w:val="default"/>
    <w:sig w:usb0="E50002FF" w:usb1="500079DB" w:usb2="0000001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3"/>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U1MDU3YTgwZmYwNDUyMWYzYTk5Y2YzMTJjYzk5YjkifQ=="/>
    <w:docVar w:name="KSO_WPS_MARK_KEY" w:val="2e6897fc-3b85-497e-8832-f95ee616debe"/>
  </w:docVars>
  <w:rsids>
    <w:rsidRoot w:val="5DC042C3"/>
    <w:rsid w:val="0001167F"/>
    <w:rsid w:val="000642B5"/>
    <w:rsid w:val="000825EE"/>
    <w:rsid w:val="000A3736"/>
    <w:rsid w:val="0019783D"/>
    <w:rsid w:val="001B6583"/>
    <w:rsid w:val="001D66A7"/>
    <w:rsid w:val="00202135"/>
    <w:rsid w:val="00220894"/>
    <w:rsid w:val="00434C21"/>
    <w:rsid w:val="004C55B7"/>
    <w:rsid w:val="004D2B31"/>
    <w:rsid w:val="0054194B"/>
    <w:rsid w:val="00695FC0"/>
    <w:rsid w:val="006E3E45"/>
    <w:rsid w:val="00872E04"/>
    <w:rsid w:val="0087662E"/>
    <w:rsid w:val="009727B4"/>
    <w:rsid w:val="00996F20"/>
    <w:rsid w:val="00A01F4C"/>
    <w:rsid w:val="00AF0C81"/>
    <w:rsid w:val="00CB2248"/>
    <w:rsid w:val="00CC644A"/>
    <w:rsid w:val="00E23C8B"/>
    <w:rsid w:val="00E551B0"/>
    <w:rsid w:val="00FA4CAC"/>
    <w:rsid w:val="00FB3CA5"/>
    <w:rsid w:val="01F62F61"/>
    <w:rsid w:val="089512F8"/>
    <w:rsid w:val="202B56B1"/>
    <w:rsid w:val="2DB57FA1"/>
    <w:rsid w:val="2ECE57B5"/>
    <w:rsid w:val="2FFA5D94"/>
    <w:rsid w:val="35E4E5C2"/>
    <w:rsid w:val="44CC1069"/>
    <w:rsid w:val="46AB31C7"/>
    <w:rsid w:val="46C75EE7"/>
    <w:rsid w:val="47B4644A"/>
    <w:rsid w:val="4C661AD6"/>
    <w:rsid w:val="55AB0944"/>
    <w:rsid w:val="575C534A"/>
    <w:rsid w:val="5DC042C3"/>
    <w:rsid w:val="62AF2356"/>
    <w:rsid w:val="6764794B"/>
    <w:rsid w:val="6F6D565E"/>
    <w:rsid w:val="79435F35"/>
    <w:rsid w:val="799D570E"/>
    <w:rsid w:val="7A3D7C35"/>
    <w:rsid w:val="7B3FEBCA"/>
    <w:rsid w:val="7CEC1841"/>
    <w:rsid w:val="7D35DBF2"/>
    <w:rsid w:val="7E767EBF"/>
    <w:rsid w:val="7FE5136F"/>
    <w:rsid w:val="DF9B77FE"/>
    <w:rsid w:val="EFF666C8"/>
    <w:rsid w:val="FBCB8695"/>
    <w:rsid w:val="FBFFD3D3"/>
    <w:rsid w:val="FFFE6A2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1"/>
    <w:rPr>
      <w:sz w:val="32"/>
      <w:szCs w:val="32"/>
    </w:rPr>
  </w:style>
  <w:style w:type="paragraph" w:styleId="3">
    <w:name w:val="footer"/>
    <w:basedOn w:val="1"/>
    <w:link w:val="8"/>
    <w:uiPriority w:val="0"/>
    <w:pPr>
      <w:tabs>
        <w:tab w:val="center" w:pos="4153"/>
        <w:tab w:val="right" w:pos="8306"/>
      </w:tabs>
      <w:snapToGrid w:val="0"/>
      <w:jc w:val="left"/>
    </w:pPr>
    <w:rPr>
      <w:sz w:val="18"/>
      <w:szCs w:val="18"/>
    </w:rPr>
  </w:style>
  <w:style w:type="paragraph" w:styleId="4">
    <w:name w:val="header"/>
    <w:basedOn w:val="1"/>
    <w:link w:val="7"/>
    <w:uiPriority w:val="0"/>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uiPriority w:val="0"/>
    <w:rPr>
      <w:kern w:val="2"/>
      <w:sz w:val="18"/>
      <w:szCs w:val="18"/>
    </w:rPr>
  </w:style>
  <w:style w:type="character" w:customStyle="1" w:styleId="8">
    <w:name w:val="页脚 Char"/>
    <w:basedOn w:val="6"/>
    <w:link w:val="3"/>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10</Pages>
  <Words>4915</Words>
  <Characters>5016</Characters>
  <Lines>39</Lines>
  <Paragraphs>11</Paragraphs>
  <TotalTime>0</TotalTime>
  <ScaleCrop>false</ScaleCrop>
  <LinksUpToDate>false</LinksUpToDate>
  <CharactersWithSpaces>5031</CharactersWithSpaces>
  <Application>WPS Office_6.3.0.8471_F1E327BC-269C-435d-A152-05C5408002CA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2023-09-11T15:32:00Z</dcterms:created>
  <dc:creator>丁丁历险记</dc:creator>
  <cp:lastModifiedBy>是世界上最可爱的人啊</cp:lastModifiedBy>
  <dcterms:modified xsi:type="dcterms:W3CDTF">2024-12-25T13:49:50Z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2052-6.3.0.8471</vt:lpwstr>
  </property>
  <property fmtid="{D5CDD505-2E9C-101B-9397-08002B2CF9AE}" pid="3" name="ICV">
    <vt:lpwstr>4E80B5DC25E40FDF00696A677C2F4BC9_43</vt:lpwstr>
  </property>
</Properties>
</file>