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E2691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6"/>
          <w:szCs w:val="36"/>
          <w:highlight w:val="none"/>
        </w:rPr>
      </w:pPr>
      <w:r>
        <w:rPr>
          <w:rFonts w:hint="eastAsia" w:ascii="方正小标宋简体" w:hAnsi="方正小标宋简体" w:eastAsia="方正小标宋简体" w:cs="方正小标宋简体"/>
          <w:sz w:val="36"/>
          <w:szCs w:val="36"/>
          <w:highlight w:val="none"/>
        </w:rPr>
        <w:t>【一图读懂】闵行区标准化菜市场考核评比办法</w:t>
      </w:r>
    </w:p>
    <w:p w14:paraId="6AAD60E5">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sz w:val="36"/>
          <w:szCs w:val="36"/>
          <w:highlight w:val="none"/>
        </w:rPr>
      </w:pPr>
    </w:p>
    <w:p w14:paraId="0696AFDF">
      <w:pPr>
        <w:keepNext w:val="0"/>
        <w:keepLines w:val="0"/>
        <w:pageBreakBefore w:val="0"/>
        <w:widowControl w:val="0"/>
        <w:numPr>
          <w:ilvl w:val="0"/>
          <w:numId w:val="1"/>
        </w:numPr>
        <w:suppressAutoHyphens/>
        <w:kinsoku/>
        <w:wordWrap/>
        <w:overflowPunct/>
        <w:topLinePunct w:val="0"/>
        <w:autoSpaceDE/>
        <w:autoSpaceDN/>
        <w:bidi w:val="0"/>
        <w:adjustRightInd/>
        <w:snapToGrid/>
        <w:spacing w:line="560" w:lineRule="exact"/>
        <w:jc w:val="both"/>
        <w:textAlignment w:val="auto"/>
        <w:rPr>
          <w:rFonts w:hint="eastAsia" w:ascii="CESI楷体-GB2312" w:hAnsi="CESI楷体-GB2312" w:eastAsia="CESI楷体-GB2312" w:cs="CESI楷体-GB2312"/>
          <w:sz w:val="30"/>
          <w:szCs w:val="30"/>
          <w:highlight w:val="none"/>
          <w:lang w:val="en-US" w:eastAsia="zh-CN"/>
        </w:rPr>
      </w:pPr>
      <w:r>
        <w:rPr>
          <w:rFonts w:hint="eastAsia" w:ascii="CESI楷体-GB2312" w:hAnsi="CESI楷体-GB2312" w:eastAsia="CESI楷体-GB2312" w:cs="CESI楷体-GB2312"/>
          <w:sz w:val="30"/>
          <w:szCs w:val="30"/>
          <w:highlight w:val="none"/>
          <w:lang w:val="en-US" w:eastAsia="zh-CN"/>
        </w:rPr>
        <w:t>考核对象与内容</w:t>
      </w:r>
    </w:p>
    <w:p w14:paraId="714A1CFD">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left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b/>
          <w:bCs/>
          <w:sz w:val="30"/>
          <w:szCs w:val="30"/>
          <w:highlight w:val="none"/>
          <w:lang w:val="en-US" w:eastAsia="zh-CN"/>
        </w:rPr>
        <w:t>本区范围内正常经营的标准化菜市场，</w:t>
      </w:r>
      <w:r>
        <w:rPr>
          <w:rFonts w:hint="eastAsia" w:ascii="CESI仿宋-GB2312" w:hAnsi="CESI仿宋-GB2312" w:eastAsia="CESI仿宋-GB2312" w:cs="CESI仿宋-GB2312"/>
          <w:b w:val="0"/>
          <w:bCs w:val="0"/>
          <w:sz w:val="30"/>
          <w:szCs w:val="30"/>
          <w:highlight w:val="none"/>
          <w:lang w:val="en-US" w:eastAsia="zh-CN"/>
        </w:rPr>
        <w:t>对</w:t>
      </w:r>
      <w:r>
        <w:rPr>
          <w:rFonts w:hint="eastAsia" w:ascii="CESI仿宋-GB2312" w:hAnsi="CESI仿宋-GB2312" w:eastAsia="CESI仿宋-GB2312" w:cs="CESI仿宋-GB2312"/>
          <w:sz w:val="30"/>
          <w:szCs w:val="30"/>
          <w:highlight w:val="none"/>
          <w:lang w:val="en-US" w:eastAsia="zh-CN"/>
        </w:rPr>
        <w:t>日常经营中的各个方面，包括经营服务、管理规范、业态布局、环境卫生、食品安全、保供稳价、诚信经营等开展考评。</w:t>
      </w:r>
    </w:p>
    <w:p w14:paraId="1C6010FA">
      <w:pPr>
        <w:keepNext w:val="0"/>
        <w:keepLines w:val="0"/>
        <w:pageBreakBefore w:val="0"/>
        <w:widowControl w:val="0"/>
        <w:numPr>
          <w:ilvl w:val="0"/>
          <w:numId w:val="1"/>
        </w:numPr>
        <w:suppressAutoHyphens/>
        <w:kinsoku/>
        <w:wordWrap/>
        <w:overflowPunct/>
        <w:topLinePunct w:val="0"/>
        <w:autoSpaceDE/>
        <w:autoSpaceDN/>
        <w:bidi w:val="0"/>
        <w:adjustRightInd/>
        <w:snapToGrid/>
        <w:spacing w:line="560" w:lineRule="exact"/>
        <w:jc w:val="both"/>
        <w:textAlignment w:val="auto"/>
        <w:rPr>
          <w:rFonts w:hint="eastAsia" w:ascii="CESI楷体-GB2312" w:hAnsi="CESI楷体-GB2312" w:eastAsia="CESI楷体-GB2312" w:cs="CESI楷体-GB2312"/>
          <w:sz w:val="30"/>
          <w:szCs w:val="30"/>
          <w:highlight w:val="none"/>
          <w:lang w:val="en-US" w:eastAsia="zh-CN"/>
        </w:rPr>
      </w:pPr>
      <w:r>
        <w:rPr>
          <w:rFonts w:hint="eastAsia" w:ascii="CESI楷体-GB2312" w:hAnsi="CESI楷体-GB2312" w:eastAsia="CESI楷体-GB2312" w:cs="CESI楷体-GB2312"/>
          <w:sz w:val="30"/>
          <w:szCs w:val="30"/>
          <w:highlight w:val="none"/>
          <w:lang w:val="en-US" w:eastAsia="zh-CN"/>
        </w:rPr>
        <w:t>考核办法</w:t>
      </w:r>
    </w:p>
    <w:p w14:paraId="709B7201">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按照日常考核以及第三方测评相结合的原则，由各相关</w:t>
      </w:r>
      <w:bookmarkStart w:id="0" w:name="_GoBack"/>
      <w:bookmarkEnd w:id="0"/>
      <w:r>
        <w:rPr>
          <w:rFonts w:hint="eastAsia" w:ascii="CESI仿宋-GB2312" w:hAnsi="CESI仿宋-GB2312" w:eastAsia="CESI仿宋-GB2312" w:cs="CESI仿宋-GB2312"/>
          <w:sz w:val="30"/>
          <w:szCs w:val="30"/>
          <w:highlight w:val="none"/>
          <w:lang w:val="en-US" w:eastAsia="zh-CN"/>
        </w:rPr>
        <w:t>部门按照职能分工现场对菜市场运营管理情况进行考核打分。</w:t>
      </w:r>
    </w:p>
    <w:p w14:paraId="23A0D3C6">
      <w:pPr>
        <w:keepNext w:val="0"/>
        <w:keepLines w:val="0"/>
        <w:pageBreakBefore w:val="0"/>
        <w:widowControl w:val="0"/>
        <w:numPr>
          <w:ilvl w:val="0"/>
          <w:numId w:val="2"/>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日常考核权重占比为60%；第三方测评占比为40%。</w:t>
      </w:r>
    </w:p>
    <w:p w14:paraId="4E1579EB">
      <w:pPr>
        <w:keepNext w:val="0"/>
        <w:keepLines w:val="0"/>
        <w:pageBreakBefore w:val="0"/>
        <w:widowControl w:val="0"/>
        <w:numPr>
          <w:ilvl w:val="0"/>
          <w:numId w:val="2"/>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年底汇总累计加权平均后形成年终得分，确定考核等次及排名后向社会公示。</w:t>
      </w:r>
    </w:p>
    <w:p w14:paraId="562C5F33">
      <w:pPr>
        <w:keepNext w:val="0"/>
        <w:keepLines w:val="0"/>
        <w:pageBreakBefore w:val="0"/>
        <w:widowControl w:val="0"/>
        <w:numPr>
          <w:ilvl w:val="0"/>
          <w:numId w:val="1"/>
        </w:numPr>
        <w:suppressAutoHyphens/>
        <w:kinsoku/>
        <w:wordWrap/>
        <w:overflowPunct/>
        <w:topLinePunct w:val="0"/>
        <w:autoSpaceDE/>
        <w:autoSpaceDN/>
        <w:bidi w:val="0"/>
        <w:adjustRightInd/>
        <w:snapToGrid/>
        <w:spacing w:line="560" w:lineRule="exact"/>
        <w:jc w:val="both"/>
        <w:textAlignment w:val="auto"/>
        <w:rPr>
          <w:rFonts w:hint="eastAsia" w:ascii="CESI楷体-GB2312" w:hAnsi="CESI楷体-GB2312" w:eastAsia="CESI楷体-GB2312" w:cs="CESI楷体-GB2312"/>
          <w:sz w:val="30"/>
          <w:szCs w:val="30"/>
          <w:highlight w:val="none"/>
          <w:lang w:val="en-US" w:eastAsia="zh-CN"/>
        </w:rPr>
      </w:pPr>
      <w:r>
        <w:rPr>
          <w:rFonts w:hint="eastAsia" w:ascii="CESI楷体-GB2312" w:hAnsi="CESI楷体-GB2312" w:eastAsia="CESI楷体-GB2312" w:cs="CESI楷体-GB2312"/>
          <w:sz w:val="30"/>
          <w:szCs w:val="30"/>
          <w:highlight w:val="none"/>
          <w:lang w:val="en-US" w:eastAsia="zh-CN"/>
        </w:rPr>
        <w:t>等次评定标准</w:t>
      </w:r>
    </w:p>
    <w:p w14:paraId="5B148100">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left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根据考核得分，分为“优秀”“良好”“合格”和“不合格”4个等次。</w:t>
      </w:r>
    </w:p>
    <w:p w14:paraId="116BD6C6">
      <w:pPr>
        <w:keepNext w:val="0"/>
        <w:keepLines w:val="0"/>
        <w:pageBreakBefore w:val="0"/>
        <w:widowControl w:val="0"/>
        <w:numPr>
          <w:ilvl w:val="0"/>
          <w:numId w:val="2"/>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得分在90分以上的为“优秀”；</w:t>
      </w:r>
    </w:p>
    <w:p w14:paraId="4B2C587D">
      <w:pPr>
        <w:keepNext w:val="0"/>
        <w:keepLines w:val="0"/>
        <w:pageBreakBefore w:val="0"/>
        <w:widowControl w:val="0"/>
        <w:numPr>
          <w:ilvl w:val="0"/>
          <w:numId w:val="2"/>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得分在80-90分之间的为“良好”；</w:t>
      </w:r>
    </w:p>
    <w:p w14:paraId="782B3D41">
      <w:pPr>
        <w:keepNext w:val="0"/>
        <w:keepLines w:val="0"/>
        <w:pageBreakBefore w:val="0"/>
        <w:widowControl w:val="0"/>
        <w:numPr>
          <w:ilvl w:val="0"/>
          <w:numId w:val="2"/>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得分在60-80分之间的为“合格”；</w:t>
      </w:r>
    </w:p>
    <w:p w14:paraId="2FDD40B9">
      <w:pPr>
        <w:keepNext w:val="0"/>
        <w:keepLines w:val="0"/>
        <w:pageBreakBefore w:val="0"/>
        <w:widowControl w:val="0"/>
        <w:numPr>
          <w:ilvl w:val="0"/>
          <w:numId w:val="2"/>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得分在60分以下的为“不合格”；</w:t>
      </w:r>
    </w:p>
    <w:p w14:paraId="60C8058E">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left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仿宋" w:hAnsi="仿宋" w:eastAsia="仿宋" w:cs="仿宋"/>
          <w:sz w:val="32"/>
          <w:szCs w:val="32"/>
          <w:lang w:val="en-US" w:eastAsia="zh-CN"/>
        </w:rPr>
        <w:t>其中，</w:t>
      </w:r>
      <w:r>
        <w:rPr>
          <w:rFonts w:hint="eastAsia" w:ascii="仿宋" w:hAnsi="仿宋" w:eastAsia="仿宋" w:cs="仿宋"/>
          <w:sz w:val="32"/>
          <w:szCs w:val="32"/>
        </w:rPr>
        <w:t>市场内食品、生鲜、蔬菜等业态配比不符合标准化菜市场设置规范的菜市场，不予评为</w:t>
      </w:r>
      <w:r>
        <w:rPr>
          <w:rFonts w:hint="eastAsia" w:ascii="仿宋" w:hAnsi="仿宋" w:eastAsia="仿宋" w:cs="仿宋"/>
          <w:sz w:val="32"/>
          <w:szCs w:val="32"/>
          <w:lang w:eastAsia="zh-CN"/>
        </w:rPr>
        <w:t>“</w:t>
      </w:r>
      <w:r>
        <w:rPr>
          <w:rFonts w:hint="eastAsia" w:ascii="仿宋" w:hAnsi="仿宋" w:eastAsia="仿宋" w:cs="仿宋"/>
          <w:sz w:val="32"/>
          <w:szCs w:val="32"/>
        </w:rPr>
        <w:t>良好</w:t>
      </w:r>
      <w:r>
        <w:rPr>
          <w:rFonts w:hint="eastAsia" w:ascii="仿宋" w:hAnsi="仿宋" w:eastAsia="仿宋" w:cs="仿宋"/>
          <w:sz w:val="32"/>
          <w:szCs w:val="32"/>
          <w:lang w:eastAsia="zh-CN"/>
        </w:rPr>
        <w:t>”</w:t>
      </w:r>
      <w:r>
        <w:rPr>
          <w:rFonts w:hint="eastAsia" w:ascii="仿宋" w:hAnsi="仿宋" w:eastAsia="仿宋" w:cs="仿宋"/>
          <w:sz w:val="32"/>
          <w:szCs w:val="32"/>
        </w:rPr>
        <w:t>及以上等次</w:t>
      </w:r>
      <w:r>
        <w:rPr>
          <w:rFonts w:hint="eastAsia" w:ascii="仿宋" w:hAnsi="仿宋" w:eastAsia="仿宋" w:cs="仿宋"/>
          <w:sz w:val="32"/>
          <w:szCs w:val="32"/>
          <w:lang w:eastAsia="zh-CN"/>
        </w:rPr>
        <w:t>；</w:t>
      </w:r>
      <w:r>
        <w:rPr>
          <w:rFonts w:hint="eastAsia" w:ascii="仿宋" w:hAnsi="仿宋" w:eastAsia="仿宋" w:cs="仿宋"/>
          <w:sz w:val="32"/>
          <w:szCs w:val="32"/>
        </w:rPr>
        <w:t>年内出现“作弊秤”的菜市场，考核结果为“不合格”</w:t>
      </w:r>
      <w:r>
        <w:rPr>
          <w:rFonts w:hint="eastAsia" w:ascii="仿宋" w:hAnsi="仿宋" w:eastAsia="仿宋" w:cs="仿宋"/>
          <w:sz w:val="32"/>
          <w:szCs w:val="32"/>
          <w:lang w:eastAsia="zh-CN"/>
        </w:rPr>
        <w:t>。</w:t>
      </w:r>
    </w:p>
    <w:p w14:paraId="2415E3D1">
      <w:pPr>
        <w:keepNext w:val="0"/>
        <w:keepLines w:val="0"/>
        <w:pageBreakBefore w:val="0"/>
        <w:widowControl w:val="0"/>
        <w:numPr>
          <w:ilvl w:val="0"/>
          <w:numId w:val="1"/>
        </w:numPr>
        <w:suppressAutoHyphens/>
        <w:kinsoku/>
        <w:wordWrap/>
        <w:overflowPunct/>
        <w:topLinePunct w:val="0"/>
        <w:autoSpaceDE/>
        <w:autoSpaceDN/>
        <w:bidi w:val="0"/>
        <w:adjustRightInd/>
        <w:snapToGrid/>
        <w:spacing w:line="560" w:lineRule="exact"/>
        <w:jc w:val="both"/>
        <w:textAlignment w:val="auto"/>
        <w:rPr>
          <w:rFonts w:hint="default" w:ascii="CESI楷体-GB2312" w:hAnsi="CESI楷体-GB2312" w:eastAsia="CESI楷体-GB2312" w:cs="CESI楷体-GB2312"/>
          <w:sz w:val="30"/>
          <w:szCs w:val="30"/>
          <w:highlight w:val="none"/>
          <w:lang w:val="en-US" w:eastAsia="zh-CN"/>
        </w:rPr>
      </w:pPr>
      <w:r>
        <w:rPr>
          <w:rFonts w:hint="eastAsia" w:ascii="CESI楷体-GB2312" w:hAnsi="CESI楷体-GB2312" w:eastAsia="CESI楷体-GB2312" w:cs="CESI楷体-GB2312"/>
          <w:sz w:val="30"/>
          <w:szCs w:val="30"/>
          <w:highlight w:val="none"/>
          <w:lang w:val="en-US" w:eastAsia="zh-CN"/>
        </w:rPr>
        <w:t>奖惩标准和范围</w:t>
      </w:r>
    </w:p>
    <w:p w14:paraId="65464ABE">
      <w:pPr>
        <w:keepNext w:val="0"/>
        <w:keepLines w:val="0"/>
        <w:pageBreakBefore w:val="0"/>
        <w:widowControl w:val="0"/>
        <w:numPr>
          <w:ilvl w:val="0"/>
          <w:numId w:val="3"/>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通年度考核结果为“优秀”等次且排名在前3名的菜市场，每家给予10万元奖励；</w:t>
      </w:r>
    </w:p>
    <w:p w14:paraId="0069BED5">
      <w:pPr>
        <w:keepNext w:val="0"/>
        <w:keepLines w:val="0"/>
        <w:pageBreakBefore w:val="0"/>
        <w:widowControl w:val="0"/>
        <w:numPr>
          <w:ilvl w:val="0"/>
          <w:numId w:val="3"/>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年度考核结果为“优秀”“良好”等次，给予排名前10%（除前3名）的菜市场给予5万元的奖励。</w:t>
      </w:r>
    </w:p>
    <w:p w14:paraId="568F7D2C">
      <w:pPr>
        <w:keepNext w:val="0"/>
        <w:keepLines w:val="0"/>
        <w:pageBreakBefore w:val="0"/>
        <w:widowControl w:val="0"/>
        <w:numPr>
          <w:ilvl w:val="0"/>
          <w:numId w:val="3"/>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年度考核结果为“不合格”等次的菜市场，区商务委会同相关部门及属地街镇（工业区）约谈并责成菜市场运营管理单位限期整改，对整改不到位的，建议街镇（工业区）和产权单位及时调整经营主体。</w:t>
      </w:r>
    </w:p>
    <w:p w14:paraId="67020C34">
      <w:pPr>
        <w:keepNext w:val="0"/>
        <w:keepLines w:val="0"/>
        <w:pageBreakBefore w:val="0"/>
        <w:widowControl w:val="0"/>
        <w:numPr>
          <w:ilvl w:val="0"/>
          <w:numId w:val="1"/>
        </w:numPr>
        <w:suppressAutoHyphens/>
        <w:kinsoku/>
        <w:wordWrap/>
        <w:overflowPunct/>
        <w:topLinePunct w:val="0"/>
        <w:autoSpaceDE/>
        <w:autoSpaceDN/>
        <w:bidi w:val="0"/>
        <w:adjustRightInd/>
        <w:snapToGrid/>
        <w:spacing w:line="560" w:lineRule="exact"/>
        <w:jc w:val="both"/>
        <w:textAlignment w:val="auto"/>
        <w:rPr>
          <w:rFonts w:hint="eastAsia" w:ascii="CESI楷体-GB2312" w:hAnsi="CESI楷体-GB2312" w:eastAsia="CESI楷体-GB2312" w:cs="CESI楷体-GB2312"/>
          <w:sz w:val="30"/>
          <w:szCs w:val="30"/>
          <w:highlight w:val="none"/>
          <w:lang w:val="en-US" w:eastAsia="zh-CN"/>
        </w:rPr>
      </w:pPr>
      <w:r>
        <w:rPr>
          <w:rFonts w:hint="eastAsia" w:ascii="CESI楷体-GB2312" w:hAnsi="CESI楷体-GB2312" w:eastAsia="CESI楷体-GB2312" w:cs="CESI楷体-GB2312"/>
          <w:sz w:val="30"/>
          <w:szCs w:val="30"/>
          <w:highlight w:val="none"/>
          <w:lang w:val="en-US" w:eastAsia="zh-CN"/>
        </w:rPr>
        <w:t>取消当年度奖励资格的情况</w:t>
      </w:r>
    </w:p>
    <w:p w14:paraId="7997D058">
      <w:pPr>
        <w:keepNext w:val="0"/>
        <w:keepLines w:val="0"/>
        <w:pageBreakBefore w:val="0"/>
        <w:widowControl w:val="0"/>
        <w:numPr>
          <w:ilvl w:val="0"/>
          <w:numId w:val="3"/>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发生重大安全生产事故或重大食品安全事故；</w:t>
      </w:r>
    </w:p>
    <w:p w14:paraId="2837BEAA">
      <w:pPr>
        <w:keepNext w:val="0"/>
        <w:keepLines w:val="0"/>
        <w:pageBreakBefore w:val="0"/>
        <w:widowControl w:val="0"/>
        <w:numPr>
          <w:ilvl w:val="0"/>
          <w:numId w:val="3"/>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市级及以上媒体有严重负面报道；</w:t>
      </w:r>
    </w:p>
    <w:p w14:paraId="79812A3A">
      <w:pPr>
        <w:keepNext w:val="0"/>
        <w:keepLines w:val="0"/>
        <w:pageBreakBefore w:val="0"/>
        <w:widowControl w:val="0"/>
        <w:numPr>
          <w:ilvl w:val="0"/>
          <w:numId w:val="3"/>
        </w:numPr>
        <w:suppressAutoHyphens/>
        <w:kinsoku/>
        <w:wordWrap/>
        <w:overflowPunct/>
        <w:topLinePunct w:val="0"/>
        <w:autoSpaceDE/>
        <w:autoSpaceDN/>
        <w:bidi w:val="0"/>
        <w:adjustRightInd/>
        <w:snapToGrid/>
        <w:spacing w:line="560" w:lineRule="exact"/>
        <w:ind w:left="420" w:leftChars="0" w:hanging="420" w:firstLineChars="0"/>
        <w:jc w:val="both"/>
        <w:textAlignment w:val="auto"/>
        <w:rPr>
          <w:rFonts w:hint="eastAsia" w:ascii="CESI仿宋-GB2312" w:hAnsi="CESI仿宋-GB2312" w:eastAsia="CESI仿宋-GB2312" w:cs="CESI仿宋-GB2312"/>
          <w:sz w:val="30"/>
          <w:szCs w:val="30"/>
          <w:highlight w:val="none"/>
          <w:lang w:val="en-US" w:eastAsia="zh-CN"/>
        </w:rPr>
      </w:pPr>
      <w:r>
        <w:rPr>
          <w:rFonts w:hint="eastAsia" w:ascii="CESI仿宋-GB2312" w:hAnsi="CESI仿宋-GB2312" w:eastAsia="CESI仿宋-GB2312" w:cs="CESI仿宋-GB2312"/>
          <w:sz w:val="30"/>
          <w:szCs w:val="30"/>
          <w:highlight w:val="none"/>
          <w:lang w:val="en-US" w:eastAsia="zh-CN"/>
        </w:rPr>
        <w:t>各类创建工作推进过程中被市级以上媒体曝光或直接造成我区被扣除较大分值。</w:t>
      </w:r>
    </w:p>
    <w:p w14:paraId="0E09437C">
      <w:pPr>
        <w:keepNext w:val="0"/>
        <w:keepLines w:val="0"/>
        <w:pageBreakBefore w:val="0"/>
        <w:widowControl w:val="0"/>
        <w:numPr>
          <w:ilvl w:val="0"/>
          <w:numId w:val="0"/>
        </w:numPr>
        <w:suppressAutoHyphens/>
        <w:kinsoku/>
        <w:wordWrap/>
        <w:overflowPunct/>
        <w:topLinePunct w:val="0"/>
        <w:autoSpaceDE/>
        <w:autoSpaceDN/>
        <w:bidi w:val="0"/>
        <w:adjustRightInd/>
        <w:snapToGrid/>
        <w:spacing w:line="560" w:lineRule="exact"/>
        <w:ind w:leftChars="0"/>
        <w:jc w:val="both"/>
        <w:textAlignment w:val="auto"/>
        <w:rPr>
          <w:rFonts w:hint="eastAsia" w:ascii="CESI仿宋-GB2312" w:hAnsi="CESI仿宋-GB2312" w:eastAsia="CESI仿宋-GB2312" w:cs="CESI仿宋-GB2312"/>
          <w:sz w:val="30"/>
          <w:szCs w:val="30"/>
          <w:highlight w:val="none"/>
          <w:lang w:val="en-US" w:eastAsia="zh-CN"/>
        </w:rPr>
      </w:pPr>
    </w:p>
    <w:p w14:paraId="33B4CD82"/>
    <w:sectPr>
      <w:pgSz w:w="11906" w:h="16838"/>
      <w:pgMar w:top="1440" w:right="1800" w:bottom="1440" w:left="1800" w:header="720" w:footer="72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CESI楷体-GB2312">
    <w:altName w:val="楷体_GB2312"/>
    <w:panose1 w:val="02000500000000000000"/>
    <w:charset w:val="00"/>
    <w:family w:val="auto"/>
    <w:pitch w:val="default"/>
    <w:sig w:usb0="00000000" w:usb1="00000000" w:usb2="00000012" w:usb3="00000000" w:csb0="0004000F" w:csb1="00000000"/>
  </w:font>
  <w:font w:name="汉仪楷体简">
    <w:altName w:val="楷体_GB2312"/>
    <w:panose1 w:val="02010600000101010101"/>
    <w:charset w:val="86"/>
    <w:family w:val="auto"/>
    <w:pitch w:val="default"/>
    <w:sig w:usb0="00000000" w:usb1="00000000" w:usb2="00000002" w:usb3="00000000" w:csb0="00040000" w:csb1="00000000"/>
  </w:font>
  <w:font w:name="CESI仿宋-GB2312">
    <w:altName w:val="仿宋"/>
    <w:panose1 w:val="02000500000000000000"/>
    <w:charset w:val="00"/>
    <w:family w:val="auto"/>
    <w:pitch w:val="default"/>
    <w:sig w:usb0="00000000" w:usb1="00000000" w:usb2="00000010" w:usb3="00000000" w:csb0="0004000F" w:csb1="00000000"/>
  </w:font>
  <w:font w:name="方正仿宋_GBK">
    <w:altName w:val="微软雅黑"/>
    <w:panose1 w:val="02000000000000000000"/>
    <w:charset w:val="86"/>
    <w:family w:val="auto"/>
    <w:pitch w:val="default"/>
    <w:sig w:usb0="00000000" w:usb1="00000000" w:usb2="00082016" w:usb3="00000000" w:csb0="00040001"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D76276"/>
    <w:multiLevelType w:val="singleLevel"/>
    <w:tmpl w:val="B0D76276"/>
    <w:lvl w:ilvl="0" w:tentative="0">
      <w:start w:val="1"/>
      <w:numFmt w:val="bullet"/>
      <w:lvlText w:val=""/>
      <w:lvlJc w:val="left"/>
      <w:pPr>
        <w:ind w:left="420" w:hanging="420"/>
      </w:pPr>
      <w:rPr>
        <w:rFonts w:hint="default" w:ascii="Wingdings" w:hAnsi="Wingdings"/>
      </w:rPr>
    </w:lvl>
  </w:abstractNum>
  <w:abstractNum w:abstractNumId="1">
    <w:nsid w:val="5E77A7E3"/>
    <w:multiLevelType w:val="singleLevel"/>
    <w:tmpl w:val="5E77A7E3"/>
    <w:lvl w:ilvl="0" w:tentative="0">
      <w:start w:val="1"/>
      <w:numFmt w:val="bullet"/>
      <w:lvlText w:val=""/>
      <w:lvlJc w:val="left"/>
      <w:pPr>
        <w:ind w:left="420" w:hanging="420"/>
      </w:pPr>
      <w:rPr>
        <w:rFonts w:hint="default" w:ascii="Wingdings" w:hAnsi="Wingdings"/>
      </w:rPr>
    </w:lvl>
  </w:abstractNum>
  <w:abstractNum w:abstractNumId="2">
    <w:nsid w:val="5FFFC0DA"/>
    <w:multiLevelType w:val="singleLevel"/>
    <w:tmpl w:val="5FFFC0DA"/>
    <w:lvl w:ilvl="0" w:tentative="0">
      <w:start w:val="1"/>
      <w:numFmt w:val="decimal"/>
      <w:lvlText w:val="%1."/>
      <w:lvlJc w:val="left"/>
      <w:pPr>
        <w:tabs>
          <w:tab w:val="left" w:pos="312"/>
        </w:tabs>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5FD58EB"/>
    <w:rsid w:val="17971FCC"/>
    <w:rsid w:val="F5FD58EB"/>
    <w:rsid w:val="FCF58D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647</Words>
  <Characters>664</Characters>
  <Lines>0</Lines>
  <Paragraphs>0</Paragraphs>
  <TotalTime>4</TotalTime>
  <ScaleCrop>false</ScaleCrop>
  <LinksUpToDate>false</LinksUpToDate>
  <CharactersWithSpaces>664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2024-12-24T15:23:00Z</dcterms:created>
  <dc:creator>是世界上最可爱的人啊</dc:creator>
  <cp:lastModifiedBy>Administrator</cp:lastModifiedBy>
  <dcterms:modified xsi:type="dcterms:W3CDTF">2024-12-24T08:31:40Z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B522D9EFABFD4EDCA9F169FF661DA2B4_13</vt:lpwstr>
  </property>
</Properties>
</file>