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附件</w:t>
      </w:r>
    </w:p>
    <w:tbl>
      <w:tblPr>
        <w:tblStyle w:val="2"/>
        <w:tblW w:w="1485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9"/>
        <w:gridCol w:w="1307"/>
        <w:gridCol w:w="7118"/>
        <w:gridCol w:w="3740"/>
        <w:gridCol w:w="753"/>
        <w:gridCol w:w="375"/>
        <w:gridCol w:w="565"/>
      </w:tblGrid>
      <w:tr>
        <w:trPr>
          <w:trHeight w:val="444" w:hRule="atLeast"/>
          <w:tblHeader/>
          <w:jc w:val="center"/>
        </w:trPr>
        <w:tc>
          <w:tcPr>
            <w:tcW w:w="148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36"/>
                <w:szCs w:val="36"/>
              </w:rPr>
            </w:pPr>
            <w:bookmarkStart w:id="0" w:name="_GoBack"/>
            <w:r>
              <w:rPr>
                <w:rFonts w:hint="eastAsia" w:ascii="黑体" w:hAnsi="宋体" w:eastAsia="黑体" w:cs="黑体"/>
                <w:color w:val="000000"/>
                <w:kern w:val="0"/>
                <w:sz w:val="36"/>
                <w:szCs w:val="36"/>
              </w:rPr>
              <w:t>闵行区标准化菜市场考核评分细则</w:t>
            </w:r>
            <w:bookmarkEnd w:id="0"/>
          </w:p>
        </w:tc>
      </w:tr>
      <w:tr>
        <w:trPr>
          <w:trHeight w:val="348" w:hRule="atLeast"/>
          <w:tblHeader/>
          <w:jc w:val="center"/>
        </w:trPr>
        <w:tc>
          <w:tcPr>
            <w:tcW w:w="148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shd w:val="clear" w:color="auto" w:fill="FFFFFF"/>
              <w:spacing w:line="252" w:lineRule="atLeast"/>
              <w:ind w:firstLine="480"/>
              <w:rPr>
                <w:rFonts w:ascii="仿宋_GB2312" w:hAnsi="宋体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rPr>
          <w:trHeight w:val="312" w:hRule="atLeast"/>
          <w:tblHeader/>
          <w:jc w:val="center"/>
        </w:trPr>
        <w:tc>
          <w:tcPr>
            <w:tcW w:w="23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考评市场：</w:t>
            </w:r>
          </w:p>
        </w:tc>
        <w:tc>
          <w:tcPr>
            <w:tcW w:w="7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433" w:type="dxa"/>
            <w:gridSpan w:val="4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考评日期：  年  月 日</w:t>
            </w:r>
          </w:p>
        </w:tc>
      </w:tr>
      <w:tr>
        <w:trPr>
          <w:trHeight w:val="624" w:hRule="atLeast"/>
          <w:tblHeader/>
          <w:jc w:val="center"/>
        </w:trPr>
        <w:tc>
          <w:tcPr>
            <w:tcW w:w="9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考评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项 目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考 评 标 准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得  分  标 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扣分</w:t>
            </w: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得分</w:t>
            </w:r>
          </w:p>
        </w:tc>
      </w:tr>
      <w:tr>
        <w:trPr>
          <w:trHeight w:val="1950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区商务委</w:t>
            </w: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业态布局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市场面积1000平方米以上的：场内食用农产品和食品类产品正常经营面积占总面积达到90%；生鲜类产品占总经营面积达到60%；蔬菜品类正常经营面积占生鲜经营面积达到30%</w:t>
            </w:r>
          </w:p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市场面积小于1000平方米的：场内食用农产品和食品类产品正常经营面积占总面积达到90%；生鲜类产品占总经营面积达到80%；蔬菜品类正常经营面积占生鲜经营面积达到40%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未达到标准的不得分，且年度考核结果不得被评为“优秀”“良好”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EE822F" w:themeColor="accent2"/>
                <w:sz w:val="24"/>
                <w14:textFill>
                  <w14:solidFill>
                    <w14:schemeClr w14:val="accent2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11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市场内按商品种类划分区域，鲜活、生、熟、干、湿商品供应区应相对集中，分区销售，并在醒目位置设置功能分区平面图（导购图）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存在混杂经营、无分区域标识图，或指示样式不统一的，发现一处扣0.5分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81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设施设备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市场内各类设施设备，包括地面设施和立面店招、通风照明设施、无障碍通道、给排水设施等使用正常、完好无破损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各项设施损坏或无法使用的，发现一处扣0.5分，扣完为止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78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市场供应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主副食品供应业态和品类齐全，品种丰富，能确保包括肉、蔬菜、禽、蛋品、水产、豆制品、水果等生鲜产品供应充足的，品类符合行业供应要求。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业态设置和供应品类不全的，缺少一种业态扣1分，缺少一个品类扣0.5分；生鲜品种供应不足的，酌情扣分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稳价保供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按要求设立平价菜（肉）专柜（专柜招牌、专人售卖和专门商品）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未设置的扣2分，不符合“三专”要求扣0.5分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28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场容场貌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市场内干净、整洁，有专人定期进行保洁；无乱吊挂、无乱张贴，通道畅通无乱堆乱放现象（入场补货时间或有专人看管除外），经营区域内无杂物、空摊位无乱堆物；干区地面无水渍、下水道保持通畅；市场内有配套车辆停放场地，能保障市场人流需求，车辆有序停放，场无车辆随意进出或停放现象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有管理及卫生问题的，有一处扣0.5分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市场内商品有序陈列、摆放整齐。食用农产品不得直接着地放置，商品不超出货架、货柜，无塑料泡沫、木板等其他物品垫于货柜上；菜市场区域内无跨门、占道经营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发现管理问题的，有一处扣0.2分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87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管理制度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建立市场经营管理、人员摊位、设施设备、诚信体系建设、信息系统等方面科学、完备、可行的管理制度，并制定管理工作流程，有管理和考核记录及相关措施等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发现未建立相应规定制度的，扣0.5分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65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追溯系统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配套追溯等智慧化管理系统，肉、菜等摊位安装设置追溯秤，所有追溯秤均可正常使用、追溯码完整有效，菜市场实现全场生鲜全品类追溯，追溯信息包括产地、批发（配送）、零售等完整信息追溯链条，全程来源可查、去向可追、责任可究，方便消费者查询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追溯秤不可用的，发现一处扣0.2分，未实现生鲜全品类追溯的，每个品类扣0.5分，扣完为止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35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菜市场追溯系统应与本市肉菜流通安全信息追溯系统对接，且有专人负责追溯信息管理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未配备专人负责追溯信息管理的，扣1分；未与本市肉菜流通安全信息追溯系统对接的，不得分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15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便民设施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菜市场配备大型显示屏，用于及时发布市场管理制度、重要通知、公共宣传、安全规范及当日天气、客流、菜价等信息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功能齐全的得分，缺一项功能扣0.2分；未配备或不能正常使用的，不得分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78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智慧管理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完成智慧菜场建设，可以实现交易数据采集、信息发布、人员和场所智慧化管理，并有效运用到日常管理；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功能缺一项扣1分，未有效运用扣2分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E54C5E" w:themeColor="accent6"/>
                <w:kern w:val="0"/>
                <w:sz w:val="24"/>
                <w:highlight w:val="red"/>
                <w14:textFill>
                  <w14:solidFill>
                    <w14:schemeClr w14:val="accent6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78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品牌入驻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菜市场肉类、蔬菜、水产、豆制品、熟食制品等产品有品牌企业入驻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没有品牌企业入驻的，扣1.5分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1.5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170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区市场监管局</w:t>
            </w: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食品安全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建立食品安全管理制度、进货查验记录制度、经营商品质量检查制度、重要商品购销台帐制度、不合格（临期）商品退市制度，严把产品质量安全关，不合格、变质、过期和不允许销售的食用农产品应及时下架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未建立相关制度的，缺少一项扣1分，扣完为止，发现在销售的食用农产品有不合格、变质、过期现象的，不得分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80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菜市场内从事食品相关工作人员需持有效健康证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未持有效健康证的，发现一例扣0.5分，扣完为止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23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菜市场应建立快检室，同时制定食用农产品检测制度，对销售的蔬菜进行每日农药残留检测，在固定位置向公众公示，并留存30日的检测结果档案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未建立快检室的扣1分，未建立制度的，扣1分，未进行每日监测的扣1分，未按时进行公示的，扣1分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44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菜市场熟食间（区）严禁生熟交叉，熟食品品类需分开放置，熟食、酱菜有统一盛放器具，实行收银台和销售间分离，送货单内容与实际销售内容相符，摊位制菜市场熟食间不得现场制售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发现管理问题的，一处扣0.5分，扣完为止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44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按要求落实重点食用农产品监管，熟食、肉类、豆制品、预制食品等必须在温控室内以及冰柜内陈列销售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发现管理问题，有一处扣1分，扣完为止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6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内部管理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菜市场应建立健全食品安全、消费者投诉、巡视管理等管理制度，并依据制度执行情况，建立相关制度台账，保留制度执行记录良好且完善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制度台账及执行记录缺少或不全面的，酌情扣分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16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菜市场应设置公示栏，公示市场基本信息、食品安全信息、食品经营许可证、消保维权信息、政府监管信息、场内食品安全管理员、计量公开承诺书以及其他需要公示的信息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公示内容完整并更新及时的，得5分，缺少或未及时更新，发现一处扣1分，扣完为止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70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对供应商和经营者的资质进行备案，并制作经营档案（生产、供应商需记录企业名称、联系人、联系方式、营业执照、生产经营许可证、产品卫生检验报告及其他必备证明，个体经营者（含自产自销经营户）需记录营业执照、姓名、身份证号、联系方式、住所、食用农产品主要品种、进货渠道、产地等信息）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档案内容缺失或无效的，缺少一项扣0.5分，扣完为止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01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市场内诚实守信、合法经营；无欺行霸市、强买强卖行为，无因商品、服务质量问题被投诉举报行为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有问题投诉举报且调查属实，有一起扣1分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88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价格管理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做好价格管理，规范标价，场内经营户做到明码标价、一货一价，无价格欺诈等价格违法行为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每发现一起不符合要求扣0.5分，扣完为止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 xml:space="preserve">3 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74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禁塑管理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菜市场禁止使用一次性塑料购物袋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未按规定执行的扣0.5分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0.5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24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索证索票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索证索票齐全，电子台账录入完整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发现索证索票不全、电子台账未录入每项扣1分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36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活禽管理</w:t>
            </w:r>
          </w:p>
        </w:tc>
        <w:tc>
          <w:tcPr>
            <w:tcW w:w="7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活禽销售定点菜市场应设置独立区域、隔离宰杀、具备产品检疫证并注明产地、笼具无遮挡，废弃物清理及时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发现管理及卫生问题的，一处扣0.5分，扣完为止；非活禽销售定点菜市场发现销售活禽的，不得分。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计量管理</w:t>
            </w:r>
          </w:p>
        </w:tc>
        <w:tc>
          <w:tcPr>
            <w:tcW w:w="71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菜市场应建立计量管理制度，计量器具实行统一配备、统一管理、统一检定；确保计量器具在检定有效期内，并保持强检标识完好。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未实行统一配秤的扣1分。发现自备秤的，发现1台扣0.5分。无强检标签或标签脱落的，发现1处扣0.5分，扣完为止。有各类破坏计量准确度等计量违法行为的不得分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04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菜市场应配备检定合格的公平秤，并有校称记录台账。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未配备公平秤、公平秤检定不合格扣1分，校称记录台帐不完善的，扣1分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106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区绿化市容局</w:t>
            </w: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垃圾分类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菜市场垃圾房、垃圾集中收集点、公共区域、摊位内应统一配置垃圾分类收集容器，分类收集容器设置、标识、颜色应符合本市地方标准，并应保持清洁，定期清洗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发现管理问题的，一处扣0.5分，扣完为止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02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菜市场应配置正确的垃圾分类宣传告知内容、海报或标语等，且相关宣传内容不少于1处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发现宣传问题的，不得分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83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菜市场有按规范开展垃圾分类清运及管理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垃圾混装的，酌情扣分，扣完为止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82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公厕管理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菜市场公共厕所设施维护及卫生状况良好，有专人负责定期清洁并有清洁记录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无专人管理扣1分，设施损坏的，清洁不力或有异味，每项每处扣0.5分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1440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区卫健委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病媒防制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场内无鼠迹、蟑迹、成蝇，管理得当的，并配备符合各项食品安全要求的卫生设施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未配备病媒防治设施的，扣1分；设施放置不规范，酌情扣分；每发现一处鼠迹、蟑迹或成蝇，扣1分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24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健康教育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有固定健康教育宣传栏，内容符合实际，更新及时，张贴规范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无固定健康教育宣传栏扣1分，其他一项不符扣0.5分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36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控烟管理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菜市场应落实控烟措施，在醒目位置张贴规范的禁烟标识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  <w:highlight w:val="red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禁烟标识未张贴或不醒目的，扣1分；发现吸烟行为或迹象（烟缸、烟蒂等）的，一处扣0.5分，扣完为止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  <w:highlight w:val="red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24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区消防救援支队</w:t>
            </w: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消防安全</w:t>
            </w: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菜市场确定消防安全责任人和消防安全管理人并持证上岗的，制定相关安全应急预案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未配备专人负责的，扣1分，未制定应急预案的，扣1分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36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消防设施齐备完好，配置符合消防要求的消防栓、消防水带、灭火器，且使用正常；每月开展检查保养并记录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防设施配备不全、不能正常使用的，每发现一处扣0.5分；未落实检查保养措施的，酌情扣分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936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有明显规范的安全疏散标志，消防通道畅通，无占用、堵塞消防通道现象</w:t>
            </w:r>
          </w:p>
        </w:tc>
        <w:tc>
          <w:tcPr>
            <w:tcW w:w="3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占用、堵塞消防通道，扣0.5分，未按要求设置安全疏散标志，每发现一处扣0.5分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加分项</w:t>
            </w: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被市级政府或委办局表彰或评优的，加5分；区级的，加3分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在阶段性重点工作（如创建文明城区、卫生城区、食品安全示范城市、对接市级平台等）中表现突出，成效明显的，视情每项加1分，最高不超过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参加部门及行业协会组织的相关培训成效显著的，加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扣分项</w:t>
            </w: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年内发生过安全事故，包括但不限于消防安全事故、特种设备安全事故，食品安全事故等，每起扣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660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年内被相关执法单位处罚或发现其他严重违法违规问题的，每起扣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rPr>
          <w:trHeight w:val="555" w:hRule="atLeast"/>
          <w:tblHeader/>
          <w:jc w:val="center"/>
        </w:trPr>
        <w:tc>
          <w:tcPr>
            <w:tcW w:w="9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2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年内被新闻媒体曝光造成恶劣影响的，每起扣5分</w:t>
            </w:r>
          </w:p>
        </w:tc>
        <w:tc>
          <w:tcPr>
            <w:tcW w:w="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7FF73DA"/>
    <w:rsid w:val="F7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Office_6.3.0.8471_F1E327BC-269C-435d-A152-05C5408002CA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2024-12-24T15:08:00Z</dcterms:created>
  <dc:creator>是世界上最可爱的人啊</dc:creator>
  <cp:lastModifiedBy>是世界上最可爱的人啊</cp:lastModifiedBy>
  <dcterms:modified xsi:type="dcterms:W3CDTF">2024-12-24T15:22:50Z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2052-6.3.0.8471</vt:lpwstr>
  </property>
  <property fmtid="{D5CDD505-2E9C-101B-9397-08002B2CF9AE}" pid="3" name="ICV">
    <vt:lpwstr>07B879FB8103D292E35D6A6705D8E1B0_41</vt:lpwstr>
  </property>
</Properties>
</file>