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9EF503">
      <w:pPr>
        <w:spacing w:line="600" w:lineRule="exact"/>
        <w:jc w:val="center"/>
        <w:rPr>
          <w:rFonts w:hint="eastAsia" w:ascii="黑体" w:hAnsi="华文仿宋" w:eastAsia="黑体"/>
          <w:color w:val="000000" w:themeColor="text1"/>
          <w:spacing w:val="20"/>
          <w:sz w:val="40"/>
          <w:szCs w:val="36"/>
          <w14:textFill>
            <w14:solidFill>
              <w14:schemeClr w14:val="tx1"/>
            </w14:solidFill>
          </w14:textFill>
        </w:rPr>
      </w:pPr>
      <w:r>
        <w:rPr>
          <w:rFonts w:hint="eastAsia" w:ascii="黑体" w:hAnsi="华文仿宋" w:eastAsia="黑体"/>
          <w:color w:val="000000" w:themeColor="text1"/>
          <w:spacing w:val="20"/>
          <w:sz w:val="40"/>
          <w:szCs w:val="36"/>
          <w:lang w:val="en-US" w:eastAsia="zh-CN"/>
          <w14:textFill>
            <w14:solidFill>
              <w14:schemeClr w14:val="tx1"/>
            </w14:solidFill>
          </w14:textFill>
        </w:rPr>
        <w:t>2025年</w:t>
      </w:r>
      <w:r>
        <w:rPr>
          <w:rFonts w:hint="eastAsia" w:ascii="黑体" w:hAnsi="华文仿宋" w:eastAsia="黑体"/>
          <w:color w:val="000000" w:themeColor="text1"/>
          <w:spacing w:val="20"/>
          <w:sz w:val="40"/>
          <w:szCs w:val="36"/>
          <w14:textFill>
            <w14:solidFill>
              <w14:schemeClr w14:val="tx1"/>
            </w14:solidFill>
          </w14:textFill>
        </w:rPr>
        <w:t>政府工作报告</w:t>
      </w:r>
    </w:p>
    <w:p w14:paraId="5CD45B3F">
      <w:pPr>
        <w:spacing w:line="600" w:lineRule="exact"/>
        <w:jc w:val="center"/>
        <w:rPr>
          <w:rFonts w:hint="eastAsia" w:ascii="黑体" w:hAnsi="华文仿宋" w:eastAsia="黑体"/>
          <w:color w:val="000000" w:themeColor="text1"/>
          <w:spacing w:val="20"/>
          <w:sz w:val="40"/>
          <w:szCs w:val="36"/>
          <w14:textFill>
            <w14:solidFill>
              <w14:schemeClr w14:val="tx1"/>
            </w14:solidFill>
          </w14:textFill>
        </w:rPr>
      </w:pPr>
    </w:p>
    <w:p w14:paraId="0219291F">
      <w:pPr>
        <w:spacing w:line="600" w:lineRule="exact"/>
        <w:jc w:val="center"/>
        <w:rPr>
          <w:rFonts w:hint="eastAsia" w:ascii="黑体" w:hAnsi="黑体" w:eastAsia="黑体"/>
          <w:color w:val="000000"/>
          <w:sz w:val="36"/>
          <w:szCs w:val="32"/>
        </w:rPr>
      </w:pPr>
      <w:r>
        <w:rPr>
          <w:rFonts w:hint="eastAsia" w:ascii="黑体" w:hAnsi="黑体" w:eastAsia="黑体"/>
          <w:color w:val="000000"/>
          <w:sz w:val="36"/>
          <w:szCs w:val="32"/>
        </w:rPr>
        <w:t>2</w:t>
      </w:r>
      <w:r>
        <w:rPr>
          <w:rFonts w:ascii="黑体" w:hAnsi="黑体" w:eastAsia="黑体"/>
          <w:color w:val="000000"/>
          <w:sz w:val="36"/>
          <w:szCs w:val="32"/>
        </w:rPr>
        <w:t>024</w:t>
      </w:r>
      <w:r>
        <w:rPr>
          <w:rFonts w:hint="eastAsia" w:ascii="黑体" w:hAnsi="黑体" w:eastAsia="黑体"/>
          <w:color w:val="000000"/>
          <w:sz w:val="36"/>
          <w:szCs w:val="32"/>
        </w:rPr>
        <w:t>年工作回顾</w:t>
      </w:r>
    </w:p>
    <w:p w14:paraId="56512727">
      <w:pPr>
        <w:spacing w:line="600" w:lineRule="exact"/>
        <w:ind w:firstLine="640" w:firstLineChars="200"/>
        <w:rPr>
          <w:rFonts w:hint="eastAsia" w:ascii="仿宋" w:hAnsi="仿宋" w:eastAsia="仿宋"/>
          <w:sz w:val="32"/>
          <w:szCs w:val="32"/>
        </w:rPr>
      </w:pPr>
      <w:r>
        <w:rPr>
          <w:rFonts w:hint="eastAsia" w:ascii="仿宋" w:hAnsi="仿宋" w:eastAsia="仿宋"/>
          <w:sz w:val="32"/>
          <w:szCs w:val="32"/>
        </w:rPr>
        <w:t>过去</w:t>
      </w:r>
      <w:r>
        <w:rPr>
          <w:rFonts w:ascii="仿宋" w:hAnsi="仿宋" w:eastAsia="仿宋"/>
          <w:sz w:val="32"/>
          <w:szCs w:val="32"/>
        </w:rPr>
        <w:t>一年，</w:t>
      </w:r>
      <w:r>
        <w:rPr>
          <w:rFonts w:hint="eastAsia" w:ascii="仿宋" w:hAnsi="仿宋" w:eastAsia="仿宋"/>
          <w:sz w:val="32"/>
          <w:szCs w:val="32"/>
        </w:rPr>
        <w:t>我</w:t>
      </w:r>
      <w:r>
        <w:rPr>
          <w:rFonts w:ascii="仿宋" w:hAnsi="仿宋" w:eastAsia="仿宋"/>
          <w:sz w:val="32"/>
          <w:szCs w:val="32"/>
        </w:rPr>
        <w:t>们</w:t>
      </w:r>
      <w:r>
        <w:rPr>
          <w:rFonts w:hint="eastAsia" w:ascii="仿宋" w:hAnsi="仿宋" w:eastAsia="仿宋"/>
          <w:sz w:val="32"/>
          <w:szCs w:val="32"/>
        </w:rPr>
        <w:t>坚持以习近平新时代中国特色社会主义思想为指导，全面贯彻落实党的二十</w:t>
      </w:r>
      <w:bookmarkStart w:id="0" w:name="_GoBack"/>
      <w:bookmarkEnd w:id="0"/>
      <w:r>
        <w:rPr>
          <w:rFonts w:hint="eastAsia" w:ascii="仿宋" w:hAnsi="仿宋" w:eastAsia="仿宋"/>
          <w:sz w:val="32"/>
          <w:szCs w:val="32"/>
        </w:rPr>
        <w:t>大、二十届二中全会和</w:t>
      </w:r>
      <w:r>
        <w:rPr>
          <w:rFonts w:ascii="仿宋" w:hAnsi="仿宋" w:eastAsia="仿宋"/>
          <w:sz w:val="32"/>
          <w:szCs w:val="32"/>
        </w:rPr>
        <w:t>三</w:t>
      </w:r>
      <w:r>
        <w:rPr>
          <w:rFonts w:hint="eastAsia" w:ascii="仿宋" w:hAnsi="仿宋" w:eastAsia="仿宋"/>
          <w:sz w:val="32"/>
          <w:szCs w:val="32"/>
        </w:rPr>
        <w:t>中</w:t>
      </w:r>
      <w:r>
        <w:rPr>
          <w:rFonts w:ascii="仿宋" w:hAnsi="仿宋" w:eastAsia="仿宋"/>
          <w:sz w:val="32"/>
          <w:szCs w:val="32"/>
        </w:rPr>
        <w:t>全会</w:t>
      </w:r>
      <w:r>
        <w:rPr>
          <w:rFonts w:hint="eastAsia" w:ascii="仿宋" w:hAnsi="仿宋" w:eastAsia="仿宋"/>
          <w:sz w:val="32"/>
          <w:szCs w:val="32"/>
        </w:rPr>
        <w:t>精神，坚决</w:t>
      </w:r>
      <w:r>
        <w:rPr>
          <w:rFonts w:ascii="仿宋" w:hAnsi="仿宋" w:eastAsia="仿宋"/>
          <w:sz w:val="32"/>
          <w:szCs w:val="32"/>
        </w:rPr>
        <w:t>贯彻落实区委、区政府的决策部署，在镇党委的坚强领导下，</w:t>
      </w:r>
      <w:r>
        <w:rPr>
          <w:rFonts w:hint="eastAsia" w:ascii="仿宋" w:hAnsi="仿宋" w:eastAsia="仿宋"/>
          <w:sz w:val="32"/>
          <w:szCs w:val="32"/>
        </w:rPr>
        <w:t>在镇人大的监督支持下，在</w:t>
      </w:r>
      <w:r>
        <w:rPr>
          <w:rFonts w:ascii="仿宋" w:hAnsi="仿宋" w:eastAsia="仿宋"/>
          <w:sz w:val="32"/>
          <w:szCs w:val="32"/>
        </w:rPr>
        <w:t>全镇广大干部群众的共同努力下，</w:t>
      </w:r>
      <w:r>
        <w:rPr>
          <w:rFonts w:hint="eastAsia" w:ascii="仿宋" w:hAnsi="仿宋" w:eastAsia="仿宋"/>
          <w:sz w:val="32"/>
          <w:szCs w:val="32"/>
        </w:rPr>
        <w:t>坚持</w:t>
      </w:r>
      <w:r>
        <w:rPr>
          <w:rFonts w:ascii="仿宋" w:hAnsi="仿宋" w:eastAsia="仿宋"/>
          <w:sz w:val="32"/>
          <w:szCs w:val="32"/>
        </w:rPr>
        <w:t>稳中求进工作总基调，积极践行新发展理念，</w:t>
      </w:r>
      <w:r>
        <w:rPr>
          <w:rFonts w:hint="eastAsia" w:ascii="仿宋" w:hAnsi="仿宋" w:eastAsia="仿宋"/>
          <w:sz w:val="32"/>
          <w:szCs w:val="32"/>
        </w:rPr>
        <w:t>全面实施“北更</w:t>
      </w:r>
      <w:r>
        <w:rPr>
          <w:rFonts w:ascii="仿宋" w:hAnsi="仿宋" w:eastAsia="仿宋"/>
          <w:sz w:val="32"/>
          <w:szCs w:val="32"/>
        </w:rPr>
        <w:t>、中增、南争</w:t>
      </w:r>
      <w:r>
        <w:rPr>
          <w:rFonts w:hint="eastAsia" w:ascii="仿宋" w:hAnsi="仿宋" w:eastAsia="仿宋"/>
          <w:sz w:val="32"/>
          <w:szCs w:val="32"/>
        </w:rPr>
        <w:t>”的发展路径，落实镇五届三次党代会精神和六届五次人代会部署的发展任务，较</w:t>
      </w:r>
      <w:r>
        <w:rPr>
          <w:rFonts w:ascii="仿宋" w:hAnsi="仿宋" w:eastAsia="仿宋"/>
          <w:sz w:val="32"/>
          <w:szCs w:val="32"/>
        </w:rPr>
        <w:t>好</w:t>
      </w:r>
      <w:r>
        <w:rPr>
          <w:rFonts w:hint="eastAsia" w:ascii="仿宋" w:hAnsi="仿宋" w:eastAsia="仿宋"/>
          <w:sz w:val="32"/>
          <w:szCs w:val="32"/>
        </w:rPr>
        <w:t>完成了既定目标和</w:t>
      </w:r>
      <w:r>
        <w:rPr>
          <w:rFonts w:ascii="仿宋" w:hAnsi="仿宋" w:eastAsia="仿宋"/>
          <w:sz w:val="32"/>
          <w:szCs w:val="32"/>
        </w:rPr>
        <w:t>各项任务</w:t>
      </w:r>
      <w:r>
        <w:rPr>
          <w:rFonts w:hint="eastAsia" w:ascii="仿宋" w:hAnsi="仿宋" w:eastAsia="仿宋"/>
          <w:sz w:val="32"/>
          <w:szCs w:val="32"/>
        </w:rPr>
        <w:t>。</w:t>
      </w:r>
    </w:p>
    <w:p w14:paraId="1E1C3B53">
      <w:pPr>
        <w:spacing w:line="600" w:lineRule="exact"/>
        <w:ind w:firstLine="640" w:firstLineChars="200"/>
        <w:rPr>
          <w:rFonts w:hint="eastAsia" w:ascii="楷体" w:hAnsi="楷体" w:eastAsia="楷体"/>
          <w:color w:val="000000"/>
          <w:sz w:val="32"/>
          <w:szCs w:val="32"/>
        </w:rPr>
      </w:pPr>
      <w:r>
        <w:rPr>
          <w:rFonts w:hint="eastAsia" w:ascii="楷体" w:hAnsi="楷体" w:eastAsia="楷体"/>
          <w:color w:val="000000"/>
          <w:sz w:val="32"/>
          <w:szCs w:val="32"/>
        </w:rPr>
        <w:t>202</w:t>
      </w:r>
      <w:r>
        <w:rPr>
          <w:rFonts w:ascii="楷体" w:hAnsi="楷体" w:eastAsia="楷体"/>
          <w:color w:val="000000"/>
          <w:sz w:val="32"/>
          <w:szCs w:val="32"/>
        </w:rPr>
        <w:t>4</w:t>
      </w:r>
      <w:r>
        <w:rPr>
          <w:rFonts w:hint="eastAsia" w:ascii="楷体" w:hAnsi="楷体" w:eastAsia="楷体"/>
          <w:color w:val="000000"/>
          <w:sz w:val="32"/>
          <w:szCs w:val="32"/>
        </w:rPr>
        <w:t>年全</w:t>
      </w:r>
      <w:r>
        <w:rPr>
          <w:rFonts w:ascii="楷体" w:hAnsi="楷体" w:eastAsia="楷体"/>
          <w:color w:val="000000"/>
          <w:sz w:val="32"/>
          <w:szCs w:val="32"/>
        </w:rPr>
        <w:t>镇经济</w:t>
      </w:r>
      <w:r>
        <w:rPr>
          <w:rFonts w:hint="eastAsia" w:ascii="楷体" w:hAnsi="楷体" w:eastAsia="楷体"/>
          <w:color w:val="000000"/>
          <w:sz w:val="32"/>
          <w:szCs w:val="32"/>
        </w:rPr>
        <w:t>运行</w:t>
      </w:r>
      <w:r>
        <w:rPr>
          <w:rFonts w:ascii="楷体" w:hAnsi="楷体" w:eastAsia="楷体"/>
          <w:color w:val="000000"/>
          <w:sz w:val="32"/>
          <w:szCs w:val="32"/>
        </w:rPr>
        <w:t>稳中有进，</w:t>
      </w:r>
      <w:r>
        <w:rPr>
          <w:rFonts w:hint="eastAsia" w:ascii="楷体" w:hAnsi="楷体" w:eastAsia="楷体"/>
          <w:color w:val="000000"/>
          <w:sz w:val="32"/>
          <w:szCs w:val="32"/>
        </w:rPr>
        <w:t>全年实现地区生产总值18</w:t>
      </w:r>
      <w:r>
        <w:rPr>
          <w:rFonts w:ascii="楷体" w:hAnsi="楷体" w:eastAsia="楷体"/>
          <w:color w:val="000000"/>
          <w:sz w:val="32"/>
          <w:szCs w:val="32"/>
        </w:rPr>
        <w:t>3</w:t>
      </w:r>
      <w:r>
        <w:rPr>
          <w:rFonts w:hint="eastAsia" w:ascii="楷体" w:hAnsi="楷体" w:eastAsia="楷体"/>
          <w:color w:val="000000"/>
          <w:sz w:val="32"/>
          <w:szCs w:val="32"/>
        </w:rPr>
        <w:t>.7亿元，同比增长1</w:t>
      </w:r>
      <w:r>
        <w:rPr>
          <w:rFonts w:ascii="楷体" w:hAnsi="楷体" w:eastAsia="楷体"/>
          <w:color w:val="000000"/>
          <w:sz w:val="32"/>
          <w:szCs w:val="32"/>
        </w:rPr>
        <w:t>.</w:t>
      </w:r>
      <w:r>
        <w:rPr>
          <w:rFonts w:hint="eastAsia" w:ascii="楷体" w:hAnsi="楷体" w:eastAsia="楷体"/>
          <w:color w:val="000000"/>
          <w:sz w:val="32"/>
          <w:szCs w:val="32"/>
        </w:rPr>
        <w:t>5%；完成财政总收入5</w:t>
      </w:r>
      <w:r>
        <w:rPr>
          <w:rFonts w:ascii="楷体" w:hAnsi="楷体" w:eastAsia="楷体"/>
          <w:color w:val="000000"/>
          <w:sz w:val="32"/>
          <w:szCs w:val="32"/>
        </w:rPr>
        <w:t>1</w:t>
      </w:r>
      <w:r>
        <w:rPr>
          <w:rFonts w:hint="eastAsia" w:ascii="楷体" w:hAnsi="楷体" w:eastAsia="楷体"/>
          <w:color w:val="000000"/>
          <w:sz w:val="32"/>
          <w:szCs w:val="32"/>
        </w:rPr>
        <w:t>亿元，同比增长13.1%；区级财政收入19.3亿元，同比增长17.1%。规上工业总产值完成125.8亿元，全社会固定资产投资</w:t>
      </w:r>
      <w:r>
        <w:rPr>
          <w:rFonts w:ascii="楷体" w:hAnsi="楷体" w:eastAsia="楷体"/>
          <w:color w:val="000000"/>
          <w:sz w:val="32"/>
          <w:szCs w:val="32"/>
        </w:rPr>
        <w:t>9</w:t>
      </w:r>
      <w:r>
        <w:rPr>
          <w:rFonts w:hint="eastAsia" w:ascii="楷体" w:hAnsi="楷体" w:eastAsia="楷体"/>
          <w:color w:val="000000"/>
          <w:sz w:val="32"/>
          <w:szCs w:val="32"/>
        </w:rPr>
        <w:t>2.0亿元。全年</w:t>
      </w:r>
      <w:r>
        <w:rPr>
          <w:rFonts w:ascii="楷体" w:hAnsi="楷体" w:eastAsia="楷体"/>
          <w:color w:val="000000"/>
          <w:sz w:val="32"/>
          <w:szCs w:val="32"/>
        </w:rPr>
        <w:t>新引</w:t>
      </w:r>
      <w:r>
        <w:rPr>
          <w:rFonts w:hint="eastAsia" w:ascii="楷体" w:hAnsi="楷体" w:eastAsia="楷体"/>
          <w:color w:val="000000"/>
          <w:sz w:val="32"/>
          <w:szCs w:val="32"/>
        </w:rPr>
        <w:t>进</w:t>
      </w:r>
      <w:r>
        <w:rPr>
          <w:rFonts w:ascii="楷体" w:hAnsi="楷体" w:eastAsia="楷体"/>
          <w:color w:val="000000"/>
          <w:sz w:val="32"/>
          <w:szCs w:val="32"/>
        </w:rPr>
        <w:t>内资企业</w:t>
      </w:r>
      <w:r>
        <w:rPr>
          <w:rFonts w:hint="eastAsia" w:ascii="楷体" w:hAnsi="楷体" w:eastAsia="楷体"/>
          <w:color w:val="000000"/>
          <w:sz w:val="32"/>
          <w:szCs w:val="32"/>
        </w:rPr>
        <w:t>1200户</w:t>
      </w:r>
      <w:r>
        <w:rPr>
          <w:rFonts w:ascii="楷体" w:hAnsi="楷体" w:eastAsia="楷体"/>
          <w:color w:val="000000"/>
          <w:sz w:val="32"/>
          <w:szCs w:val="32"/>
        </w:rPr>
        <w:t>，</w:t>
      </w:r>
      <w:r>
        <w:rPr>
          <w:rFonts w:hint="eastAsia" w:ascii="楷体" w:hAnsi="楷体" w:eastAsia="楷体"/>
          <w:color w:val="000000"/>
          <w:sz w:val="32"/>
          <w:szCs w:val="32"/>
        </w:rPr>
        <w:t>新增注册资金23.3亿元；新</w:t>
      </w:r>
      <w:r>
        <w:rPr>
          <w:rFonts w:ascii="楷体" w:hAnsi="楷体" w:eastAsia="楷体"/>
          <w:color w:val="000000"/>
          <w:sz w:val="32"/>
          <w:szCs w:val="32"/>
        </w:rPr>
        <w:t>引进外资企业</w:t>
      </w:r>
      <w:r>
        <w:rPr>
          <w:rFonts w:hint="eastAsia" w:ascii="楷体" w:hAnsi="楷体" w:eastAsia="楷体"/>
          <w:color w:val="000000"/>
          <w:sz w:val="32"/>
          <w:szCs w:val="32"/>
        </w:rPr>
        <w:t>30户</w:t>
      </w:r>
      <w:r>
        <w:rPr>
          <w:rFonts w:ascii="楷体" w:hAnsi="楷体" w:eastAsia="楷体"/>
          <w:color w:val="000000"/>
          <w:sz w:val="32"/>
          <w:szCs w:val="32"/>
        </w:rPr>
        <w:t>，</w:t>
      </w:r>
      <w:r>
        <w:rPr>
          <w:rFonts w:hint="eastAsia" w:ascii="楷体" w:hAnsi="楷体" w:eastAsia="楷体"/>
          <w:color w:val="000000"/>
          <w:sz w:val="32"/>
          <w:szCs w:val="32"/>
        </w:rPr>
        <w:t>吸收合同外资1</w:t>
      </w:r>
      <w:r>
        <w:rPr>
          <w:rFonts w:ascii="楷体" w:hAnsi="楷体" w:eastAsia="楷体"/>
          <w:color w:val="000000"/>
          <w:sz w:val="32"/>
          <w:szCs w:val="32"/>
        </w:rPr>
        <w:t>.</w:t>
      </w:r>
      <w:r>
        <w:rPr>
          <w:rFonts w:hint="eastAsia" w:ascii="楷体" w:hAnsi="楷体" w:eastAsia="楷体"/>
          <w:color w:val="000000"/>
          <w:sz w:val="32"/>
          <w:szCs w:val="32"/>
        </w:rPr>
        <w:t>3亿美元，到位外资2300万美元。</w:t>
      </w:r>
    </w:p>
    <w:p w14:paraId="2850DB91">
      <w:pPr>
        <w:spacing w:line="600" w:lineRule="exact"/>
        <w:ind w:firstLine="640" w:firstLineChars="200"/>
        <w:rPr>
          <w:rFonts w:hint="eastAsia" w:hAnsi="仿宋"/>
          <w:color w:val="000000"/>
          <w:sz w:val="32"/>
          <w:szCs w:val="32"/>
        </w:rPr>
      </w:pPr>
      <w:r>
        <w:rPr>
          <w:rFonts w:hint="eastAsia" w:ascii="仿宋" w:hAnsi="仿宋" w:eastAsia="仿宋"/>
          <w:color w:val="000000"/>
          <w:sz w:val="32"/>
          <w:szCs w:val="32"/>
        </w:rPr>
        <w:t>一年来，主要做了以下工作：</w:t>
      </w:r>
    </w:p>
    <w:p w14:paraId="748F1EC5">
      <w:pPr>
        <w:snapToGrid w:val="0"/>
        <w:spacing w:line="600" w:lineRule="exact"/>
        <w:ind w:firstLine="624" w:firstLineChars="200"/>
        <w:rPr>
          <w:rFonts w:hint="eastAsia" w:ascii="黑体" w:hAnsi="黑体" w:eastAsia="黑体"/>
          <w:color w:val="000000" w:themeColor="text1"/>
          <w:spacing w:val="-4"/>
          <w:sz w:val="32"/>
          <w:szCs w:val="32"/>
          <w14:textFill>
            <w14:solidFill>
              <w14:schemeClr w14:val="tx1"/>
            </w14:solidFill>
          </w14:textFill>
        </w:rPr>
      </w:pPr>
      <w:r>
        <w:rPr>
          <w:rFonts w:hint="eastAsia" w:ascii="黑体" w:hAnsi="黑体" w:eastAsia="黑体"/>
          <w:color w:val="000000" w:themeColor="text1"/>
          <w:spacing w:val="-4"/>
          <w:sz w:val="32"/>
          <w:szCs w:val="32"/>
          <w14:textFill>
            <w14:solidFill>
              <w14:schemeClr w14:val="tx1"/>
            </w14:solidFill>
          </w14:textFill>
        </w:rPr>
        <w:t>一</w:t>
      </w:r>
      <w:r>
        <w:rPr>
          <w:rFonts w:ascii="黑体" w:hAnsi="黑体" w:eastAsia="黑体"/>
          <w:color w:val="000000" w:themeColor="text1"/>
          <w:spacing w:val="-4"/>
          <w:sz w:val="32"/>
          <w:szCs w:val="32"/>
          <w14:textFill>
            <w14:solidFill>
              <w14:schemeClr w14:val="tx1"/>
            </w14:solidFill>
          </w14:textFill>
        </w:rPr>
        <w:t>、</w:t>
      </w:r>
      <w:r>
        <w:rPr>
          <w:rFonts w:hint="eastAsia" w:ascii="黑体" w:hAnsi="黑体" w:eastAsia="黑体"/>
          <w:color w:val="000000" w:themeColor="text1"/>
          <w:spacing w:val="-4"/>
          <w:sz w:val="32"/>
          <w:szCs w:val="32"/>
          <w14:textFill>
            <w14:solidFill>
              <w14:schemeClr w14:val="tx1"/>
            </w14:solidFill>
          </w14:textFill>
        </w:rPr>
        <w:t>挖潜</w:t>
      </w:r>
      <w:r>
        <w:rPr>
          <w:rFonts w:ascii="黑体" w:hAnsi="黑体" w:eastAsia="黑体"/>
          <w:color w:val="000000" w:themeColor="text1"/>
          <w:spacing w:val="-4"/>
          <w:sz w:val="32"/>
          <w:szCs w:val="32"/>
          <w14:textFill>
            <w14:solidFill>
              <w14:schemeClr w14:val="tx1"/>
            </w14:solidFill>
          </w14:textFill>
        </w:rPr>
        <w:t>能</w:t>
      </w:r>
      <w:r>
        <w:rPr>
          <w:rFonts w:hint="eastAsia" w:ascii="黑体" w:hAnsi="黑体" w:eastAsia="黑体"/>
          <w:color w:val="000000" w:themeColor="text1"/>
          <w:spacing w:val="-4"/>
          <w:sz w:val="32"/>
          <w:szCs w:val="32"/>
          <w14:textFill>
            <w14:solidFill>
              <w14:schemeClr w14:val="tx1"/>
            </w14:solidFill>
          </w14:textFill>
        </w:rPr>
        <w:t>、稳增长</w:t>
      </w:r>
      <w:r>
        <w:rPr>
          <w:rFonts w:ascii="黑体" w:hAnsi="黑体" w:eastAsia="黑体"/>
          <w:color w:val="000000" w:themeColor="text1"/>
          <w:spacing w:val="-4"/>
          <w:sz w:val="32"/>
          <w:szCs w:val="32"/>
          <w14:textFill>
            <w14:solidFill>
              <w14:schemeClr w14:val="tx1"/>
            </w14:solidFill>
          </w14:textFill>
        </w:rPr>
        <w:t>，</w:t>
      </w:r>
      <w:r>
        <w:rPr>
          <w:rFonts w:hint="eastAsia" w:ascii="黑体" w:hAnsi="黑体" w:eastAsia="黑体"/>
          <w:color w:val="000000" w:themeColor="text1"/>
          <w:spacing w:val="-4"/>
          <w:sz w:val="32"/>
          <w:szCs w:val="32"/>
          <w14:textFill>
            <w14:solidFill>
              <w14:schemeClr w14:val="tx1"/>
            </w14:solidFill>
          </w14:textFill>
        </w:rPr>
        <w:t>释放发</w:t>
      </w:r>
      <w:r>
        <w:rPr>
          <w:rFonts w:ascii="黑体" w:hAnsi="黑体" w:eastAsia="黑体"/>
          <w:color w:val="000000" w:themeColor="text1"/>
          <w:spacing w:val="-4"/>
          <w:sz w:val="32"/>
          <w:szCs w:val="32"/>
          <w14:textFill>
            <w14:solidFill>
              <w14:schemeClr w14:val="tx1"/>
            </w14:solidFill>
          </w14:textFill>
        </w:rPr>
        <w:t>展活力</w:t>
      </w:r>
    </w:p>
    <w:p w14:paraId="605F0666">
      <w:pPr>
        <w:snapToGrid w:val="0"/>
        <w:spacing w:line="600" w:lineRule="exact"/>
        <w:ind w:firstLine="643" w:firstLineChars="200"/>
        <w:rPr>
          <w:rFonts w:hint="eastAsia" w:ascii="仿宋" w:hAnsi="仿宋" w:eastAsia="仿宋"/>
          <w:sz w:val="32"/>
          <w:szCs w:val="32"/>
        </w:rPr>
      </w:pPr>
      <w:r>
        <w:rPr>
          <w:rFonts w:hint="eastAsia" w:ascii="楷体" w:hAnsi="楷体" w:eastAsia="楷体"/>
          <w:b/>
          <w:color w:val="000000" w:themeColor="text1"/>
          <w:sz w:val="32"/>
          <w:szCs w:val="32"/>
          <w14:textFill>
            <w14:solidFill>
              <w14:schemeClr w14:val="tx1"/>
            </w14:solidFill>
          </w14:textFill>
        </w:rPr>
        <w:t>硬核</w:t>
      </w:r>
      <w:r>
        <w:rPr>
          <w:rFonts w:ascii="楷体" w:hAnsi="楷体" w:eastAsia="楷体"/>
          <w:b/>
          <w:color w:val="000000" w:themeColor="text1"/>
          <w:sz w:val="32"/>
          <w:szCs w:val="32"/>
          <w14:textFill>
            <w14:solidFill>
              <w14:schemeClr w14:val="tx1"/>
            </w14:solidFill>
          </w14:textFill>
        </w:rPr>
        <w:t>产业集聚提升</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sz w:val="32"/>
          <w:szCs w:val="32"/>
        </w:rPr>
        <w:t>坚持“引进来”与“走出去”并举，全力以赴招大引强，赴杭州、深圳、广东等</w:t>
      </w:r>
      <w:r>
        <w:rPr>
          <w:rFonts w:ascii="仿宋" w:hAnsi="仿宋" w:eastAsia="仿宋"/>
          <w:sz w:val="32"/>
          <w:szCs w:val="32"/>
        </w:rPr>
        <w:t>地</w:t>
      </w:r>
      <w:r>
        <w:rPr>
          <w:rFonts w:hint="eastAsia" w:ascii="仿宋" w:hAnsi="仿宋" w:eastAsia="仿宋"/>
          <w:sz w:val="32"/>
          <w:szCs w:val="32"/>
        </w:rPr>
        <w:t>开展招商考察，蜜丝婷、静丹网络、北建华清、中牧粮油、纽瑞滋食品等一批重点企业落地梅陇。成立</w:t>
      </w:r>
      <w:r>
        <w:rPr>
          <w:rFonts w:ascii="仿宋" w:hAnsi="仿宋" w:eastAsia="仿宋"/>
          <w:sz w:val="32"/>
          <w:szCs w:val="32"/>
        </w:rPr>
        <w:t>汽车产业</w:t>
      </w:r>
      <w:r>
        <w:rPr>
          <w:rFonts w:hint="eastAsia" w:ascii="仿宋" w:hAnsi="仿宋" w:eastAsia="仿宋"/>
          <w:sz w:val="32"/>
          <w:szCs w:val="32"/>
        </w:rPr>
        <w:t>集群</w:t>
      </w:r>
      <w:r>
        <w:rPr>
          <w:rFonts w:ascii="仿宋" w:hAnsi="仿宋" w:eastAsia="仿宋"/>
          <w:sz w:val="32"/>
          <w:szCs w:val="32"/>
        </w:rPr>
        <w:t>，</w:t>
      </w:r>
      <w:r>
        <w:rPr>
          <w:rFonts w:hint="eastAsia" w:ascii="仿宋" w:hAnsi="仿宋" w:eastAsia="仿宋"/>
          <w:sz w:val="32"/>
          <w:szCs w:val="32"/>
        </w:rPr>
        <w:t>吸引百</w:t>
      </w:r>
      <w:r>
        <w:rPr>
          <w:rFonts w:ascii="仿宋" w:hAnsi="仿宋" w:eastAsia="仿宋"/>
          <w:sz w:val="32"/>
          <w:szCs w:val="32"/>
        </w:rPr>
        <w:t>余家汽车产业相关企业</w:t>
      </w:r>
      <w:r>
        <w:rPr>
          <w:rFonts w:hint="eastAsia" w:ascii="仿宋" w:hAnsi="仿宋" w:eastAsia="仿宋"/>
          <w:sz w:val="32"/>
          <w:szCs w:val="32"/>
        </w:rPr>
        <w:t>集</w:t>
      </w:r>
      <w:r>
        <w:rPr>
          <w:rFonts w:ascii="仿宋" w:hAnsi="仿宋" w:eastAsia="仿宋"/>
          <w:sz w:val="32"/>
          <w:szCs w:val="32"/>
        </w:rPr>
        <w:t>聚。</w:t>
      </w:r>
      <w:r>
        <w:rPr>
          <w:rFonts w:hint="eastAsia" w:ascii="仿宋" w:hAnsi="仿宋" w:eastAsia="仿宋"/>
          <w:sz w:val="32"/>
          <w:szCs w:val="32"/>
        </w:rPr>
        <w:t>大力发展总部经济，新增一家外资研发中心。持续</w:t>
      </w:r>
      <w:r>
        <w:rPr>
          <w:rFonts w:ascii="仿宋" w:hAnsi="仿宋" w:eastAsia="仿宋"/>
          <w:sz w:val="32"/>
          <w:szCs w:val="32"/>
        </w:rPr>
        <w:t>强化企业</w:t>
      </w:r>
      <w:r>
        <w:rPr>
          <w:rFonts w:hint="eastAsia" w:ascii="仿宋" w:hAnsi="仿宋" w:eastAsia="仿宋"/>
          <w:sz w:val="32"/>
          <w:szCs w:val="32"/>
        </w:rPr>
        <w:t>科技</w:t>
      </w:r>
      <w:r>
        <w:rPr>
          <w:rFonts w:ascii="仿宋" w:hAnsi="仿宋" w:eastAsia="仿宋"/>
          <w:sz w:val="32"/>
          <w:szCs w:val="32"/>
        </w:rPr>
        <w:t>创新主体地位，</w:t>
      </w:r>
      <w:r>
        <w:rPr>
          <w:rFonts w:hint="eastAsia" w:ascii="仿宋" w:hAnsi="仿宋" w:eastAsia="仿宋"/>
          <w:sz w:val="32"/>
          <w:szCs w:val="32"/>
        </w:rPr>
        <w:t>促进中小企业专精特新发展</w:t>
      </w:r>
      <w:r>
        <w:rPr>
          <w:rFonts w:ascii="仿宋" w:hAnsi="仿宋" w:eastAsia="仿宋"/>
          <w:sz w:val="32"/>
          <w:szCs w:val="32"/>
        </w:rPr>
        <w:t>和科技成果转移转化，</w:t>
      </w:r>
      <w:r>
        <w:rPr>
          <w:rFonts w:hint="eastAsia" w:ascii="仿宋" w:hAnsi="仿宋" w:eastAsia="仿宋"/>
          <w:sz w:val="32"/>
          <w:szCs w:val="32"/>
        </w:rPr>
        <w:t>全</w:t>
      </w:r>
      <w:r>
        <w:rPr>
          <w:rFonts w:ascii="仿宋" w:hAnsi="仿宋" w:eastAsia="仿宋"/>
          <w:sz w:val="32"/>
          <w:szCs w:val="32"/>
        </w:rPr>
        <w:t>年</w:t>
      </w:r>
      <w:r>
        <w:rPr>
          <w:rFonts w:hint="eastAsia" w:ascii="仿宋" w:hAnsi="仿宋" w:eastAsia="仿宋"/>
          <w:sz w:val="32"/>
          <w:szCs w:val="32"/>
        </w:rPr>
        <w:t>新增“专精特新”企业122家，科创主体梯度发展显著，科技型中小企业入库151家，高新技术企业总量达431家，9家企业申报闵行区级小巨人</w:t>
      </w:r>
      <w:r>
        <w:rPr>
          <w:rFonts w:ascii="仿宋" w:hAnsi="仿宋" w:eastAsia="仿宋"/>
          <w:sz w:val="32"/>
          <w:szCs w:val="32"/>
        </w:rPr>
        <w:t>，</w:t>
      </w:r>
      <w:r>
        <w:rPr>
          <w:rFonts w:hint="eastAsia" w:ascii="仿宋" w:hAnsi="仿宋" w:eastAsia="仿宋"/>
          <w:sz w:val="32"/>
          <w:szCs w:val="32"/>
        </w:rPr>
        <w:t>认定</w:t>
      </w:r>
      <w:r>
        <w:rPr>
          <w:rFonts w:ascii="仿宋" w:hAnsi="仿宋" w:eastAsia="仿宋"/>
          <w:sz w:val="32"/>
          <w:szCs w:val="32"/>
        </w:rPr>
        <w:t>高新技术成果转化项目</w:t>
      </w:r>
      <w:r>
        <w:rPr>
          <w:rFonts w:hint="eastAsia" w:ascii="仿宋" w:hAnsi="仿宋" w:eastAsia="仿宋"/>
          <w:sz w:val="32"/>
          <w:szCs w:val="32"/>
        </w:rPr>
        <w:t>6项。紧盯国家未来产业发展趋势，打造一批智能制造示范工厂和应用场景，推动47家企业数字化转型。完成全国第五次经济普查，顺利通过国家、市、区级质量验收。</w:t>
      </w:r>
    </w:p>
    <w:p w14:paraId="0E3223EB">
      <w:pPr>
        <w:snapToGrid w:val="0"/>
        <w:spacing w:line="600" w:lineRule="exact"/>
        <w:ind w:firstLine="643" w:firstLineChars="200"/>
        <w:rPr>
          <w:rFonts w:hint="eastAsia" w:ascii="仿宋" w:hAnsi="仿宋" w:eastAsia="仿宋"/>
          <w:sz w:val="32"/>
          <w:szCs w:val="32"/>
        </w:rPr>
      </w:pPr>
      <w:r>
        <w:rPr>
          <w:rFonts w:hint="eastAsia" w:ascii="楷体" w:hAnsi="楷体" w:eastAsia="楷体"/>
          <w:b/>
          <w:color w:val="000000" w:themeColor="text1"/>
          <w:sz w:val="32"/>
          <w:szCs w:val="32"/>
          <w14:textFill>
            <w14:solidFill>
              <w14:schemeClr w14:val="tx1"/>
            </w14:solidFill>
          </w14:textFill>
        </w:rPr>
        <w:t>消费</w:t>
      </w:r>
      <w:r>
        <w:rPr>
          <w:rFonts w:ascii="楷体" w:hAnsi="楷体" w:eastAsia="楷体"/>
          <w:b/>
          <w:color w:val="000000" w:themeColor="text1"/>
          <w:sz w:val="32"/>
          <w:szCs w:val="32"/>
          <w14:textFill>
            <w14:solidFill>
              <w14:schemeClr w14:val="tx1"/>
            </w14:solidFill>
          </w14:textFill>
        </w:rPr>
        <w:t>市场有效激活</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召开2024年企业家联谊会暨营商环境大会，</w:t>
      </w:r>
      <w:r>
        <w:rPr>
          <w:rFonts w:hint="eastAsia" w:ascii="仿宋" w:hAnsi="仿宋" w:eastAsia="仿宋"/>
          <w:sz w:val="32"/>
          <w:szCs w:val="32"/>
        </w:rPr>
        <w:t>落实重点企业“服务包”制度。积极组织伟巴斯特、澳乐维他等企业参加进博会。培育新型商业综合体，上</w:t>
      </w:r>
      <w:r>
        <w:rPr>
          <w:rFonts w:ascii="仿宋" w:hAnsi="仿宋" w:eastAsia="仿宋"/>
          <w:sz w:val="32"/>
          <w:szCs w:val="32"/>
        </w:rPr>
        <w:t>海力波九坊</w:t>
      </w:r>
      <w:r>
        <w:rPr>
          <w:rFonts w:hint="eastAsia" w:ascii="仿宋" w:hAnsi="仿宋" w:eastAsia="仿宋"/>
          <w:sz w:val="32"/>
          <w:szCs w:val="32"/>
        </w:rPr>
        <w:t>4月30日</w:t>
      </w:r>
      <w:r>
        <w:rPr>
          <w:rFonts w:ascii="仿宋" w:hAnsi="仿宋" w:eastAsia="仿宋"/>
          <w:sz w:val="32"/>
          <w:szCs w:val="32"/>
        </w:rPr>
        <w:t>开业</w:t>
      </w:r>
      <w:r>
        <w:rPr>
          <w:rFonts w:hint="eastAsia" w:ascii="仿宋" w:hAnsi="仿宋" w:eastAsia="仿宋"/>
          <w:sz w:val="32"/>
          <w:szCs w:val="32"/>
        </w:rPr>
        <w:t>，积极</w:t>
      </w:r>
      <w:r>
        <w:rPr>
          <w:rFonts w:ascii="仿宋" w:hAnsi="仿宋" w:eastAsia="仿宋"/>
          <w:sz w:val="32"/>
          <w:szCs w:val="32"/>
        </w:rPr>
        <w:t>承办</w:t>
      </w:r>
      <w:r>
        <w:rPr>
          <w:rFonts w:hint="eastAsia" w:ascii="仿宋" w:hAnsi="仿宋" w:eastAsia="仿宋"/>
          <w:sz w:val="32"/>
          <w:szCs w:val="32"/>
        </w:rPr>
        <w:t>闵</w:t>
      </w:r>
      <w:r>
        <w:rPr>
          <w:rFonts w:ascii="仿宋" w:hAnsi="仿宋" w:eastAsia="仿宋"/>
          <w:sz w:val="32"/>
          <w:szCs w:val="32"/>
        </w:rPr>
        <w:t>行区“</w:t>
      </w:r>
      <w:r>
        <w:rPr>
          <w:rFonts w:hint="eastAsia" w:ascii="仿宋" w:hAnsi="仿宋" w:eastAsia="仿宋"/>
          <w:sz w:val="32"/>
          <w:szCs w:val="32"/>
        </w:rPr>
        <w:t>五五</w:t>
      </w:r>
      <w:r>
        <w:rPr>
          <w:rFonts w:ascii="仿宋" w:hAnsi="仿宋" w:eastAsia="仿宋"/>
          <w:sz w:val="32"/>
          <w:szCs w:val="32"/>
        </w:rPr>
        <w:t>购物节”、江南吃货节等</w:t>
      </w:r>
      <w:r>
        <w:rPr>
          <w:rFonts w:hint="eastAsia" w:ascii="仿宋" w:hAnsi="仿宋" w:eastAsia="仿宋"/>
          <w:sz w:val="32"/>
          <w:szCs w:val="32"/>
        </w:rPr>
        <w:t>系列</w:t>
      </w:r>
      <w:r>
        <w:rPr>
          <w:rFonts w:ascii="仿宋" w:hAnsi="仿宋" w:eastAsia="仿宋"/>
          <w:sz w:val="32"/>
          <w:szCs w:val="32"/>
        </w:rPr>
        <w:t>活动</w:t>
      </w:r>
      <w:r>
        <w:rPr>
          <w:rFonts w:hint="eastAsia" w:ascii="仿宋" w:hAnsi="仿宋" w:eastAsia="仿宋"/>
          <w:sz w:val="32"/>
          <w:szCs w:val="32"/>
        </w:rPr>
        <w:t>。</w:t>
      </w:r>
      <w:r>
        <w:rPr>
          <w:rFonts w:ascii="仿宋" w:hAnsi="仿宋" w:eastAsia="仿宋"/>
          <w:sz w:val="32"/>
          <w:szCs w:val="32"/>
        </w:rPr>
        <w:t>鼓励</w:t>
      </w:r>
      <w:r>
        <w:rPr>
          <w:rFonts w:hint="eastAsia" w:ascii="仿宋" w:hAnsi="仿宋" w:eastAsia="仿宋"/>
          <w:sz w:val="32"/>
          <w:szCs w:val="32"/>
        </w:rPr>
        <w:t>汽车</w:t>
      </w:r>
      <w:r>
        <w:rPr>
          <w:rFonts w:ascii="仿宋" w:hAnsi="仿宋" w:eastAsia="仿宋"/>
          <w:sz w:val="32"/>
          <w:szCs w:val="32"/>
        </w:rPr>
        <w:t>、商</w:t>
      </w:r>
      <w:r>
        <w:rPr>
          <w:rFonts w:hint="eastAsia" w:ascii="仿宋" w:hAnsi="仿宋" w:eastAsia="仿宋"/>
          <w:sz w:val="32"/>
          <w:szCs w:val="32"/>
        </w:rPr>
        <w:t>贸</w:t>
      </w:r>
      <w:r>
        <w:rPr>
          <w:rFonts w:ascii="仿宋" w:hAnsi="仿宋" w:eastAsia="仿宋"/>
          <w:sz w:val="32"/>
          <w:szCs w:val="32"/>
        </w:rPr>
        <w:t>企业加大促消费力度，</w:t>
      </w:r>
      <w:r>
        <w:rPr>
          <w:rFonts w:hint="eastAsia" w:ascii="仿宋" w:hAnsi="仿宋" w:eastAsia="仿宋"/>
          <w:sz w:val="32"/>
          <w:szCs w:val="32"/>
        </w:rPr>
        <w:t>积极开展家电百货及美食、汽车嘉年华等大型促销活动，拉动消费逆势上扬，完成限上商品销售总额505.4亿元，规上服务业营收完成116.亿元，规上服务业营收79.5亿元。支持百</w:t>
      </w:r>
      <w:r>
        <w:rPr>
          <w:rFonts w:ascii="仿宋" w:hAnsi="仿宋" w:eastAsia="仿宋"/>
          <w:sz w:val="32"/>
          <w:szCs w:val="32"/>
        </w:rPr>
        <w:t>联南方、锦江乐园</w:t>
      </w:r>
      <w:r>
        <w:rPr>
          <w:rFonts w:hint="eastAsia" w:ascii="仿宋" w:hAnsi="仿宋" w:eastAsia="仿宋"/>
          <w:sz w:val="32"/>
          <w:szCs w:val="32"/>
        </w:rPr>
        <w:t>等</w:t>
      </w:r>
      <w:r>
        <w:rPr>
          <w:rFonts w:ascii="仿宋" w:hAnsi="仿宋" w:eastAsia="仿宋"/>
          <w:sz w:val="32"/>
          <w:szCs w:val="32"/>
        </w:rPr>
        <w:t>企业提档升级。</w:t>
      </w:r>
      <w:r>
        <w:rPr>
          <w:rFonts w:hint="eastAsia" w:ascii="仿宋" w:hAnsi="仿宋" w:eastAsia="仿宋"/>
          <w:sz w:val="32"/>
          <w:szCs w:val="32"/>
        </w:rPr>
        <w:t>依</w:t>
      </w:r>
      <w:r>
        <w:rPr>
          <w:rFonts w:ascii="仿宋" w:hAnsi="仿宋" w:eastAsia="仿宋"/>
          <w:sz w:val="32"/>
          <w:szCs w:val="32"/>
        </w:rPr>
        <w:t>托“陇商空间”平台资源，</w:t>
      </w:r>
      <w:r>
        <w:rPr>
          <w:rFonts w:hint="eastAsia" w:ascii="仿宋" w:hAnsi="仿宋" w:eastAsia="仿宋"/>
          <w:sz w:val="32"/>
          <w:szCs w:val="32"/>
        </w:rPr>
        <w:t>推进第一批“陇上好品牌”建设</w:t>
      </w:r>
      <w:r>
        <w:rPr>
          <w:rFonts w:ascii="仿宋" w:hAnsi="仿宋" w:eastAsia="仿宋"/>
          <w:sz w:val="32"/>
          <w:szCs w:val="32"/>
        </w:rPr>
        <w:t>，</w:t>
      </w:r>
      <w:r>
        <w:rPr>
          <w:rFonts w:hint="eastAsia" w:ascii="仿宋" w:hAnsi="仿宋" w:eastAsia="仿宋"/>
          <w:sz w:val="32"/>
          <w:szCs w:val="32"/>
        </w:rPr>
        <w:t>打造</w:t>
      </w:r>
      <w:r>
        <w:rPr>
          <w:rFonts w:ascii="仿宋" w:hAnsi="仿宋" w:eastAsia="仿宋"/>
          <w:sz w:val="32"/>
          <w:szCs w:val="32"/>
        </w:rPr>
        <w:t>龙华</w:t>
      </w:r>
      <w:r>
        <w:rPr>
          <w:rFonts w:hint="eastAsia" w:ascii="仿宋" w:hAnsi="仿宋" w:eastAsia="仿宋"/>
          <w:sz w:val="32"/>
          <w:szCs w:val="32"/>
        </w:rPr>
        <w:t>素斋、大塚食品、避风塘、悠纯牛奶等</w:t>
      </w:r>
      <w:r>
        <w:rPr>
          <w:rFonts w:ascii="仿宋" w:hAnsi="仿宋" w:eastAsia="仿宋"/>
          <w:sz w:val="32"/>
          <w:szCs w:val="32"/>
        </w:rPr>
        <w:t>20余个</w:t>
      </w:r>
      <w:r>
        <w:rPr>
          <w:rFonts w:hint="eastAsia" w:ascii="仿宋" w:hAnsi="仿宋" w:eastAsia="仿宋"/>
          <w:sz w:val="32"/>
          <w:szCs w:val="32"/>
        </w:rPr>
        <w:t>梅</w:t>
      </w:r>
      <w:r>
        <w:rPr>
          <w:rFonts w:ascii="仿宋" w:hAnsi="仿宋" w:eastAsia="仿宋"/>
          <w:sz w:val="32"/>
          <w:szCs w:val="32"/>
        </w:rPr>
        <w:t>陇</w:t>
      </w:r>
      <w:r>
        <w:rPr>
          <w:rFonts w:hint="eastAsia" w:ascii="仿宋" w:hAnsi="仿宋" w:eastAsia="仿宋"/>
          <w:sz w:val="32"/>
          <w:szCs w:val="32"/>
        </w:rPr>
        <w:t>本土文</w:t>
      </w:r>
      <w:r>
        <w:rPr>
          <w:rFonts w:ascii="仿宋" w:hAnsi="仿宋" w:eastAsia="仿宋"/>
          <w:sz w:val="32"/>
          <w:szCs w:val="32"/>
        </w:rPr>
        <w:t>创“联名款”，</w:t>
      </w:r>
      <w:r>
        <w:rPr>
          <w:rFonts w:hint="eastAsia" w:ascii="仿宋" w:hAnsi="仿宋" w:eastAsia="仿宋"/>
          <w:sz w:val="32"/>
          <w:szCs w:val="32"/>
        </w:rPr>
        <w:t>形成品牌聚集效应，提升企业知名度和影响力。</w:t>
      </w:r>
    </w:p>
    <w:p w14:paraId="6CFC37CB">
      <w:pPr>
        <w:snapToGrid w:val="0"/>
        <w:spacing w:line="600" w:lineRule="exact"/>
        <w:ind w:firstLine="643" w:firstLineChars="200"/>
        <w:rPr>
          <w:rFonts w:hint="eastAsia"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乡村振兴蓬勃</w:t>
      </w:r>
      <w:r>
        <w:rPr>
          <w:rFonts w:ascii="楷体" w:hAnsi="楷体" w:eastAsia="楷体"/>
          <w:b/>
          <w:color w:val="000000" w:themeColor="text1"/>
          <w:sz w:val="32"/>
          <w:szCs w:val="32"/>
          <w14:textFill>
            <w14:solidFill>
              <w14:schemeClr w14:val="tx1"/>
            </w14:solidFill>
          </w14:textFill>
        </w:rPr>
        <w:t>发展</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cs="仿宋"/>
          <w:sz w:val="32"/>
          <w:szCs w:val="32"/>
        </w:rPr>
        <w:t>深入实施</w:t>
      </w:r>
      <w:r>
        <w:rPr>
          <w:rFonts w:ascii="仿宋" w:hAnsi="仿宋" w:eastAsia="仿宋" w:cs="仿宋"/>
          <w:sz w:val="32"/>
          <w:szCs w:val="32"/>
        </w:rPr>
        <w:t>乡村建设行动，</w:t>
      </w:r>
      <w:r>
        <w:rPr>
          <w:rFonts w:hint="eastAsia" w:ascii="仿宋" w:hAnsi="仿宋" w:eastAsia="仿宋" w:cs="仿宋"/>
          <w:sz w:val="32"/>
          <w:szCs w:val="32"/>
        </w:rPr>
        <w:t>完成66户上楼农户进户工作。全</w:t>
      </w:r>
      <w:r>
        <w:rPr>
          <w:rFonts w:ascii="仿宋" w:hAnsi="仿宋" w:eastAsia="仿宋" w:cs="仿宋"/>
          <w:sz w:val="32"/>
          <w:szCs w:val="32"/>
        </w:rPr>
        <w:t>面</w:t>
      </w:r>
      <w:r>
        <w:rPr>
          <w:rFonts w:hint="eastAsia" w:ascii="仿宋" w:hAnsi="仿宋" w:eastAsia="仿宋" w:cs="仿宋"/>
          <w:sz w:val="32"/>
          <w:szCs w:val="32"/>
        </w:rPr>
        <w:t>优化</w:t>
      </w:r>
      <w:r>
        <w:rPr>
          <w:rFonts w:ascii="仿宋" w:hAnsi="仿宋" w:eastAsia="仿宋" w:cs="仿宋"/>
          <w:sz w:val="32"/>
          <w:szCs w:val="32"/>
        </w:rPr>
        <w:t>农村人居环境，提升农村基础设施和公共服务供</w:t>
      </w:r>
      <w:r>
        <w:rPr>
          <w:rFonts w:hint="eastAsia" w:ascii="仿宋" w:hAnsi="仿宋" w:eastAsia="仿宋" w:cs="仿宋"/>
          <w:sz w:val="32"/>
          <w:szCs w:val="32"/>
        </w:rPr>
        <w:t>给</w:t>
      </w:r>
      <w:r>
        <w:rPr>
          <w:rFonts w:ascii="仿宋" w:hAnsi="仿宋" w:eastAsia="仿宋" w:cs="仿宋"/>
          <w:sz w:val="32"/>
          <w:szCs w:val="32"/>
        </w:rPr>
        <w:t>水平，</w:t>
      </w:r>
      <w:r>
        <w:rPr>
          <w:rFonts w:hint="eastAsia" w:ascii="仿宋" w:hAnsi="仿宋" w:eastAsia="仿宋" w:cs="仿宋"/>
          <w:sz w:val="32"/>
          <w:szCs w:val="32"/>
        </w:rPr>
        <w:t>开展</w:t>
      </w:r>
      <w:r>
        <w:rPr>
          <w:rFonts w:ascii="仿宋" w:hAnsi="仿宋" w:eastAsia="仿宋" w:cs="仿宋"/>
          <w:sz w:val="32"/>
          <w:szCs w:val="32"/>
        </w:rPr>
        <w:t>“美丽庭院”创建活动。严格落实</w:t>
      </w:r>
      <w:r>
        <w:rPr>
          <w:rFonts w:hint="eastAsia" w:ascii="仿宋" w:hAnsi="仿宋" w:eastAsia="仿宋" w:cs="仿宋"/>
          <w:sz w:val="32"/>
          <w:szCs w:val="32"/>
        </w:rPr>
        <w:t>粮食安全</w:t>
      </w:r>
      <w:r>
        <w:rPr>
          <w:rFonts w:ascii="仿宋" w:hAnsi="仿宋" w:eastAsia="仿宋" w:cs="仿宋"/>
          <w:sz w:val="32"/>
          <w:szCs w:val="32"/>
        </w:rPr>
        <w:t>责任制，</w:t>
      </w:r>
      <w:r>
        <w:rPr>
          <w:rFonts w:hint="eastAsia" w:ascii="仿宋" w:hAnsi="仿宋" w:eastAsia="仿宋" w:cs="仿宋"/>
          <w:sz w:val="32"/>
          <w:szCs w:val="32"/>
        </w:rPr>
        <w:t>规范土地</w:t>
      </w:r>
      <w:r>
        <w:rPr>
          <w:rFonts w:ascii="仿宋" w:hAnsi="仿宋" w:eastAsia="仿宋" w:cs="仿宋"/>
          <w:sz w:val="32"/>
          <w:szCs w:val="32"/>
        </w:rPr>
        <w:t>流转程序，</w:t>
      </w:r>
      <w:r>
        <w:rPr>
          <w:rFonts w:hint="eastAsia" w:ascii="仿宋" w:hAnsi="仿宋" w:eastAsia="仿宋" w:cs="仿宋"/>
          <w:sz w:val="32"/>
          <w:szCs w:val="32"/>
        </w:rPr>
        <w:t>制定加强农业用地管理和使用的指导意见</w:t>
      </w:r>
      <w:r>
        <w:rPr>
          <w:rFonts w:ascii="仿宋" w:hAnsi="仿宋" w:eastAsia="仿宋" w:cs="仿宋"/>
          <w:sz w:val="32"/>
          <w:szCs w:val="32"/>
        </w:rPr>
        <w:t>，守</w:t>
      </w:r>
      <w:r>
        <w:rPr>
          <w:rFonts w:hint="eastAsia" w:ascii="仿宋" w:hAnsi="仿宋" w:eastAsia="仿宋" w:cs="仿宋"/>
          <w:sz w:val="32"/>
          <w:szCs w:val="32"/>
        </w:rPr>
        <w:t>牢</w:t>
      </w:r>
      <w:r>
        <w:rPr>
          <w:rFonts w:ascii="仿宋" w:hAnsi="仿宋" w:eastAsia="仿宋" w:cs="仿宋"/>
          <w:sz w:val="32"/>
          <w:szCs w:val="32"/>
        </w:rPr>
        <w:t>耕地保护红线</w:t>
      </w:r>
      <w:r>
        <w:rPr>
          <w:rFonts w:hint="eastAsia" w:ascii="仿宋" w:hAnsi="仿宋" w:eastAsia="仿宋" w:cs="仿宋"/>
          <w:sz w:val="32"/>
          <w:szCs w:val="32"/>
        </w:rPr>
        <w:t>，全年</w:t>
      </w:r>
      <w:r>
        <w:rPr>
          <w:rFonts w:ascii="仿宋" w:hAnsi="仿宋" w:eastAsia="仿宋" w:cs="仿宋"/>
          <w:sz w:val="32"/>
          <w:szCs w:val="32"/>
        </w:rPr>
        <w:t>完成</w:t>
      </w:r>
      <w:r>
        <w:rPr>
          <w:rFonts w:hint="eastAsia" w:ascii="仿宋" w:hAnsi="仿宋" w:eastAsia="仿宋" w:cs="仿宋"/>
          <w:sz w:val="32"/>
          <w:szCs w:val="32"/>
        </w:rPr>
        <w:t>蔬菜</w:t>
      </w:r>
      <w:r>
        <w:rPr>
          <w:rFonts w:ascii="仿宋" w:hAnsi="仿宋" w:eastAsia="仿宋" w:cs="仿宋"/>
          <w:sz w:val="32"/>
          <w:szCs w:val="32"/>
        </w:rPr>
        <w:t>生产</w:t>
      </w:r>
      <w:r>
        <w:rPr>
          <w:rFonts w:hint="eastAsia" w:ascii="仿宋" w:hAnsi="仿宋" w:eastAsia="仿宋" w:cs="仿宋"/>
          <w:sz w:val="32"/>
          <w:szCs w:val="32"/>
        </w:rPr>
        <w:t>播种</w:t>
      </w:r>
      <w:r>
        <w:rPr>
          <w:rFonts w:ascii="仿宋" w:hAnsi="仿宋" w:eastAsia="仿宋" w:cs="仿宋"/>
          <w:sz w:val="32"/>
          <w:szCs w:val="32"/>
        </w:rPr>
        <w:t>面积</w:t>
      </w:r>
      <w:r>
        <w:rPr>
          <w:rFonts w:hint="eastAsia" w:ascii="仿宋" w:hAnsi="仿宋" w:eastAsia="仿宋" w:cs="仿宋"/>
          <w:sz w:val="32"/>
          <w:szCs w:val="32"/>
        </w:rPr>
        <w:t>544亩</w:t>
      </w:r>
      <w:r>
        <w:rPr>
          <w:rFonts w:ascii="仿宋" w:hAnsi="仿宋" w:eastAsia="仿宋" w:cs="仿宋"/>
          <w:sz w:val="32"/>
          <w:szCs w:val="32"/>
        </w:rPr>
        <w:t>次，产量达</w:t>
      </w:r>
      <w:r>
        <w:rPr>
          <w:rFonts w:hint="eastAsia" w:ascii="仿宋" w:hAnsi="仿宋" w:eastAsia="仿宋" w:cs="仿宋"/>
          <w:sz w:val="32"/>
          <w:szCs w:val="32"/>
        </w:rPr>
        <w:t>807吨</w:t>
      </w:r>
      <w:r>
        <w:rPr>
          <w:rFonts w:ascii="仿宋" w:hAnsi="仿宋" w:eastAsia="仿宋" w:cs="仿宋"/>
          <w:sz w:val="32"/>
          <w:szCs w:val="32"/>
        </w:rPr>
        <w:t>。</w:t>
      </w:r>
      <w:r>
        <w:rPr>
          <w:rFonts w:hint="eastAsia" w:ascii="仿宋" w:hAnsi="仿宋" w:eastAsia="仿宋" w:cs="仿宋"/>
          <w:sz w:val="32"/>
          <w:szCs w:val="32"/>
        </w:rPr>
        <w:t>完成《梅陇镇集资委审核集体经济组织重大事项的实施办法》，加强</w:t>
      </w:r>
      <w:r>
        <w:rPr>
          <w:rFonts w:ascii="仿宋" w:hAnsi="仿宋" w:eastAsia="仿宋" w:cs="仿宋"/>
          <w:sz w:val="32"/>
          <w:szCs w:val="32"/>
        </w:rPr>
        <w:t>集体三</w:t>
      </w:r>
      <w:r>
        <w:rPr>
          <w:rFonts w:hint="eastAsia" w:ascii="仿宋" w:hAnsi="仿宋" w:eastAsia="仿宋" w:cs="仿宋"/>
          <w:sz w:val="32"/>
          <w:szCs w:val="32"/>
        </w:rPr>
        <w:t>资</w:t>
      </w:r>
      <w:r>
        <w:rPr>
          <w:rFonts w:ascii="仿宋" w:hAnsi="仿宋" w:eastAsia="仿宋" w:cs="仿宋"/>
          <w:sz w:val="32"/>
          <w:szCs w:val="32"/>
        </w:rPr>
        <w:t>监管，召开</w:t>
      </w:r>
      <w:r>
        <w:rPr>
          <w:rFonts w:hint="eastAsia" w:ascii="仿宋" w:hAnsi="仿宋" w:eastAsia="仿宋" w:cs="仿宋"/>
          <w:sz w:val="32"/>
          <w:szCs w:val="32"/>
        </w:rPr>
        <w:t>集资委会议16次，提交会议审核材料282件。完成重大审批事项289件、集体招租事项954件、“村购镇管”项目142件和各类备案事项24件。深化对口支援与合作交流，通过结对帮扶云南省保山市施甸县、安徽省</w:t>
      </w:r>
      <w:r>
        <w:rPr>
          <w:rFonts w:ascii="仿宋" w:hAnsi="仿宋" w:eastAsia="仿宋" w:cs="仿宋"/>
          <w:sz w:val="32"/>
          <w:szCs w:val="32"/>
        </w:rPr>
        <w:t>淮南市</w:t>
      </w:r>
      <w:r>
        <w:rPr>
          <w:rFonts w:hint="eastAsia" w:ascii="仿宋" w:hAnsi="仿宋" w:eastAsia="仿宋" w:cs="仿宋"/>
          <w:sz w:val="32"/>
          <w:szCs w:val="32"/>
        </w:rPr>
        <w:t>寿</w:t>
      </w:r>
      <w:r>
        <w:rPr>
          <w:rFonts w:ascii="仿宋" w:hAnsi="仿宋" w:eastAsia="仿宋" w:cs="仿宋"/>
          <w:sz w:val="32"/>
          <w:szCs w:val="32"/>
        </w:rPr>
        <w:t>县等地</w:t>
      </w:r>
      <w:r>
        <w:rPr>
          <w:rFonts w:hint="eastAsia" w:ascii="仿宋" w:hAnsi="仿宋" w:eastAsia="仿宋" w:cs="仿宋"/>
          <w:sz w:val="32"/>
          <w:szCs w:val="32"/>
        </w:rPr>
        <w:t>，巩固拓展脱贫攻坚成果，实现乡村振兴有效衔接。</w:t>
      </w:r>
    </w:p>
    <w:p w14:paraId="230E525F">
      <w:p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二、重统筹</w:t>
      </w:r>
      <w:r>
        <w:rPr>
          <w:rFonts w:ascii="黑体" w:hAnsi="黑体" w:eastAsia="黑体"/>
          <w:color w:val="000000" w:themeColor="text1"/>
          <w:sz w:val="32"/>
          <w:szCs w:val="32"/>
          <w14:textFill>
            <w14:solidFill>
              <w14:schemeClr w14:val="tx1"/>
            </w14:solidFill>
          </w14:textFill>
        </w:rPr>
        <w:t>、</w:t>
      </w:r>
      <w:r>
        <w:rPr>
          <w:rFonts w:hint="eastAsia" w:ascii="黑体" w:hAnsi="黑体" w:eastAsia="黑体"/>
          <w:color w:val="000000" w:themeColor="text1"/>
          <w:sz w:val="32"/>
          <w:szCs w:val="32"/>
          <w14:textFill>
            <w14:solidFill>
              <w14:schemeClr w14:val="tx1"/>
            </w14:solidFill>
          </w14:textFill>
        </w:rPr>
        <w:t>促</w:t>
      </w:r>
      <w:r>
        <w:rPr>
          <w:rFonts w:ascii="黑体" w:hAnsi="黑体" w:eastAsia="黑体"/>
          <w:color w:val="000000" w:themeColor="text1"/>
          <w:sz w:val="32"/>
          <w:szCs w:val="32"/>
          <w14:textFill>
            <w14:solidFill>
              <w14:schemeClr w14:val="tx1"/>
            </w14:solidFill>
          </w14:textFill>
        </w:rPr>
        <w:t>转型，</w:t>
      </w:r>
      <w:r>
        <w:rPr>
          <w:rFonts w:hint="eastAsia" w:ascii="黑体" w:hAnsi="黑体" w:eastAsia="黑体"/>
          <w:color w:val="000000" w:themeColor="text1"/>
          <w:sz w:val="32"/>
          <w:szCs w:val="32"/>
          <w14:textFill>
            <w14:solidFill>
              <w14:schemeClr w14:val="tx1"/>
            </w14:solidFill>
          </w14:textFill>
        </w:rPr>
        <w:t>提升发</w:t>
      </w:r>
      <w:r>
        <w:rPr>
          <w:rFonts w:ascii="黑体" w:hAnsi="黑体" w:eastAsia="黑体"/>
          <w:color w:val="000000" w:themeColor="text1"/>
          <w:sz w:val="32"/>
          <w:szCs w:val="32"/>
          <w14:textFill>
            <w14:solidFill>
              <w14:schemeClr w14:val="tx1"/>
            </w14:solidFill>
          </w14:textFill>
        </w:rPr>
        <w:t>展品质</w:t>
      </w:r>
    </w:p>
    <w:p w14:paraId="11A49DA6">
      <w:pPr>
        <w:snapToGrid w:val="0"/>
        <w:spacing w:line="600" w:lineRule="exact"/>
        <w:ind w:firstLine="643" w:firstLineChars="200"/>
        <w:rPr>
          <w:rFonts w:hint="eastAsia"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集中</w:t>
      </w:r>
      <w:r>
        <w:rPr>
          <w:rFonts w:ascii="楷体" w:hAnsi="楷体" w:eastAsia="楷体"/>
          <w:b/>
          <w:color w:val="000000" w:themeColor="text1"/>
          <w:sz w:val="32"/>
          <w:szCs w:val="32"/>
          <w14:textFill>
            <w14:solidFill>
              <w14:schemeClr w14:val="tx1"/>
            </w14:solidFill>
          </w14:textFill>
        </w:rPr>
        <w:t>力量推进转型项目</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cs="仿宋"/>
          <w:sz w:val="32"/>
          <w:szCs w:val="32"/>
        </w:rPr>
        <w:t>漕河泾梅陇科技绿洲一期项目（原梅陇华鑫天地产业园）整体竣工；大塚食品提容改扩建项目已竣工；钦驰项目处于地下工程施工阶段。加强</w:t>
      </w:r>
      <w:r>
        <w:rPr>
          <w:rFonts w:ascii="仿宋" w:hAnsi="仿宋" w:eastAsia="仿宋" w:cs="仿宋"/>
          <w:sz w:val="32"/>
          <w:szCs w:val="32"/>
        </w:rPr>
        <w:t>规划引领，</w:t>
      </w:r>
      <w:r>
        <w:rPr>
          <w:rFonts w:hint="eastAsia" w:ascii="仿宋" w:hAnsi="仿宋" w:eastAsia="仿宋" w:cs="仿宋"/>
          <w:sz w:val="32"/>
          <w:szCs w:val="32"/>
        </w:rPr>
        <w:t>优化空间布局，完成澳辉集团总部基地和氢枫能源全球研发总部2个</w:t>
      </w:r>
      <w:r>
        <w:rPr>
          <w:rFonts w:ascii="仿宋" w:hAnsi="仿宋" w:eastAsia="仿宋" w:cs="仿宋"/>
          <w:sz w:val="32"/>
          <w:szCs w:val="32"/>
        </w:rPr>
        <w:t>项目的</w:t>
      </w:r>
      <w:r>
        <w:rPr>
          <w:rFonts w:hint="eastAsia" w:ascii="仿宋" w:hAnsi="仿宋" w:eastAsia="仿宋" w:cs="仿宋"/>
          <w:sz w:val="32"/>
          <w:szCs w:val="32"/>
        </w:rPr>
        <w:t>规划调整工</w:t>
      </w:r>
      <w:r>
        <w:rPr>
          <w:rFonts w:ascii="仿宋" w:hAnsi="仿宋" w:eastAsia="仿宋" w:cs="仿宋"/>
          <w:sz w:val="32"/>
          <w:szCs w:val="32"/>
        </w:rPr>
        <w:t>作</w:t>
      </w:r>
      <w:r>
        <w:rPr>
          <w:rFonts w:hint="eastAsia" w:ascii="仿宋" w:hAnsi="仿宋" w:eastAsia="仿宋" w:cs="仿宋"/>
          <w:sz w:val="32"/>
          <w:szCs w:val="32"/>
        </w:rPr>
        <w:t>；重点</w:t>
      </w:r>
      <w:r>
        <w:rPr>
          <w:rFonts w:ascii="仿宋" w:hAnsi="仿宋" w:eastAsia="仿宋" w:cs="仿宋"/>
          <w:sz w:val="32"/>
          <w:szCs w:val="32"/>
        </w:rPr>
        <w:t>推进</w:t>
      </w:r>
      <w:r>
        <w:rPr>
          <w:rFonts w:hint="eastAsia" w:ascii="仿宋" w:hAnsi="仿宋" w:eastAsia="仿宋" w:cs="仿宋"/>
          <w:sz w:val="32"/>
          <w:szCs w:val="32"/>
        </w:rPr>
        <w:t>曹中地块智造空间项目，已</w:t>
      </w:r>
      <w:r>
        <w:rPr>
          <w:rFonts w:ascii="仿宋" w:hAnsi="仿宋" w:eastAsia="仿宋" w:cs="仿宋"/>
          <w:sz w:val="32"/>
          <w:szCs w:val="32"/>
        </w:rPr>
        <w:t>完成</w:t>
      </w:r>
      <w:r>
        <w:rPr>
          <w:rFonts w:hint="eastAsia" w:ascii="仿宋" w:hAnsi="仿宋" w:eastAsia="仿宋" w:cs="仿宋"/>
          <w:sz w:val="32"/>
          <w:szCs w:val="32"/>
        </w:rPr>
        <w:t>合作框架协议签订，规划调整待市局批复。整合地区资源承载，梅富</w:t>
      </w:r>
      <w:r>
        <w:rPr>
          <w:rFonts w:ascii="仿宋" w:hAnsi="仿宋" w:eastAsia="仿宋" w:cs="仿宋"/>
          <w:sz w:val="32"/>
          <w:szCs w:val="32"/>
        </w:rPr>
        <w:t>路</w:t>
      </w:r>
      <w:r>
        <w:rPr>
          <w:rFonts w:hint="eastAsia" w:ascii="仿宋" w:hAnsi="仿宋" w:eastAsia="仿宋" w:cs="仿宋"/>
          <w:sz w:val="32"/>
          <w:szCs w:val="32"/>
        </w:rPr>
        <w:t>东、</w:t>
      </w:r>
      <w:r>
        <w:rPr>
          <w:rFonts w:ascii="仿宋" w:hAnsi="仿宋" w:eastAsia="仿宋" w:cs="仿宋"/>
          <w:sz w:val="32"/>
          <w:szCs w:val="32"/>
        </w:rPr>
        <w:t>西侧商品房地块</w:t>
      </w:r>
      <w:r>
        <w:rPr>
          <w:rFonts w:hint="eastAsia" w:ascii="仿宋" w:hAnsi="仿宋" w:eastAsia="仿宋" w:cs="仿宋"/>
          <w:sz w:val="32"/>
          <w:szCs w:val="32"/>
        </w:rPr>
        <w:t>总计129亩</w:t>
      </w:r>
      <w:r>
        <w:rPr>
          <w:rFonts w:ascii="仿宋" w:hAnsi="仿宋" w:eastAsia="仿宋" w:cs="仿宋"/>
          <w:sz w:val="32"/>
          <w:szCs w:val="32"/>
        </w:rPr>
        <w:t>土地出让，</w:t>
      </w:r>
      <w:r>
        <w:rPr>
          <w:rFonts w:hint="eastAsia" w:ascii="仿宋" w:hAnsi="仿宋" w:eastAsia="仿宋" w:cs="仿宋"/>
          <w:sz w:val="32"/>
          <w:szCs w:val="32"/>
        </w:rPr>
        <w:t>出让</w:t>
      </w:r>
      <w:r>
        <w:rPr>
          <w:rFonts w:ascii="仿宋" w:hAnsi="仿宋" w:eastAsia="仿宋" w:cs="仿宋"/>
          <w:sz w:val="32"/>
          <w:szCs w:val="32"/>
        </w:rPr>
        <w:t>金额达</w:t>
      </w:r>
      <w:r>
        <w:rPr>
          <w:rFonts w:hint="eastAsia" w:ascii="仿宋" w:hAnsi="仿宋" w:eastAsia="仿宋" w:cs="仿宋"/>
          <w:sz w:val="32"/>
          <w:szCs w:val="32"/>
        </w:rPr>
        <w:t>80.5亿。持续</w:t>
      </w:r>
      <w:r>
        <w:rPr>
          <w:rFonts w:ascii="仿宋" w:hAnsi="仿宋" w:eastAsia="仿宋" w:cs="仿宋"/>
          <w:sz w:val="32"/>
          <w:szCs w:val="32"/>
        </w:rPr>
        <w:t>推进</w:t>
      </w:r>
      <w:r>
        <w:rPr>
          <w:rFonts w:hint="eastAsia" w:ascii="仿宋" w:hAnsi="仿宋" w:eastAsia="仿宋" w:cs="仿宋"/>
          <w:sz w:val="32"/>
          <w:szCs w:val="32"/>
        </w:rPr>
        <w:t>梅陇新中心、水星家纺等项目土地出让前期净地及方案对接工作。全年完成“198”工业用地减量化立项59.5亩，验收63.3亩。</w:t>
      </w:r>
    </w:p>
    <w:p w14:paraId="7876B40C">
      <w:pPr>
        <w:snapToGrid w:val="0"/>
        <w:spacing w:line="600" w:lineRule="exact"/>
        <w:ind w:firstLine="643" w:firstLineChars="200"/>
        <w:rPr>
          <w:rFonts w:hint="eastAsia"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不断</w:t>
      </w:r>
      <w:r>
        <w:rPr>
          <w:rFonts w:ascii="楷体" w:hAnsi="楷体" w:eastAsia="楷体"/>
          <w:b/>
          <w:color w:val="000000" w:themeColor="text1"/>
          <w:sz w:val="32"/>
          <w:szCs w:val="32"/>
          <w14:textFill>
            <w14:solidFill>
              <w14:schemeClr w14:val="tx1"/>
            </w14:solidFill>
          </w14:textFill>
        </w:rPr>
        <w:t>完善城市基础</w:t>
      </w:r>
      <w:r>
        <w:rPr>
          <w:rFonts w:hint="eastAsia" w:ascii="楷体" w:hAnsi="楷体" w:eastAsia="楷体"/>
          <w:b/>
          <w:color w:val="000000" w:themeColor="text1"/>
          <w:sz w:val="32"/>
          <w:szCs w:val="32"/>
          <w14:textFill>
            <w14:solidFill>
              <w14:schemeClr w14:val="tx1"/>
            </w14:solidFill>
          </w14:textFill>
        </w:rPr>
        <w:t>设施。</w:t>
      </w:r>
      <w:r>
        <w:rPr>
          <w:rFonts w:hint="eastAsia" w:ascii="仿宋" w:hAnsi="仿宋" w:eastAsia="仿宋"/>
          <w:color w:val="000000" w:themeColor="text1"/>
          <w:sz w:val="32"/>
          <w:szCs w:val="32"/>
          <w14:textFill>
            <w14:solidFill>
              <w14:schemeClr w14:val="tx1"/>
            </w14:solidFill>
          </w14:textFill>
        </w:rPr>
        <w:t>积极配合推进轨交19、23号线、漕宝路快速化改造、复旦</w:t>
      </w:r>
      <w:r>
        <w:rPr>
          <w:rFonts w:ascii="仿宋" w:hAnsi="仿宋" w:eastAsia="仿宋"/>
          <w:color w:val="000000" w:themeColor="text1"/>
          <w:sz w:val="32"/>
          <w:szCs w:val="32"/>
          <w14:textFill>
            <w14:solidFill>
              <w14:schemeClr w14:val="tx1"/>
            </w14:solidFill>
          </w14:textFill>
        </w:rPr>
        <w:t>实验</w:t>
      </w:r>
      <w:r>
        <w:rPr>
          <w:rFonts w:hint="eastAsia" w:ascii="仿宋" w:hAnsi="仿宋" w:eastAsia="仿宋"/>
          <w:color w:val="000000" w:themeColor="text1"/>
          <w:sz w:val="32"/>
          <w:szCs w:val="32"/>
          <w14:textFill>
            <w14:solidFill>
              <w14:schemeClr w14:val="tx1"/>
            </w14:solidFill>
          </w14:textFill>
        </w:rPr>
        <w:t>初中新建工程等5个市、区重大工程项目建设。沪杭客专上海南联络线、机场联络线正式通车，银都路越江隧道基本建成。</w:t>
      </w:r>
      <w:r>
        <w:rPr>
          <w:rFonts w:ascii="仿宋" w:hAnsi="仿宋" w:eastAsia="仿宋"/>
          <w:color w:val="000000" w:themeColor="text1"/>
          <w:sz w:val="32"/>
          <w:szCs w:val="32"/>
          <w14:textFill>
            <w14:solidFill>
              <w14:schemeClr w14:val="tx1"/>
            </w14:solidFill>
          </w14:textFill>
        </w:rPr>
        <w:t>银香苑、景香苑</w:t>
      </w:r>
      <w:r>
        <w:rPr>
          <w:rFonts w:hint="eastAsia" w:ascii="仿宋" w:hAnsi="仿宋" w:eastAsia="仿宋"/>
          <w:color w:val="000000" w:themeColor="text1"/>
          <w:sz w:val="32"/>
          <w:szCs w:val="32"/>
          <w14:textFill>
            <w14:solidFill>
              <w14:schemeClr w14:val="tx1"/>
            </w14:solidFill>
          </w14:textFill>
        </w:rPr>
        <w:t>2832</w:t>
      </w:r>
      <w:r>
        <w:rPr>
          <w:rFonts w:ascii="仿宋" w:hAnsi="仿宋" w:eastAsia="仿宋"/>
          <w:color w:val="000000" w:themeColor="text1"/>
          <w:sz w:val="32"/>
          <w:szCs w:val="32"/>
          <w14:textFill>
            <w14:solidFill>
              <w14:schemeClr w14:val="tx1"/>
            </w14:solidFill>
          </w14:textFill>
        </w:rPr>
        <w:t>套</w:t>
      </w:r>
      <w:r>
        <w:rPr>
          <w:rFonts w:hint="eastAsia" w:ascii="仿宋" w:hAnsi="仿宋" w:eastAsia="仿宋"/>
          <w:color w:val="000000" w:themeColor="text1"/>
          <w:sz w:val="32"/>
          <w:szCs w:val="32"/>
          <w14:textFill>
            <w14:solidFill>
              <w14:schemeClr w14:val="tx1"/>
            </w14:solidFill>
          </w14:textFill>
        </w:rPr>
        <w:t>动迁</w:t>
      </w:r>
      <w:r>
        <w:rPr>
          <w:rFonts w:ascii="仿宋" w:hAnsi="仿宋" w:eastAsia="仿宋"/>
          <w:color w:val="000000" w:themeColor="text1"/>
          <w:sz w:val="32"/>
          <w:szCs w:val="32"/>
          <w14:textFill>
            <w14:solidFill>
              <w14:schemeClr w14:val="tx1"/>
            </w14:solidFill>
          </w14:textFill>
        </w:rPr>
        <w:t>安置房</w:t>
      </w:r>
      <w:r>
        <w:rPr>
          <w:rFonts w:hint="eastAsia" w:ascii="仿宋" w:hAnsi="仿宋" w:eastAsia="仿宋"/>
          <w:color w:val="000000" w:themeColor="text1"/>
          <w:sz w:val="32"/>
          <w:szCs w:val="32"/>
          <w14:textFill>
            <w14:solidFill>
              <w14:schemeClr w14:val="tx1"/>
            </w14:solidFill>
          </w14:textFill>
        </w:rPr>
        <w:t>实现</w:t>
      </w:r>
      <w:r>
        <w:rPr>
          <w:rFonts w:ascii="仿宋" w:hAnsi="仿宋" w:eastAsia="仿宋"/>
          <w:color w:val="000000" w:themeColor="text1"/>
          <w:sz w:val="32"/>
          <w:szCs w:val="32"/>
          <w14:textFill>
            <w14:solidFill>
              <w14:schemeClr w14:val="tx1"/>
            </w14:solidFill>
          </w14:textFill>
        </w:rPr>
        <w:t>交付。</w:t>
      </w:r>
      <w:r>
        <w:rPr>
          <w:rFonts w:hint="eastAsia" w:ascii="仿宋" w:hAnsi="仿宋" w:eastAsia="仿宋"/>
          <w:color w:val="000000" w:themeColor="text1"/>
          <w:sz w:val="32"/>
          <w:szCs w:val="32"/>
          <w14:textFill>
            <w14:solidFill>
              <w14:schemeClr w14:val="tx1"/>
            </w14:solidFill>
          </w14:textFill>
        </w:rPr>
        <w:t>城市“</w:t>
      </w:r>
      <w:r>
        <w:rPr>
          <w:rFonts w:ascii="仿宋" w:hAnsi="仿宋" w:eastAsia="仿宋"/>
          <w:color w:val="000000" w:themeColor="text1"/>
          <w:sz w:val="32"/>
          <w:szCs w:val="32"/>
          <w14:textFill>
            <w14:solidFill>
              <w14:schemeClr w14:val="tx1"/>
            </w14:solidFill>
          </w14:textFill>
        </w:rPr>
        <w:t>微改造”成效明显，顺利完成梅陇</w:t>
      </w:r>
      <w:r>
        <w:rPr>
          <w:rFonts w:hint="eastAsia" w:ascii="仿宋" w:hAnsi="仿宋" w:eastAsia="仿宋"/>
          <w:color w:val="000000" w:themeColor="text1"/>
          <w:sz w:val="32"/>
          <w:szCs w:val="32"/>
          <w14:textFill>
            <w14:solidFill>
              <w14:schemeClr w14:val="tx1"/>
            </w14:solidFill>
          </w14:textFill>
        </w:rPr>
        <w:t>二</w:t>
      </w:r>
      <w:r>
        <w:rPr>
          <w:rFonts w:ascii="仿宋" w:hAnsi="仿宋" w:eastAsia="仿宋"/>
          <w:color w:val="000000" w:themeColor="text1"/>
          <w:sz w:val="32"/>
          <w:szCs w:val="32"/>
          <w14:textFill>
            <w14:solidFill>
              <w14:schemeClr w14:val="tx1"/>
            </w14:solidFill>
          </w14:textFill>
        </w:rPr>
        <w:t>村</w:t>
      </w:r>
      <w:r>
        <w:rPr>
          <w:rFonts w:hint="eastAsia" w:ascii="仿宋" w:hAnsi="仿宋" w:eastAsia="仿宋"/>
          <w:color w:val="000000" w:themeColor="text1"/>
          <w:sz w:val="32"/>
          <w:szCs w:val="32"/>
          <w14:textFill>
            <w14:solidFill>
              <w14:schemeClr w14:val="tx1"/>
            </w14:solidFill>
          </w14:textFill>
        </w:rPr>
        <w:t>141-191号</w:t>
      </w:r>
      <w:r>
        <w:rPr>
          <w:rFonts w:ascii="仿宋" w:hAnsi="仿宋" w:eastAsia="仿宋"/>
          <w:color w:val="000000" w:themeColor="text1"/>
          <w:sz w:val="32"/>
          <w:szCs w:val="32"/>
          <w14:textFill>
            <w14:solidFill>
              <w14:schemeClr w14:val="tx1"/>
            </w14:solidFill>
          </w14:textFill>
        </w:rPr>
        <w:t>老旧小区提升改造</w:t>
      </w:r>
      <w:r>
        <w:rPr>
          <w:rFonts w:hint="eastAsia" w:ascii="仿宋" w:hAnsi="仿宋" w:eastAsia="仿宋"/>
          <w:color w:val="000000" w:themeColor="text1"/>
          <w:sz w:val="32"/>
          <w:szCs w:val="32"/>
          <w14:textFill>
            <w14:solidFill>
              <w14:schemeClr w14:val="tx1"/>
            </w14:solidFill>
          </w14:textFill>
        </w:rPr>
        <w:t>，</w:t>
      </w:r>
      <w:r>
        <w:rPr>
          <w:rFonts w:ascii="仿宋" w:hAnsi="仿宋" w:eastAsia="仿宋"/>
          <w:color w:val="000000" w:themeColor="text1"/>
          <w:sz w:val="32"/>
          <w:szCs w:val="32"/>
          <w14:textFill>
            <w14:solidFill>
              <w14:schemeClr w14:val="tx1"/>
            </w14:solidFill>
          </w14:textFill>
        </w:rPr>
        <w:t>既有住宅增设电梯</w:t>
      </w:r>
      <w:r>
        <w:rPr>
          <w:rFonts w:hint="eastAsia" w:ascii="仿宋" w:hAnsi="仿宋" w:eastAsia="仿宋"/>
          <w:color w:val="000000" w:themeColor="text1"/>
          <w:sz w:val="32"/>
          <w:szCs w:val="32"/>
          <w14:textFill>
            <w14:solidFill>
              <w14:schemeClr w14:val="tx1"/>
            </w14:solidFill>
          </w14:textFill>
        </w:rPr>
        <w:t>13</w:t>
      </w:r>
      <w:r>
        <w:rPr>
          <w:rFonts w:ascii="仿宋" w:hAnsi="仿宋" w:eastAsia="仿宋"/>
          <w:color w:val="000000" w:themeColor="text1"/>
          <w:sz w:val="32"/>
          <w:szCs w:val="32"/>
          <w14:textFill>
            <w14:solidFill>
              <w14:schemeClr w14:val="tx1"/>
            </w14:solidFill>
          </w14:textFill>
        </w:rPr>
        <w:t>台</w:t>
      </w:r>
      <w:r>
        <w:rPr>
          <w:rFonts w:hint="eastAsia" w:ascii="仿宋" w:hAnsi="仿宋" w:eastAsia="仿宋"/>
          <w:color w:val="000000" w:themeColor="text1"/>
          <w:sz w:val="32"/>
          <w:szCs w:val="32"/>
          <w14:textFill>
            <w14:solidFill>
              <w14:schemeClr w14:val="tx1"/>
            </w14:solidFill>
          </w14:textFill>
        </w:rPr>
        <w:t>。积极推进普旺路、莘朱东路等5条住宅配套道路建设及梅陇西路等8条道路的前期手续办理。曙东路、务本路等4条道路竣工通车</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s="仿宋"/>
          <w:sz w:val="32"/>
          <w:szCs w:val="32"/>
        </w:rPr>
        <w:t>城市持续增绿提质，高质量完成莲花南路银都路西北侧绿地口袋公园、淀浦河南岸（梅陇西路-莲花河畔景苑）</w:t>
      </w:r>
      <w:r>
        <w:rPr>
          <w:rFonts w:ascii="仿宋" w:hAnsi="仿宋" w:eastAsia="仿宋" w:cs="仿宋"/>
          <w:sz w:val="32"/>
          <w:szCs w:val="32"/>
        </w:rPr>
        <w:t>绿地</w:t>
      </w:r>
      <w:r>
        <w:rPr>
          <w:rFonts w:hint="eastAsia" w:ascii="仿宋" w:hAnsi="仿宋" w:eastAsia="仿宋" w:cs="仿宋"/>
          <w:sz w:val="32"/>
          <w:szCs w:val="32"/>
        </w:rPr>
        <w:t>建设。完成曹建路220弄积水点改造工</w:t>
      </w:r>
      <w:r>
        <w:rPr>
          <w:rFonts w:ascii="仿宋" w:hAnsi="仿宋" w:eastAsia="仿宋" w:cs="仿宋"/>
          <w:sz w:val="32"/>
          <w:szCs w:val="32"/>
        </w:rPr>
        <w:t>程。</w:t>
      </w:r>
    </w:p>
    <w:p w14:paraId="2CC5AFD6">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持续改善</w:t>
      </w:r>
      <w:r>
        <w:rPr>
          <w:rFonts w:ascii="楷体" w:hAnsi="楷体" w:eastAsia="楷体"/>
          <w:b/>
          <w:color w:val="000000" w:themeColor="text1"/>
          <w:sz w:val="32"/>
          <w:szCs w:val="32"/>
          <w14:textFill>
            <w14:solidFill>
              <w14:schemeClr w14:val="tx1"/>
            </w14:solidFill>
          </w14:textFill>
        </w:rPr>
        <w:t>生态</w:t>
      </w:r>
      <w:r>
        <w:rPr>
          <w:rFonts w:hint="eastAsia" w:ascii="楷体" w:hAnsi="楷体" w:eastAsia="楷体"/>
          <w:b/>
          <w:color w:val="000000" w:themeColor="text1"/>
          <w:sz w:val="32"/>
          <w:szCs w:val="32"/>
          <w14:textFill>
            <w14:solidFill>
              <w14:schemeClr w14:val="tx1"/>
            </w14:solidFill>
          </w14:textFill>
        </w:rPr>
        <w:t>环境质量。</w:t>
      </w:r>
      <w:r>
        <w:rPr>
          <w:rFonts w:hint="eastAsia" w:ascii="仿宋" w:hAnsi="仿宋" w:eastAsia="仿宋"/>
          <w:color w:val="000000" w:themeColor="text1"/>
          <w:sz w:val="32"/>
          <w:szCs w:val="32"/>
          <w14:textFill>
            <w14:solidFill>
              <w14:schemeClr w14:val="tx1"/>
            </w14:solidFill>
          </w14:textFill>
        </w:rPr>
        <w:t>全面整改</w:t>
      </w:r>
      <w:r>
        <w:rPr>
          <w:rFonts w:ascii="仿宋" w:hAnsi="仿宋" w:eastAsia="仿宋"/>
          <w:color w:val="000000" w:themeColor="text1"/>
          <w:sz w:val="32"/>
          <w:szCs w:val="32"/>
          <w14:textFill>
            <w14:solidFill>
              <w14:schemeClr w14:val="tx1"/>
            </w14:solidFill>
          </w14:textFill>
        </w:rPr>
        <w:t>完成</w:t>
      </w:r>
      <w:r>
        <w:rPr>
          <w:rFonts w:hint="eastAsia" w:ascii="仿宋" w:hAnsi="仿宋" w:eastAsia="仿宋"/>
          <w:color w:val="000000" w:themeColor="text1"/>
          <w:sz w:val="32"/>
          <w:szCs w:val="32"/>
          <w14:textFill>
            <w14:solidFill>
              <w14:schemeClr w14:val="tx1"/>
            </w14:solidFill>
          </w14:textFill>
        </w:rPr>
        <w:t>23件中央生态环保督察反馈问题。空气质量</w:t>
      </w:r>
      <w:r>
        <w:rPr>
          <w:rFonts w:ascii="仿宋" w:hAnsi="仿宋" w:eastAsia="仿宋"/>
          <w:color w:val="000000" w:themeColor="text1"/>
          <w:sz w:val="32"/>
          <w:szCs w:val="32"/>
          <w14:textFill>
            <w14:solidFill>
              <w14:schemeClr w14:val="tx1"/>
            </w14:solidFill>
          </w14:textFill>
        </w:rPr>
        <w:t>持续向好，</w:t>
      </w:r>
      <w:r>
        <w:rPr>
          <w:rFonts w:hint="eastAsia" w:ascii="仿宋" w:hAnsi="仿宋" w:eastAsia="仿宋"/>
          <w:color w:val="000000" w:themeColor="text1"/>
          <w:sz w:val="32"/>
          <w:szCs w:val="32"/>
          <w14:textFill>
            <w14:solidFill>
              <w14:schemeClr w14:val="tx1"/>
            </w14:solidFill>
          </w14:textFill>
        </w:rPr>
        <w:t>开展重点</w:t>
      </w:r>
      <w:r>
        <w:rPr>
          <w:rFonts w:ascii="仿宋" w:hAnsi="仿宋" w:eastAsia="仿宋"/>
          <w:color w:val="000000" w:themeColor="text1"/>
          <w:sz w:val="32"/>
          <w:szCs w:val="32"/>
          <w14:textFill>
            <w14:solidFill>
              <w14:schemeClr w14:val="tx1"/>
            </w14:solidFill>
          </w14:textFill>
        </w:rPr>
        <w:t>行业VOCs</w:t>
      </w:r>
      <w:r>
        <w:rPr>
          <w:rFonts w:hint="eastAsia" w:ascii="仿宋" w:hAnsi="仿宋" w:eastAsia="仿宋"/>
          <w:color w:val="000000" w:themeColor="text1"/>
          <w:sz w:val="32"/>
          <w:szCs w:val="32"/>
          <w14:textFill>
            <w14:solidFill>
              <w14:schemeClr w14:val="tx1"/>
            </w14:solidFill>
          </w14:textFill>
        </w:rPr>
        <w:t>综合治理</w:t>
      </w:r>
      <w:r>
        <w:rPr>
          <w:rFonts w:ascii="仿宋" w:hAnsi="仿宋" w:eastAsia="仿宋"/>
          <w:color w:val="000000" w:themeColor="text1"/>
          <w:sz w:val="32"/>
          <w:szCs w:val="32"/>
          <w14:textFill>
            <w14:solidFill>
              <w14:schemeClr w14:val="tx1"/>
            </w14:solidFill>
          </w14:textFill>
        </w:rPr>
        <w:t>工作，</w:t>
      </w:r>
      <w:r>
        <w:rPr>
          <w:rFonts w:hint="eastAsia" w:ascii="仿宋" w:hAnsi="仿宋" w:eastAsia="仿宋"/>
          <w:color w:val="000000" w:themeColor="text1"/>
          <w:sz w:val="32"/>
          <w:szCs w:val="32"/>
          <w14:textFill>
            <w14:solidFill>
              <w14:schemeClr w14:val="tx1"/>
            </w14:solidFill>
          </w14:textFill>
        </w:rPr>
        <w:t>完成30家企业秋冬季管控方案编制、21家管控、165家碳污融合清单编制、142家重污染应急减排工作；15个</w:t>
      </w:r>
      <w:r>
        <w:rPr>
          <w:rFonts w:ascii="仿宋" w:hAnsi="仿宋" w:eastAsia="仿宋"/>
          <w:color w:val="000000" w:themeColor="text1"/>
          <w:sz w:val="32"/>
          <w:szCs w:val="32"/>
          <w14:textFill>
            <w14:solidFill>
              <w14:schemeClr w14:val="tx1"/>
            </w14:solidFill>
          </w14:textFill>
        </w:rPr>
        <w:t>空气微站点投入使用，</w:t>
      </w:r>
      <w:r>
        <w:rPr>
          <w:rFonts w:hint="eastAsia" w:ascii="仿宋" w:hAnsi="仿宋" w:eastAsia="仿宋"/>
          <w:color w:val="000000" w:themeColor="text1"/>
          <w:sz w:val="32"/>
          <w:szCs w:val="32"/>
          <w14:textFill>
            <w14:solidFill>
              <w14:schemeClr w14:val="tx1"/>
            </w14:solidFill>
          </w14:textFill>
        </w:rPr>
        <w:t>监测数据同步纳入道路扬尘专项治理工作，共开展联合执法27次、检查工地172次、重点路段82次。雨</w:t>
      </w:r>
      <w:r>
        <w:rPr>
          <w:rFonts w:ascii="仿宋" w:hAnsi="仿宋" w:eastAsia="仿宋"/>
          <w:color w:val="000000" w:themeColor="text1"/>
          <w:sz w:val="32"/>
          <w:szCs w:val="32"/>
          <w14:textFill>
            <w14:solidFill>
              <w14:schemeClr w14:val="tx1"/>
            </w14:solidFill>
          </w14:textFill>
        </w:rPr>
        <w:t>污分流高效推进，</w:t>
      </w:r>
      <w:r>
        <w:rPr>
          <w:rFonts w:hint="eastAsia" w:ascii="仿宋" w:hAnsi="仿宋" w:eastAsia="仿宋"/>
          <w:color w:val="000000" w:themeColor="text1"/>
          <w:sz w:val="32"/>
          <w:szCs w:val="32"/>
          <w14:textFill>
            <w14:solidFill>
              <w14:schemeClr w14:val="tx1"/>
            </w14:solidFill>
          </w14:textFill>
        </w:rPr>
        <w:t>完成入河排污口32个问题排口销项工</w:t>
      </w:r>
      <w:r>
        <w:rPr>
          <w:rFonts w:ascii="仿宋" w:hAnsi="仿宋" w:eastAsia="仿宋"/>
          <w:color w:val="000000" w:themeColor="text1"/>
          <w:sz w:val="32"/>
          <w:szCs w:val="32"/>
          <w14:textFill>
            <w14:solidFill>
              <w14:schemeClr w14:val="tx1"/>
            </w14:solidFill>
          </w14:textFill>
        </w:rPr>
        <w:t>作，</w:t>
      </w:r>
      <w:r>
        <w:rPr>
          <w:rFonts w:hint="eastAsia" w:ascii="仿宋" w:hAnsi="仿宋" w:eastAsia="仿宋"/>
          <w:color w:val="000000" w:themeColor="text1"/>
          <w:sz w:val="32"/>
          <w:szCs w:val="32"/>
          <w14:textFill>
            <w14:solidFill>
              <w14:schemeClr w14:val="tx1"/>
            </w14:solidFill>
          </w14:textFill>
        </w:rPr>
        <w:t>开展雨污混接及外水入侵排查溯源，古美西路316弄、420弄小区雨污分流改造完成竣工验收。全面</w:t>
      </w:r>
      <w:r>
        <w:rPr>
          <w:rFonts w:ascii="仿宋" w:hAnsi="仿宋" w:eastAsia="仿宋"/>
          <w:color w:val="000000" w:themeColor="text1"/>
          <w:sz w:val="32"/>
          <w:szCs w:val="32"/>
          <w14:textFill>
            <w14:solidFill>
              <w14:schemeClr w14:val="tx1"/>
            </w14:solidFill>
          </w14:textFill>
        </w:rPr>
        <w:t>贯彻河湖</w:t>
      </w:r>
      <w:r>
        <w:rPr>
          <w:rFonts w:hint="eastAsia" w:ascii="仿宋" w:hAnsi="仿宋" w:eastAsia="仿宋"/>
          <w:color w:val="000000" w:themeColor="text1"/>
          <w:sz w:val="32"/>
          <w:szCs w:val="32"/>
          <w14:textFill>
            <w14:solidFill>
              <w14:schemeClr w14:val="tx1"/>
            </w14:solidFill>
          </w14:textFill>
        </w:rPr>
        <w:t>林</w:t>
      </w:r>
      <w:r>
        <w:rPr>
          <w:rFonts w:ascii="仿宋" w:hAnsi="仿宋" w:eastAsia="仿宋"/>
          <w:color w:val="000000" w:themeColor="text1"/>
          <w:sz w:val="32"/>
          <w:szCs w:val="32"/>
          <w14:textFill>
            <w14:solidFill>
              <w14:schemeClr w14:val="tx1"/>
            </w14:solidFill>
          </w14:textFill>
        </w:rPr>
        <w:t>长制工作，</w:t>
      </w:r>
      <w:r>
        <w:rPr>
          <w:rFonts w:hint="eastAsia" w:ascii="仿宋" w:hAnsi="仿宋" w:eastAsia="仿宋"/>
          <w:color w:val="000000" w:themeColor="text1"/>
          <w:sz w:val="32"/>
          <w:szCs w:val="32"/>
          <w14:textFill>
            <w14:solidFill>
              <w14:schemeClr w14:val="tx1"/>
            </w14:solidFill>
          </w14:textFill>
        </w:rPr>
        <w:t>开展巡</w:t>
      </w:r>
      <w:r>
        <w:rPr>
          <w:rFonts w:ascii="仿宋" w:hAnsi="仿宋" w:eastAsia="仿宋"/>
          <w:color w:val="000000" w:themeColor="text1"/>
          <w:sz w:val="32"/>
          <w:szCs w:val="32"/>
          <w14:textFill>
            <w14:solidFill>
              <w14:schemeClr w14:val="tx1"/>
            </w14:solidFill>
          </w14:textFill>
        </w:rPr>
        <w:t>林</w:t>
      </w:r>
      <w:r>
        <w:rPr>
          <w:rFonts w:hint="eastAsia" w:ascii="仿宋" w:hAnsi="仿宋" w:eastAsia="仿宋"/>
          <w:color w:val="000000" w:themeColor="text1"/>
          <w:sz w:val="32"/>
          <w:szCs w:val="32"/>
          <w14:textFill>
            <w14:solidFill>
              <w14:schemeClr w14:val="tx1"/>
            </w14:solidFill>
          </w14:textFill>
        </w:rPr>
        <w:t>巡</w:t>
      </w:r>
      <w:r>
        <w:rPr>
          <w:rFonts w:ascii="仿宋" w:hAnsi="仿宋" w:eastAsia="仿宋"/>
          <w:color w:val="000000" w:themeColor="text1"/>
          <w:sz w:val="32"/>
          <w:szCs w:val="32"/>
          <w14:textFill>
            <w14:solidFill>
              <w14:schemeClr w14:val="tx1"/>
            </w14:solidFill>
          </w14:textFill>
        </w:rPr>
        <w:t>绿</w:t>
      </w:r>
      <w:r>
        <w:rPr>
          <w:rFonts w:hint="eastAsia" w:ascii="仿宋" w:hAnsi="仿宋" w:eastAsia="仿宋"/>
          <w:color w:val="000000" w:themeColor="text1"/>
          <w:sz w:val="32"/>
          <w:szCs w:val="32"/>
          <w14:textFill>
            <w14:solidFill>
              <w14:schemeClr w14:val="tx1"/>
            </w14:solidFill>
          </w14:textFill>
        </w:rPr>
        <w:t>321</w:t>
      </w:r>
      <w:r>
        <w:rPr>
          <w:rFonts w:ascii="仿宋" w:hAnsi="仿宋" w:eastAsia="仿宋"/>
          <w:color w:val="000000" w:themeColor="text1"/>
          <w:sz w:val="32"/>
          <w:szCs w:val="32"/>
          <w14:textFill>
            <w14:solidFill>
              <w14:schemeClr w14:val="tx1"/>
            </w14:solidFill>
          </w14:textFill>
        </w:rPr>
        <w:t>次，</w:t>
      </w:r>
      <w:r>
        <w:rPr>
          <w:rFonts w:hint="eastAsia" w:ascii="仿宋" w:hAnsi="仿宋" w:eastAsia="仿宋"/>
          <w:color w:val="000000" w:themeColor="text1"/>
          <w:sz w:val="32"/>
          <w:szCs w:val="32"/>
          <w14:textFill>
            <w14:solidFill>
              <w14:schemeClr w14:val="tx1"/>
            </w14:solidFill>
          </w14:textFill>
        </w:rPr>
        <w:t>镇级河长</w:t>
      </w:r>
      <w:r>
        <w:rPr>
          <w:rFonts w:ascii="仿宋" w:hAnsi="仿宋" w:eastAsia="仿宋"/>
          <w:color w:val="000000" w:themeColor="text1"/>
          <w:sz w:val="32"/>
          <w:szCs w:val="32"/>
          <w14:textFill>
            <w14:solidFill>
              <w14:schemeClr w14:val="tx1"/>
            </w14:solidFill>
          </w14:textFill>
        </w:rPr>
        <w:t>巡</w:t>
      </w:r>
      <w:r>
        <w:rPr>
          <w:rFonts w:hint="eastAsia" w:ascii="仿宋" w:hAnsi="仿宋" w:eastAsia="仿宋"/>
          <w:color w:val="000000" w:themeColor="text1"/>
          <w:sz w:val="32"/>
          <w:szCs w:val="32"/>
          <w14:textFill>
            <w14:solidFill>
              <w14:schemeClr w14:val="tx1"/>
            </w14:solidFill>
          </w14:textFill>
        </w:rPr>
        <w:t>河157次，村级巡河3100余次，镇域内达到三类水及以上标准的河道占比已超80%。</w:t>
      </w:r>
    </w:p>
    <w:p w14:paraId="7BB65358">
      <w:pPr>
        <w:snapToGrid w:val="0"/>
        <w:spacing w:line="600" w:lineRule="exact"/>
        <w:ind w:firstLine="624" w:firstLineChars="200"/>
        <w:rPr>
          <w:rFonts w:hint="eastAsia" w:ascii="黑体" w:hAnsi="黑体" w:eastAsia="黑体"/>
          <w:color w:val="000000" w:themeColor="text1"/>
          <w:spacing w:val="-4"/>
          <w:sz w:val="32"/>
          <w:szCs w:val="32"/>
          <w14:textFill>
            <w14:solidFill>
              <w14:schemeClr w14:val="tx1"/>
            </w14:solidFill>
          </w14:textFill>
        </w:rPr>
      </w:pPr>
      <w:r>
        <w:rPr>
          <w:rFonts w:hint="eastAsia" w:ascii="黑体" w:hAnsi="黑体" w:eastAsia="黑体"/>
          <w:color w:val="000000" w:themeColor="text1"/>
          <w:spacing w:val="-4"/>
          <w:sz w:val="32"/>
          <w:szCs w:val="32"/>
          <w14:textFill>
            <w14:solidFill>
              <w14:schemeClr w14:val="tx1"/>
            </w14:solidFill>
          </w14:textFill>
        </w:rPr>
        <w:t>三、防风险</w:t>
      </w:r>
      <w:r>
        <w:rPr>
          <w:rFonts w:ascii="黑体" w:hAnsi="黑体" w:eastAsia="黑体"/>
          <w:color w:val="000000" w:themeColor="text1"/>
          <w:spacing w:val="-4"/>
          <w:sz w:val="32"/>
          <w:szCs w:val="32"/>
          <w14:textFill>
            <w14:solidFill>
              <w14:schemeClr w14:val="tx1"/>
            </w14:solidFill>
          </w14:textFill>
        </w:rPr>
        <w:t>、</w:t>
      </w:r>
      <w:r>
        <w:rPr>
          <w:rFonts w:hint="eastAsia" w:ascii="黑体" w:hAnsi="黑体" w:eastAsia="黑体"/>
          <w:color w:val="000000" w:themeColor="text1"/>
          <w:spacing w:val="-4"/>
          <w:sz w:val="32"/>
          <w:szCs w:val="32"/>
          <w14:textFill>
            <w14:solidFill>
              <w14:schemeClr w14:val="tx1"/>
            </w14:solidFill>
          </w14:textFill>
        </w:rPr>
        <w:t>护平安，</w:t>
      </w:r>
      <w:r>
        <w:rPr>
          <w:rFonts w:ascii="黑体" w:hAnsi="黑体" w:eastAsia="黑体"/>
          <w:color w:val="000000" w:themeColor="text1"/>
          <w:spacing w:val="-4"/>
          <w:sz w:val="32"/>
          <w:szCs w:val="32"/>
          <w14:textFill>
            <w14:solidFill>
              <w14:schemeClr w14:val="tx1"/>
            </w14:solidFill>
          </w14:textFill>
        </w:rPr>
        <w:t>稳定</w:t>
      </w:r>
      <w:r>
        <w:rPr>
          <w:rFonts w:hint="eastAsia" w:ascii="黑体" w:hAnsi="黑体" w:eastAsia="黑体"/>
          <w:color w:val="000000" w:themeColor="text1"/>
          <w:spacing w:val="-4"/>
          <w:sz w:val="32"/>
          <w:szCs w:val="32"/>
          <w14:textFill>
            <w14:solidFill>
              <w14:schemeClr w14:val="tx1"/>
            </w14:solidFill>
          </w14:textFill>
        </w:rPr>
        <w:t>社会</w:t>
      </w:r>
      <w:r>
        <w:rPr>
          <w:rFonts w:ascii="黑体" w:hAnsi="黑体" w:eastAsia="黑体"/>
          <w:color w:val="000000" w:themeColor="text1"/>
          <w:spacing w:val="-4"/>
          <w:sz w:val="32"/>
          <w:szCs w:val="32"/>
          <w14:textFill>
            <w14:solidFill>
              <w14:schemeClr w14:val="tx1"/>
            </w14:solidFill>
          </w14:textFill>
        </w:rPr>
        <w:t>大局</w:t>
      </w:r>
    </w:p>
    <w:p w14:paraId="088531CB">
      <w:pPr>
        <w:snapToGrid w:val="0"/>
        <w:spacing w:line="600" w:lineRule="exact"/>
        <w:ind w:firstLine="643" w:firstLineChars="200"/>
        <w:rPr>
          <w:rFonts w:hint="eastAsia" w:ascii="仿宋" w:hAnsi="仿宋" w:eastAsia="仿宋"/>
          <w:bCs/>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高标</w:t>
      </w:r>
      <w:r>
        <w:rPr>
          <w:rFonts w:ascii="楷体" w:hAnsi="楷体" w:eastAsia="楷体"/>
          <w:b/>
          <w:color w:val="000000" w:themeColor="text1"/>
          <w:sz w:val="32"/>
          <w:szCs w:val="32"/>
          <w14:textFill>
            <w14:solidFill>
              <w14:schemeClr w14:val="tx1"/>
            </w14:solidFill>
          </w14:textFill>
        </w:rPr>
        <w:t>准夯实网格治理根基</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bCs/>
          <w:color w:val="000000" w:themeColor="text1"/>
          <w:sz w:val="32"/>
          <w:szCs w:val="32"/>
          <w14:textFill>
            <w14:solidFill>
              <w14:schemeClr w14:val="tx1"/>
            </w14:solidFill>
          </w14:textFill>
        </w:rPr>
        <w:t>持续深化</w:t>
      </w:r>
      <w:r>
        <w:rPr>
          <w:rFonts w:ascii="仿宋" w:hAnsi="仿宋" w:eastAsia="仿宋"/>
          <w:bCs/>
          <w:color w:val="000000" w:themeColor="text1"/>
          <w:sz w:val="32"/>
          <w:szCs w:val="32"/>
          <w14:textFill>
            <w14:solidFill>
              <w14:schemeClr w14:val="tx1"/>
            </w14:solidFill>
          </w14:textFill>
        </w:rPr>
        <w:t>“一网统管”实战实效，</w:t>
      </w:r>
      <w:r>
        <w:rPr>
          <w:rFonts w:hint="eastAsia" w:ascii="仿宋" w:hAnsi="仿宋" w:eastAsia="仿宋" w:cs="仿宋"/>
          <w:sz w:val="30"/>
          <w:szCs w:val="30"/>
        </w:rPr>
        <w:t>对街面区域进行视频巡查和指挥处置，全年巡屏立案共发现问题491件</w:t>
      </w:r>
      <w:r>
        <w:rPr>
          <w:rFonts w:hint="eastAsia" w:ascii="仿宋" w:hAnsi="仿宋" w:eastAsia="仿宋"/>
          <w:bCs/>
          <w:color w:val="000000" w:themeColor="text1"/>
          <w:sz w:val="32"/>
          <w:szCs w:val="32"/>
          <w14:textFill>
            <w14:solidFill>
              <w14:schemeClr w14:val="tx1"/>
            </w14:solidFill>
          </w14:textFill>
        </w:rPr>
        <w:t>。对</w:t>
      </w:r>
      <w:r>
        <w:rPr>
          <w:rFonts w:ascii="仿宋" w:hAnsi="仿宋" w:eastAsia="仿宋"/>
          <w:bCs/>
          <w:color w:val="000000" w:themeColor="text1"/>
          <w:sz w:val="32"/>
          <w:szCs w:val="32"/>
          <w14:textFill>
            <w14:solidFill>
              <w14:schemeClr w14:val="tx1"/>
            </w14:solidFill>
          </w14:textFill>
        </w:rPr>
        <w:t>重点路段户外设施</w:t>
      </w:r>
      <w:r>
        <w:rPr>
          <w:rFonts w:hint="eastAsia" w:ascii="仿宋" w:hAnsi="仿宋" w:eastAsia="仿宋"/>
          <w:bCs/>
          <w:color w:val="000000" w:themeColor="text1"/>
          <w:sz w:val="32"/>
          <w:szCs w:val="32"/>
          <w14:textFill>
            <w14:solidFill>
              <w14:schemeClr w14:val="tx1"/>
            </w14:solidFill>
          </w14:textFill>
        </w:rPr>
        <w:t>全</w:t>
      </w:r>
      <w:r>
        <w:rPr>
          <w:rFonts w:ascii="仿宋" w:hAnsi="仿宋" w:eastAsia="仿宋"/>
          <w:bCs/>
          <w:color w:val="000000" w:themeColor="text1"/>
          <w:sz w:val="32"/>
          <w:szCs w:val="32"/>
          <w14:textFill>
            <w14:solidFill>
              <w14:schemeClr w14:val="tx1"/>
            </w14:solidFill>
          </w14:textFill>
        </w:rPr>
        <w:t>覆盖纳管</w:t>
      </w:r>
      <w:r>
        <w:rPr>
          <w:rFonts w:hint="eastAsia" w:ascii="仿宋" w:hAnsi="仿宋" w:eastAsia="仿宋"/>
          <w:bCs/>
          <w:color w:val="000000" w:themeColor="text1"/>
          <w:sz w:val="32"/>
          <w:szCs w:val="32"/>
          <w14:textFill>
            <w14:solidFill>
              <w14:schemeClr w14:val="tx1"/>
            </w14:solidFill>
          </w14:textFill>
        </w:rPr>
        <w:t>及</w:t>
      </w:r>
      <w:r>
        <w:rPr>
          <w:rFonts w:ascii="仿宋" w:hAnsi="仿宋" w:eastAsia="仿宋"/>
          <w:bCs/>
          <w:color w:val="000000" w:themeColor="text1"/>
          <w:sz w:val="32"/>
          <w:szCs w:val="32"/>
          <w14:textFill>
            <w14:solidFill>
              <w14:schemeClr w14:val="tx1"/>
            </w14:solidFill>
          </w14:textFill>
        </w:rPr>
        <w:t>整治，</w:t>
      </w:r>
      <w:r>
        <w:rPr>
          <w:rFonts w:hint="eastAsia" w:ascii="仿宋" w:hAnsi="仿宋" w:eastAsia="仿宋"/>
          <w:bCs/>
          <w:color w:val="000000" w:themeColor="text1"/>
          <w:sz w:val="32"/>
          <w:szCs w:val="32"/>
          <w14:textFill>
            <w14:solidFill>
              <w14:schemeClr w14:val="tx1"/>
            </w14:solidFill>
          </w14:textFill>
        </w:rPr>
        <w:t>拆除</w:t>
      </w:r>
      <w:r>
        <w:rPr>
          <w:rFonts w:ascii="仿宋" w:hAnsi="仿宋" w:eastAsia="仿宋"/>
          <w:bCs/>
          <w:color w:val="000000" w:themeColor="text1"/>
          <w:sz w:val="32"/>
          <w:szCs w:val="32"/>
          <w14:textFill>
            <w14:solidFill>
              <w14:schemeClr w14:val="tx1"/>
            </w14:solidFill>
          </w14:textFill>
        </w:rPr>
        <w:t>隐患</w:t>
      </w:r>
      <w:r>
        <w:rPr>
          <w:rFonts w:hint="eastAsia" w:ascii="仿宋" w:hAnsi="仿宋" w:eastAsia="仿宋"/>
          <w:bCs/>
          <w:color w:val="000000" w:themeColor="text1"/>
          <w:sz w:val="32"/>
          <w:szCs w:val="32"/>
          <w14:textFill>
            <w14:solidFill>
              <w14:schemeClr w14:val="tx1"/>
            </w14:solidFill>
          </w14:textFill>
        </w:rPr>
        <w:t>店</w:t>
      </w:r>
      <w:r>
        <w:rPr>
          <w:rFonts w:ascii="仿宋" w:hAnsi="仿宋" w:eastAsia="仿宋"/>
          <w:bCs/>
          <w:color w:val="000000" w:themeColor="text1"/>
          <w:sz w:val="32"/>
          <w:szCs w:val="32"/>
          <w14:textFill>
            <w14:solidFill>
              <w14:schemeClr w14:val="tx1"/>
            </w14:solidFill>
          </w14:textFill>
        </w:rPr>
        <w:t>招</w:t>
      </w:r>
      <w:r>
        <w:rPr>
          <w:rFonts w:hint="eastAsia" w:ascii="仿宋" w:hAnsi="仿宋" w:eastAsia="仿宋"/>
          <w:bCs/>
          <w:color w:val="000000" w:themeColor="text1"/>
          <w:sz w:val="32"/>
          <w:szCs w:val="32"/>
          <w14:textFill>
            <w14:solidFill>
              <w14:schemeClr w14:val="tx1"/>
            </w14:solidFill>
          </w14:textFill>
        </w:rPr>
        <w:t>7处</w:t>
      </w:r>
      <w:r>
        <w:rPr>
          <w:rFonts w:ascii="仿宋" w:hAnsi="仿宋" w:eastAsia="仿宋"/>
          <w:bCs/>
          <w:color w:val="000000" w:themeColor="text1"/>
          <w:sz w:val="32"/>
          <w:szCs w:val="32"/>
          <w14:textFill>
            <w14:solidFill>
              <w14:schemeClr w14:val="tx1"/>
            </w14:solidFill>
          </w14:textFill>
        </w:rPr>
        <w:t>，临时广告设施</w:t>
      </w:r>
      <w:r>
        <w:rPr>
          <w:rFonts w:hint="eastAsia" w:ascii="仿宋" w:hAnsi="仿宋" w:eastAsia="仿宋"/>
          <w:bCs/>
          <w:color w:val="000000" w:themeColor="text1"/>
          <w:sz w:val="32"/>
          <w:szCs w:val="32"/>
          <w14:textFill>
            <w14:solidFill>
              <w14:schemeClr w14:val="tx1"/>
            </w14:solidFill>
          </w14:textFill>
        </w:rPr>
        <w:t>40余</w:t>
      </w:r>
      <w:r>
        <w:rPr>
          <w:rFonts w:ascii="仿宋" w:hAnsi="仿宋" w:eastAsia="仿宋"/>
          <w:bCs/>
          <w:color w:val="000000" w:themeColor="text1"/>
          <w:sz w:val="32"/>
          <w:szCs w:val="32"/>
          <w14:textFill>
            <w14:solidFill>
              <w14:schemeClr w14:val="tx1"/>
            </w14:solidFill>
          </w14:textFill>
        </w:rPr>
        <w:t>处。</w:t>
      </w:r>
      <w:r>
        <w:rPr>
          <w:rFonts w:hint="eastAsia" w:ascii="仿宋" w:hAnsi="仿宋" w:eastAsia="仿宋"/>
          <w:bCs/>
          <w:color w:val="000000" w:themeColor="text1"/>
          <w:sz w:val="32"/>
          <w:szCs w:val="32"/>
          <w14:textFill>
            <w14:solidFill>
              <w14:schemeClr w14:val="tx1"/>
            </w14:solidFill>
          </w14:textFill>
        </w:rPr>
        <w:t>推进</w:t>
      </w:r>
      <w:r>
        <w:rPr>
          <w:rFonts w:ascii="仿宋" w:hAnsi="仿宋" w:eastAsia="仿宋"/>
          <w:bCs/>
          <w:color w:val="000000" w:themeColor="text1"/>
          <w:sz w:val="32"/>
          <w:szCs w:val="32"/>
          <w14:textFill>
            <w14:solidFill>
              <w14:schemeClr w14:val="tx1"/>
            </w14:solidFill>
          </w14:textFill>
        </w:rPr>
        <w:t>解决背街小巷</w:t>
      </w:r>
      <w:r>
        <w:rPr>
          <w:rFonts w:hint="eastAsia" w:ascii="仿宋" w:hAnsi="仿宋" w:eastAsia="仿宋"/>
          <w:bCs/>
          <w:color w:val="000000" w:themeColor="text1"/>
          <w:sz w:val="32"/>
          <w:szCs w:val="32"/>
          <w14:textFill>
            <w14:solidFill>
              <w14:schemeClr w14:val="tx1"/>
            </w14:solidFill>
          </w14:textFill>
        </w:rPr>
        <w:t>脏乱</w:t>
      </w:r>
      <w:r>
        <w:rPr>
          <w:rFonts w:ascii="仿宋" w:hAnsi="仿宋" w:eastAsia="仿宋"/>
          <w:bCs/>
          <w:color w:val="000000" w:themeColor="text1"/>
          <w:sz w:val="32"/>
          <w:szCs w:val="32"/>
          <w14:textFill>
            <w14:solidFill>
              <w14:schemeClr w14:val="tx1"/>
            </w14:solidFill>
          </w14:textFill>
        </w:rPr>
        <w:t>、共享单车管理、</w:t>
      </w:r>
      <w:r>
        <w:rPr>
          <w:rFonts w:hint="eastAsia" w:ascii="仿宋" w:hAnsi="仿宋" w:eastAsia="仿宋"/>
          <w:bCs/>
          <w:color w:val="000000" w:themeColor="text1"/>
          <w:sz w:val="32"/>
          <w:szCs w:val="32"/>
          <w14:textFill>
            <w14:solidFill>
              <w14:schemeClr w14:val="tx1"/>
            </w14:solidFill>
          </w14:textFill>
        </w:rPr>
        <w:t>渣</w:t>
      </w:r>
      <w:r>
        <w:rPr>
          <w:rFonts w:ascii="仿宋" w:hAnsi="仿宋" w:eastAsia="仿宋"/>
          <w:bCs/>
          <w:color w:val="000000" w:themeColor="text1"/>
          <w:sz w:val="32"/>
          <w:szCs w:val="32"/>
          <w14:textFill>
            <w14:solidFill>
              <w14:schemeClr w14:val="tx1"/>
            </w14:solidFill>
          </w14:textFill>
        </w:rPr>
        <w:t>土车乱停放等治理难题，</w:t>
      </w:r>
      <w:r>
        <w:rPr>
          <w:rFonts w:hint="eastAsia" w:ascii="仿宋" w:hAnsi="仿宋" w:eastAsia="仿宋"/>
          <w:bCs/>
          <w:color w:val="000000" w:themeColor="text1"/>
          <w:sz w:val="32"/>
          <w:szCs w:val="32"/>
          <w14:textFill>
            <w14:solidFill>
              <w14:schemeClr w14:val="tx1"/>
            </w14:solidFill>
          </w14:textFill>
        </w:rPr>
        <w:t>开展</w:t>
      </w:r>
      <w:r>
        <w:rPr>
          <w:rFonts w:ascii="仿宋" w:hAnsi="仿宋" w:eastAsia="仿宋"/>
          <w:bCs/>
          <w:color w:val="000000" w:themeColor="text1"/>
          <w:sz w:val="32"/>
          <w:szCs w:val="32"/>
          <w14:textFill>
            <w14:solidFill>
              <w14:schemeClr w14:val="tx1"/>
            </w14:solidFill>
          </w14:textFill>
        </w:rPr>
        <w:t>龙吴路周</w:t>
      </w:r>
      <w:r>
        <w:rPr>
          <w:rFonts w:hint="eastAsia" w:ascii="仿宋" w:hAnsi="仿宋" w:eastAsia="仿宋"/>
          <w:bCs/>
          <w:color w:val="000000" w:themeColor="text1"/>
          <w:sz w:val="32"/>
          <w:szCs w:val="32"/>
          <w14:textFill>
            <w14:solidFill>
              <w14:schemeClr w14:val="tx1"/>
            </w14:solidFill>
          </w14:textFill>
        </w:rPr>
        <w:t>边</w:t>
      </w:r>
      <w:r>
        <w:rPr>
          <w:rFonts w:ascii="仿宋" w:hAnsi="仿宋" w:eastAsia="仿宋"/>
          <w:bCs/>
          <w:color w:val="000000" w:themeColor="text1"/>
          <w:sz w:val="32"/>
          <w:szCs w:val="32"/>
          <w14:textFill>
            <w14:solidFill>
              <w14:schemeClr w14:val="tx1"/>
            </w14:solidFill>
          </w14:textFill>
        </w:rPr>
        <w:t>区域道路整治提升专项行动</w:t>
      </w:r>
      <w:r>
        <w:rPr>
          <w:rFonts w:hint="eastAsia" w:ascii="仿宋" w:hAnsi="仿宋" w:eastAsia="仿宋"/>
          <w:bCs/>
          <w:color w:val="000000" w:themeColor="text1"/>
          <w:sz w:val="32"/>
          <w:szCs w:val="32"/>
          <w14:textFill>
            <w14:solidFill>
              <w14:schemeClr w14:val="tx1"/>
            </w14:solidFill>
          </w14:textFill>
        </w:rPr>
        <w:t>。完成24座</w:t>
      </w:r>
      <w:r>
        <w:rPr>
          <w:rFonts w:ascii="仿宋" w:hAnsi="仿宋" w:eastAsia="仿宋"/>
          <w:bCs/>
          <w:color w:val="000000" w:themeColor="text1"/>
          <w:sz w:val="32"/>
          <w:szCs w:val="32"/>
          <w14:textFill>
            <w14:solidFill>
              <w14:schemeClr w14:val="tx1"/>
            </w14:solidFill>
          </w14:textFill>
        </w:rPr>
        <w:t>环卫公厕适老适幼化改造。</w:t>
      </w:r>
      <w:r>
        <w:rPr>
          <w:rFonts w:hint="eastAsia" w:ascii="仿宋" w:hAnsi="仿宋" w:eastAsia="仿宋"/>
          <w:bCs/>
          <w:color w:val="000000" w:themeColor="text1"/>
          <w:sz w:val="32"/>
          <w:szCs w:val="32"/>
          <w14:textFill>
            <w14:solidFill>
              <w14:schemeClr w14:val="tx1"/>
            </w14:solidFill>
          </w14:textFill>
        </w:rPr>
        <w:t>对27条</w:t>
      </w:r>
      <w:r>
        <w:rPr>
          <w:rFonts w:ascii="仿宋" w:hAnsi="仿宋" w:eastAsia="仿宋"/>
          <w:bCs/>
          <w:color w:val="000000" w:themeColor="text1"/>
          <w:sz w:val="32"/>
          <w:szCs w:val="32"/>
          <w14:textFill>
            <w14:solidFill>
              <w14:schemeClr w14:val="tx1"/>
            </w14:solidFill>
          </w14:textFill>
        </w:rPr>
        <w:t>路段</w:t>
      </w:r>
      <w:r>
        <w:rPr>
          <w:rFonts w:hint="eastAsia" w:ascii="仿宋" w:hAnsi="仿宋" w:eastAsia="仿宋"/>
          <w:bCs/>
          <w:color w:val="000000" w:themeColor="text1"/>
          <w:sz w:val="32"/>
          <w:szCs w:val="32"/>
          <w14:textFill>
            <w14:solidFill>
              <w14:schemeClr w14:val="tx1"/>
            </w14:solidFill>
          </w14:textFill>
        </w:rPr>
        <w:t>1348个停车</w:t>
      </w:r>
      <w:r>
        <w:rPr>
          <w:rFonts w:ascii="仿宋" w:hAnsi="仿宋" w:eastAsia="仿宋"/>
          <w:bCs/>
          <w:color w:val="000000" w:themeColor="text1"/>
          <w:sz w:val="32"/>
          <w:szCs w:val="32"/>
          <w14:textFill>
            <w14:solidFill>
              <w14:schemeClr w14:val="tx1"/>
            </w14:solidFill>
          </w14:textFill>
        </w:rPr>
        <w:t>泊位</w:t>
      </w:r>
      <w:r>
        <w:rPr>
          <w:rFonts w:hint="eastAsia" w:ascii="仿宋" w:hAnsi="仿宋" w:eastAsia="仿宋"/>
          <w:bCs/>
          <w:color w:val="000000" w:themeColor="text1"/>
          <w:sz w:val="32"/>
          <w:szCs w:val="32"/>
          <w14:textFill>
            <w14:solidFill>
              <w14:schemeClr w14:val="tx1"/>
            </w14:solidFill>
          </w14:textFill>
        </w:rPr>
        <w:t>实施</w:t>
      </w:r>
      <w:r>
        <w:rPr>
          <w:rFonts w:ascii="仿宋" w:hAnsi="仿宋" w:eastAsia="仿宋"/>
          <w:bCs/>
          <w:color w:val="000000" w:themeColor="text1"/>
          <w:sz w:val="32"/>
          <w:szCs w:val="32"/>
          <w14:textFill>
            <w14:solidFill>
              <w14:schemeClr w14:val="tx1"/>
            </w14:solidFill>
          </w14:textFill>
        </w:rPr>
        <w:t>智能化改造，</w:t>
      </w:r>
      <w:r>
        <w:rPr>
          <w:rFonts w:hint="eastAsia" w:ascii="仿宋" w:hAnsi="仿宋" w:eastAsia="仿宋"/>
          <w:bCs/>
          <w:color w:val="000000" w:themeColor="text1"/>
          <w:sz w:val="32"/>
          <w:szCs w:val="32"/>
          <w14:textFill>
            <w14:solidFill>
              <w14:schemeClr w14:val="tx1"/>
            </w14:solidFill>
          </w14:textFill>
        </w:rPr>
        <w:t>规范</w:t>
      </w:r>
      <w:r>
        <w:rPr>
          <w:rFonts w:ascii="仿宋" w:hAnsi="仿宋" w:eastAsia="仿宋"/>
          <w:bCs/>
          <w:color w:val="000000" w:themeColor="text1"/>
          <w:sz w:val="32"/>
          <w:szCs w:val="32"/>
          <w14:textFill>
            <w14:solidFill>
              <w14:schemeClr w14:val="tx1"/>
            </w14:solidFill>
          </w14:textFill>
        </w:rPr>
        <w:t>道路停车</w:t>
      </w:r>
      <w:r>
        <w:rPr>
          <w:rFonts w:hint="eastAsia" w:ascii="仿宋" w:hAnsi="仿宋" w:eastAsia="仿宋"/>
          <w:bCs/>
          <w:color w:val="000000" w:themeColor="text1"/>
          <w:sz w:val="32"/>
          <w:szCs w:val="32"/>
          <w14:textFill>
            <w14:solidFill>
              <w14:schemeClr w14:val="tx1"/>
            </w14:solidFill>
          </w14:textFill>
        </w:rPr>
        <w:t>场管理。深入</w:t>
      </w:r>
      <w:r>
        <w:rPr>
          <w:rFonts w:ascii="仿宋" w:hAnsi="仿宋" w:eastAsia="仿宋"/>
          <w:bCs/>
          <w:color w:val="000000" w:themeColor="text1"/>
          <w:sz w:val="32"/>
          <w:szCs w:val="32"/>
          <w14:textFill>
            <w14:solidFill>
              <w14:schemeClr w14:val="tx1"/>
            </w14:solidFill>
          </w14:textFill>
        </w:rPr>
        <w:t>推进</w:t>
      </w:r>
      <w:r>
        <w:rPr>
          <w:rFonts w:hint="eastAsia" w:ascii="仿宋" w:hAnsi="仿宋" w:eastAsia="仿宋"/>
          <w:bCs/>
          <w:color w:val="000000" w:themeColor="text1"/>
          <w:sz w:val="32"/>
          <w:szCs w:val="32"/>
          <w14:textFill>
            <w14:solidFill>
              <w14:schemeClr w14:val="tx1"/>
            </w14:solidFill>
          </w14:textFill>
        </w:rPr>
        <w:t>垃圾</w:t>
      </w:r>
      <w:r>
        <w:rPr>
          <w:rFonts w:ascii="仿宋" w:hAnsi="仿宋" w:eastAsia="仿宋"/>
          <w:bCs/>
          <w:color w:val="000000" w:themeColor="text1"/>
          <w:sz w:val="32"/>
          <w:szCs w:val="32"/>
          <w14:textFill>
            <w14:solidFill>
              <w14:schemeClr w14:val="tx1"/>
            </w14:solidFill>
          </w14:textFill>
        </w:rPr>
        <w:t>分类</w:t>
      </w:r>
      <w:r>
        <w:rPr>
          <w:rFonts w:hint="eastAsia" w:ascii="仿宋" w:hAnsi="仿宋" w:eastAsia="仿宋"/>
          <w:bCs/>
          <w:color w:val="000000" w:themeColor="text1"/>
          <w:sz w:val="32"/>
          <w:szCs w:val="32"/>
          <w14:textFill>
            <w14:solidFill>
              <w14:schemeClr w14:val="tx1"/>
            </w14:solidFill>
          </w14:textFill>
        </w:rPr>
        <w:t>“</w:t>
      </w:r>
      <w:r>
        <w:rPr>
          <w:rFonts w:ascii="仿宋" w:hAnsi="仿宋" w:eastAsia="仿宋"/>
          <w:bCs/>
          <w:color w:val="000000" w:themeColor="text1"/>
          <w:sz w:val="32"/>
          <w:szCs w:val="32"/>
          <w14:textFill>
            <w14:solidFill>
              <w14:schemeClr w14:val="tx1"/>
            </w14:solidFill>
          </w14:textFill>
        </w:rPr>
        <w:t>百日攻</w:t>
      </w:r>
      <w:r>
        <w:rPr>
          <w:rFonts w:hint="eastAsia" w:ascii="仿宋" w:hAnsi="仿宋" w:eastAsia="仿宋"/>
          <w:bCs/>
          <w:color w:val="000000" w:themeColor="text1"/>
          <w:sz w:val="32"/>
          <w:szCs w:val="32"/>
          <w14:textFill>
            <w14:solidFill>
              <w14:schemeClr w14:val="tx1"/>
            </w14:solidFill>
          </w14:textFill>
        </w:rPr>
        <w:t>坚</w:t>
      </w:r>
      <w:r>
        <w:rPr>
          <w:rFonts w:ascii="仿宋" w:hAnsi="仿宋" w:eastAsia="仿宋"/>
          <w:bCs/>
          <w:color w:val="000000" w:themeColor="text1"/>
          <w:sz w:val="32"/>
          <w:szCs w:val="32"/>
          <w14:textFill>
            <w14:solidFill>
              <w14:schemeClr w14:val="tx1"/>
            </w14:solidFill>
          </w14:textFill>
        </w:rPr>
        <w:t>”专项行动，</w:t>
      </w:r>
      <w:r>
        <w:rPr>
          <w:rFonts w:hint="eastAsia" w:ascii="仿宋" w:hAnsi="仿宋" w:eastAsia="仿宋"/>
          <w:bCs/>
          <w:color w:val="000000" w:themeColor="text1"/>
          <w:sz w:val="32"/>
          <w:szCs w:val="32"/>
          <w14:textFill>
            <w14:solidFill>
              <w14:schemeClr w14:val="tx1"/>
            </w14:solidFill>
          </w14:textFill>
        </w:rPr>
        <w:t>关</w:t>
      </w:r>
      <w:r>
        <w:rPr>
          <w:rFonts w:ascii="仿宋" w:hAnsi="仿宋" w:eastAsia="仿宋"/>
          <w:bCs/>
          <w:color w:val="000000" w:themeColor="text1"/>
          <w:sz w:val="32"/>
          <w:szCs w:val="32"/>
          <w14:textFill>
            <w14:solidFill>
              <w14:schemeClr w14:val="tx1"/>
            </w14:solidFill>
          </w14:textFill>
        </w:rPr>
        <w:t>停</w:t>
      </w:r>
      <w:r>
        <w:rPr>
          <w:rFonts w:hint="eastAsia" w:ascii="仿宋" w:hAnsi="仿宋" w:eastAsia="仿宋"/>
          <w:bCs/>
          <w:color w:val="000000" w:themeColor="text1"/>
          <w:sz w:val="32"/>
          <w:szCs w:val="32"/>
          <w14:textFill>
            <w14:solidFill>
              <w14:schemeClr w14:val="tx1"/>
            </w14:solidFill>
          </w14:textFill>
        </w:rPr>
        <w:t>3处</w:t>
      </w:r>
      <w:r>
        <w:rPr>
          <w:rFonts w:ascii="仿宋" w:hAnsi="仿宋" w:eastAsia="仿宋"/>
          <w:bCs/>
          <w:color w:val="000000" w:themeColor="text1"/>
          <w:sz w:val="32"/>
          <w:szCs w:val="32"/>
          <w14:textFill>
            <w14:solidFill>
              <w14:schemeClr w14:val="tx1"/>
            </w14:solidFill>
          </w14:textFill>
        </w:rPr>
        <w:t>存在环保管理缺陷的湿垃圾就地处置设备，优化</w:t>
      </w:r>
      <w:r>
        <w:rPr>
          <w:rFonts w:hint="eastAsia" w:ascii="仿宋" w:hAnsi="仿宋" w:eastAsia="仿宋"/>
          <w:bCs/>
          <w:color w:val="000000" w:themeColor="text1"/>
          <w:sz w:val="32"/>
          <w:szCs w:val="32"/>
          <w14:textFill>
            <w14:solidFill>
              <w14:schemeClr w14:val="tx1"/>
            </w14:solidFill>
          </w14:textFill>
        </w:rPr>
        <w:t>提升景</w:t>
      </w:r>
      <w:r>
        <w:rPr>
          <w:rFonts w:ascii="仿宋" w:hAnsi="仿宋" w:eastAsia="仿宋"/>
          <w:bCs/>
          <w:color w:val="000000" w:themeColor="text1"/>
          <w:sz w:val="32"/>
          <w:szCs w:val="32"/>
          <w14:textFill>
            <w14:solidFill>
              <w14:schemeClr w14:val="tx1"/>
            </w14:solidFill>
          </w14:textFill>
        </w:rPr>
        <w:t>洪路等</w:t>
      </w:r>
      <w:r>
        <w:rPr>
          <w:rFonts w:hint="eastAsia" w:ascii="仿宋" w:hAnsi="仿宋" w:eastAsia="仿宋"/>
          <w:bCs/>
          <w:color w:val="000000" w:themeColor="text1"/>
          <w:sz w:val="32"/>
          <w:szCs w:val="32"/>
          <w14:textFill>
            <w14:solidFill>
              <w14:schemeClr w14:val="tx1"/>
            </w14:solidFill>
          </w14:textFill>
        </w:rPr>
        <w:t>3处</w:t>
      </w:r>
      <w:r>
        <w:rPr>
          <w:rFonts w:ascii="仿宋" w:hAnsi="仿宋" w:eastAsia="仿宋"/>
          <w:bCs/>
          <w:color w:val="000000" w:themeColor="text1"/>
          <w:sz w:val="32"/>
          <w:szCs w:val="32"/>
          <w14:textFill>
            <w14:solidFill>
              <w14:schemeClr w14:val="tx1"/>
            </w14:solidFill>
          </w14:textFill>
        </w:rPr>
        <w:t>中转处置端，打造</w:t>
      </w:r>
      <w:r>
        <w:rPr>
          <w:rFonts w:hint="eastAsia" w:ascii="仿宋" w:hAnsi="仿宋" w:eastAsia="仿宋"/>
          <w:bCs/>
          <w:color w:val="000000" w:themeColor="text1"/>
          <w:sz w:val="32"/>
          <w:szCs w:val="32"/>
          <w14:textFill>
            <w14:solidFill>
              <w14:schemeClr w14:val="tx1"/>
            </w14:solidFill>
          </w14:textFill>
        </w:rPr>
        <w:t>71个生活</w:t>
      </w:r>
      <w:r>
        <w:rPr>
          <w:rFonts w:ascii="仿宋" w:hAnsi="仿宋" w:eastAsia="仿宋"/>
          <w:bCs/>
          <w:color w:val="000000" w:themeColor="text1"/>
          <w:sz w:val="32"/>
          <w:szCs w:val="32"/>
          <w14:textFill>
            <w14:solidFill>
              <w14:schemeClr w14:val="tx1"/>
            </w14:solidFill>
          </w14:textFill>
        </w:rPr>
        <w:t>垃圾分类精品小区。</w:t>
      </w:r>
    </w:p>
    <w:p w14:paraId="6976D4D1">
      <w:pPr>
        <w:snapToGrid w:val="0"/>
        <w:spacing w:line="600" w:lineRule="exact"/>
        <w:ind w:firstLine="643" w:firstLineChars="200"/>
        <w:rPr>
          <w:rFonts w:hint="eastAsia" w:ascii="楷体" w:hAnsi="楷体" w:eastAsia="楷体"/>
          <w:b/>
          <w:color w:val="000000" w:themeColor="text1"/>
          <w:sz w:val="32"/>
          <w:szCs w:val="32"/>
          <w:highlight w:val="yellow"/>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高质量</w:t>
      </w:r>
      <w:r>
        <w:rPr>
          <w:rFonts w:ascii="楷体" w:hAnsi="楷体" w:eastAsia="楷体"/>
          <w:b/>
          <w:color w:val="000000" w:themeColor="text1"/>
          <w:sz w:val="32"/>
          <w:szCs w:val="32"/>
          <w14:textFill>
            <w14:solidFill>
              <w14:schemeClr w14:val="tx1"/>
            </w14:solidFill>
          </w14:textFill>
        </w:rPr>
        <w:t>推进平安建设</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全面</w:t>
      </w:r>
      <w:r>
        <w:rPr>
          <w:rFonts w:ascii="仿宋" w:hAnsi="仿宋" w:eastAsia="仿宋"/>
          <w:color w:val="000000" w:themeColor="text1"/>
          <w:sz w:val="32"/>
          <w:szCs w:val="32"/>
          <w14:textFill>
            <w14:solidFill>
              <w14:schemeClr w14:val="tx1"/>
            </w14:solidFill>
          </w14:textFill>
        </w:rPr>
        <w:t>贯彻总体国家安全观，</w:t>
      </w:r>
      <w:r>
        <w:rPr>
          <w:rFonts w:hint="eastAsia" w:ascii="仿宋" w:hAnsi="仿宋" w:eastAsia="仿宋"/>
          <w:color w:val="000000" w:themeColor="text1"/>
          <w:sz w:val="32"/>
          <w:szCs w:val="32"/>
          <w14:textFill>
            <w14:solidFill>
              <w14:schemeClr w14:val="tx1"/>
            </w14:solidFill>
          </w14:textFill>
        </w:rPr>
        <w:t>扎实</w:t>
      </w:r>
      <w:r>
        <w:rPr>
          <w:rFonts w:ascii="仿宋" w:hAnsi="仿宋" w:eastAsia="仿宋"/>
          <w:color w:val="000000" w:themeColor="text1"/>
          <w:sz w:val="32"/>
          <w:szCs w:val="32"/>
          <w14:textFill>
            <w14:solidFill>
              <w14:schemeClr w14:val="tx1"/>
            </w14:solidFill>
          </w14:textFill>
        </w:rPr>
        <w:t>开展安全隐患“清障拔点”整治行动</w:t>
      </w:r>
      <w:r>
        <w:rPr>
          <w:rFonts w:hint="eastAsia" w:ascii="仿宋" w:hAnsi="仿宋" w:eastAsia="仿宋"/>
          <w:color w:val="000000" w:themeColor="text1"/>
          <w:sz w:val="32"/>
          <w:szCs w:val="32"/>
          <w14:textFill>
            <w14:solidFill>
              <w14:schemeClr w14:val="tx1"/>
            </w14:solidFill>
          </w14:textFill>
        </w:rPr>
        <w:t>，生产安全、农村自建</w:t>
      </w:r>
      <w:r>
        <w:rPr>
          <w:rFonts w:ascii="仿宋" w:hAnsi="仿宋" w:eastAsia="仿宋"/>
          <w:color w:val="000000" w:themeColor="text1"/>
          <w:sz w:val="32"/>
          <w:szCs w:val="32"/>
          <w14:textFill>
            <w14:solidFill>
              <w14:schemeClr w14:val="tx1"/>
            </w14:solidFill>
          </w14:textFill>
        </w:rPr>
        <w:t>房、</w:t>
      </w:r>
      <w:r>
        <w:rPr>
          <w:rFonts w:hint="eastAsia" w:ascii="仿宋" w:hAnsi="仿宋" w:eastAsia="仿宋"/>
          <w:color w:val="000000" w:themeColor="text1"/>
          <w:sz w:val="32"/>
          <w:szCs w:val="32"/>
          <w14:textFill>
            <w14:solidFill>
              <w14:schemeClr w14:val="tx1"/>
            </w14:solidFill>
          </w14:textFill>
        </w:rPr>
        <w:t>建筑</w:t>
      </w:r>
      <w:r>
        <w:rPr>
          <w:rFonts w:ascii="仿宋" w:hAnsi="仿宋" w:eastAsia="仿宋"/>
          <w:color w:val="000000" w:themeColor="text1"/>
          <w:sz w:val="32"/>
          <w:szCs w:val="32"/>
          <w14:textFill>
            <w14:solidFill>
              <w14:schemeClr w14:val="tx1"/>
            </w14:solidFill>
          </w14:textFill>
        </w:rPr>
        <w:t>工地</w:t>
      </w:r>
      <w:r>
        <w:rPr>
          <w:rFonts w:hint="eastAsia" w:ascii="仿宋" w:hAnsi="仿宋" w:eastAsia="仿宋"/>
          <w:color w:val="000000" w:themeColor="text1"/>
          <w:sz w:val="32"/>
          <w:szCs w:val="32"/>
          <w14:textFill>
            <w14:solidFill>
              <w14:schemeClr w14:val="tx1"/>
            </w14:solidFill>
          </w14:textFill>
        </w:rPr>
        <w:t>、</w:t>
      </w:r>
      <w:r>
        <w:rPr>
          <w:rFonts w:ascii="仿宋" w:hAnsi="仿宋" w:eastAsia="仿宋"/>
          <w:color w:val="000000" w:themeColor="text1"/>
          <w:sz w:val="32"/>
          <w:szCs w:val="32"/>
          <w14:textFill>
            <w14:solidFill>
              <w14:schemeClr w14:val="tx1"/>
            </w14:solidFill>
          </w14:textFill>
        </w:rPr>
        <w:t>消防</w:t>
      </w:r>
      <w:r>
        <w:rPr>
          <w:rFonts w:hint="eastAsia" w:ascii="仿宋" w:hAnsi="仿宋" w:eastAsia="仿宋"/>
          <w:color w:val="000000" w:themeColor="text1"/>
          <w:sz w:val="32"/>
          <w:szCs w:val="32"/>
          <w14:textFill>
            <w14:solidFill>
              <w14:schemeClr w14:val="tx1"/>
            </w14:solidFill>
          </w14:textFill>
        </w:rPr>
        <w:t>安全</w:t>
      </w:r>
      <w:r>
        <w:rPr>
          <w:rFonts w:ascii="仿宋" w:hAnsi="仿宋" w:eastAsia="仿宋"/>
          <w:color w:val="000000" w:themeColor="text1"/>
          <w:sz w:val="32"/>
          <w:szCs w:val="32"/>
          <w14:textFill>
            <w14:solidFill>
              <w14:schemeClr w14:val="tx1"/>
            </w14:solidFill>
          </w14:textFill>
        </w:rPr>
        <w:t>等工作常抓常严，</w:t>
      </w:r>
      <w:r>
        <w:rPr>
          <w:rFonts w:hint="eastAsia" w:ascii="仿宋" w:hAnsi="仿宋" w:eastAsia="仿宋"/>
          <w:color w:val="000000" w:themeColor="text1"/>
          <w:sz w:val="32"/>
          <w:szCs w:val="32"/>
          <w14:textFill>
            <w14:solidFill>
              <w14:schemeClr w14:val="tx1"/>
            </w14:solidFill>
          </w14:textFill>
        </w:rPr>
        <w:t>加强有</w:t>
      </w:r>
      <w:r>
        <w:rPr>
          <w:rFonts w:ascii="仿宋" w:hAnsi="仿宋" w:eastAsia="仿宋"/>
          <w:color w:val="000000" w:themeColor="text1"/>
          <w:sz w:val="32"/>
          <w:szCs w:val="32"/>
          <w14:textFill>
            <w14:solidFill>
              <w14:schemeClr w14:val="tx1"/>
            </w14:solidFill>
          </w14:textFill>
        </w:rPr>
        <w:t>限空间作业、厂房仓库、危险化学品、人员密集场所等重点领域的安全</w:t>
      </w:r>
      <w:r>
        <w:rPr>
          <w:rFonts w:hint="eastAsia" w:ascii="仿宋" w:hAnsi="仿宋" w:eastAsia="仿宋"/>
          <w:color w:val="000000" w:themeColor="text1"/>
          <w:sz w:val="32"/>
          <w:szCs w:val="32"/>
          <w14:textFill>
            <w14:solidFill>
              <w14:schemeClr w14:val="tx1"/>
            </w14:solidFill>
          </w14:textFill>
        </w:rPr>
        <w:t>监管</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全</w:t>
      </w:r>
      <w:r>
        <w:rPr>
          <w:rFonts w:ascii="仿宋" w:hAnsi="仿宋" w:eastAsia="仿宋"/>
          <w:color w:val="000000" w:themeColor="text1"/>
          <w:sz w:val="32"/>
          <w:szCs w:val="32"/>
          <w14:textFill>
            <w14:solidFill>
              <w14:schemeClr w14:val="tx1"/>
            </w14:solidFill>
          </w14:textFill>
        </w:rPr>
        <w:t>年安全事故数和死亡人数实现双下降</w:t>
      </w:r>
      <w:r>
        <w:rPr>
          <w:rFonts w:hint="eastAsia" w:ascii="仿宋" w:hAnsi="仿宋" w:eastAsia="仿宋"/>
          <w:sz w:val="32"/>
          <w:szCs w:val="32"/>
        </w:rPr>
        <w:t>。有力有效做好防汛防台及低温雨雪冰冻等自然灾害防治工作。坚持和发展新时代“枫桥经验”，深入推进信访工作法治化，信访总量同比下降38.75%，信访事项同比下降26.58%，</w:t>
      </w:r>
      <w:r>
        <w:rPr>
          <w:rFonts w:ascii="仿宋" w:hAnsi="仿宋" w:eastAsia="仿宋"/>
          <w:sz w:val="32"/>
          <w:szCs w:val="32"/>
        </w:rPr>
        <w:t>历史积案化解</w:t>
      </w:r>
      <w:r>
        <w:rPr>
          <w:rFonts w:hint="eastAsia" w:ascii="仿宋" w:hAnsi="仿宋" w:eastAsia="仿宋"/>
          <w:sz w:val="32"/>
          <w:szCs w:val="32"/>
        </w:rPr>
        <w:t>率达93%。深化</w:t>
      </w:r>
      <w:r>
        <w:rPr>
          <w:rFonts w:ascii="仿宋" w:hAnsi="仿宋" w:eastAsia="仿宋"/>
          <w:sz w:val="32"/>
          <w:szCs w:val="32"/>
        </w:rPr>
        <w:t>平安矩阵建设，建设</w:t>
      </w:r>
      <w:r>
        <w:rPr>
          <w:rFonts w:hint="eastAsia" w:ascii="仿宋" w:hAnsi="仿宋" w:eastAsia="仿宋"/>
          <w:sz w:val="32"/>
          <w:szCs w:val="32"/>
        </w:rPr>
        <w:t>7个</w:t>
      </w:r>
      <w:r>
        <w:rPr>
          <w:rFonts w:ascii="仿宋" w:hAnsi="仿宋" w:eastAsia="仿宋"/>
          <w:sz w:val="32"/>
          <w:szCs w:val="32"/>
        </w:rPr>
        <w:t>网格平安客厅</w:t>
      </w:r>
      <w:r>
        <w:rPr>
          <w:rFonts w:hint="eastAsia" w:ascii="仿宋" w:hAnsi="仿宋" w:eastAsia="仿宋"/>
          <w:sz w:val="32"/>
          <w:szCs w:val="32"/>
        </w:rPr>
        <w:t>，开展重大风险矛盾纠纷排查化解工作，</w:t>
      </w:r>
      <w:r>
        <w:rPr>
          <w:rFonts w:ascii="仿宋" w:hAnsi="仿宋" w:eastAsia="仿宋"/>
          <w:sz w:val="32"/>
          <w:szCs w:val="32"/>
        </w:rPr>
        <w:t>试点开展非警务类</w:t>
      </w:r>
      <w:r>
        <w:rPr>
          <w:rFonts w:hint="eastAsia" w:ascii="仿宋" w:hAnsi="仿宋" w:eastAsia="仿宋"/>
          <w:sz w:val="32"/>
          <w:szCs w:val="32"/>
        </w:rPr>
        <w:t>110分</w:t>
      </w:r>
      <w:r>
        <w:rPr>
          <w:rFonts w:ascii="仿宋" w:hAnsi="仿宋" w:eastAsia="仿宋"/>
          <w:sz w:val="32"/>
          <w:szCs w:val="32"/>
        </w:rPr>
        <w:t>流处置</w:t>
      </w:r>
      <w:r>
        <w:rPr>
          <w:rFonts w:hint="eastAsia" w:ascii="仿宋" w:hAnsi="仿宋" w:eastAsia="仿宋"/>
          <w:sz w:val="32"/>
          <w:szCs w:val="32"/>
        </w:rPr>
        <w:t>。</w:t>
      </w:r>
    </w:p>
    <w:p w14:paraId="229D91CC">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构建</w:t>
      </w:r>
      <w:r>
        <w:rPr>
          <w:rFonts w:ascii="楷体" w:hAnsi="楷体" w:eastAsia="楷体"/>
          <w:b/>
          <w:color w:val="000000" w:themeColor="text1"/>
          <w:sz w:val="32"/>
          <w:szCs w:val="32"/>
          <w14:textFill>
            <w14:solidFill>
              <w14:schemeClr w14:val="tx1"/>
            </w14:solidFill>
          </w14:textFill>
        </w:rPr>
        <w:t>社区多元共治格局</w:t>
      </w:r>
      <w:r>
        <w:rPr>
          <w:rFonts w:hint="eastAsia" w:ascii="楷体" w:hAnsi="楷体" w:eastAsia="楷体"/>
          <w:b/>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积极探索社区治理创新模式，依托</w:t>
      </w:r>
      <w:r>
        <w:rPr>
          <w:rFonts w:ascii="仿宋" w:hAnsi="仿宋" w:eastAsia="仿宋"/>
          <w:color w:val="000000" w:themeColor="text1"/>
          <w:sz w:val="32"/>
          <w:szCs w:val="32"/>
          <w14:textFill>
            <w14:solidFill>
              <w14:schemeClr w14:val="tx1"/>
            </w14:solidFill>
          </w14:textFill>
        </w:rPr>
        <w:t>智慧家园平台建设，</w:t>
      </w:r>
      <w:r>
        <w:rPr>
          <w:rFonts w:hint="eastAsia" w:ascii="仿宋" w:hAnsi="仿宋" w:eastAsia="仿宋"/>
          <w:color w:val="000000" w:themeColor="text1"/>
          <w:sz w:val="32"/>
          <w:szCs w:val="32"/>
          <w14:textFill>
            <w14:solidFill>
              <w14:schemeClr w14:val="tx1"/>
            </w14:solidFill>
          </w14:textFill>
        </w:rPr>
        <w:t>在24个</w:t>
      </w:r>
      <w:r>
        <w:rPr>
          <w:rFonts w:ascii="仿宋" w:hAnsi="仿宋" w:eastAsia="仿宋"/>
          <w:color w:val="000000" w:themeColor="text1"/>
          <w:sz w:val="32"/>
          <w:szCs w:val="32"/>
          <w14:textFill>
            <w14:solidFill>
              <w14:schemeClr w14:val="tx1"/>
            </w14:solidFill>
          </w14:textFill>
        </w:rPr>
        <w:t>住宅小</w:t>
      </w:r>
      <w:r>
        <w:rPr>
          <w:rFonts w:hint="eastAsia" w:ascii="仿宋" w:hAnsi="仿宋" w:eastAsia="仿宋"/>
          <w:color w:val="000000" w:themeColor="text1"/>
          <w:sz w:val="32"/>
          <w:szCs w:val="32"/>
          <w14:textFill>
            <w14:solidFill>
              <w14:schemeClr w14:val="tx1"/>
            </w14:solidFill>
          </w14:textFill>
        </w:rPr>
        <w:t>区接</w:t>
      </w:r>
      <w:r>
        <w:rPr>
          <w:rFonts w:ascii="仿宋" w:hAnsi="仿宋" w:eastAsia="仿宋"/>
          <w:color w:val="000000" w:themeColor="text1"/>
          <w:sz w:val="32"/>
          <w:szCs w:val="32"/>
          <w14:textFill>
            <w14:solidFill>
              <w14:schemeClr w14:val="tx1"/>
            </w14:solidFill>
          </w14:textFill>
        </w:rPr>
        <w:t>入</w:t>
      </w:r>
      <w:r>
        <w:rPr>
          <w:rFonts w:hint="eastAsia" w:ascii="仿宋" w:hAnsi="仿宋" w:eastAsia="仿宋"/>
          <w:color w:val="000000" w:themeColor="text1"/>
          <w:sz w:val="32"/>
          <w:szCs w:val="32"/>
          <w14:textFill>
            <w14:solidFill>
              <w14:schemeClr w14:val="tx1"/>
            </w14:solidFill>
          </w14:textFill>
        </w:rPr>
        <w:t>楼</w:t>
      </w:r>
      <w:r>
        <w:rPr>
          <w:rFonts w:ascii="仿宋" w:hAnsi="仿宋" w:eastAsia="仿宋"/>
          <w:color w:val="000000" w:themeColor="text1"/>
          <w:sz w:val="32"/>
          <w:szCs w:val="32"/>
          <w14:textFill>
            <w14:solidFill>
              <w14:schemeClr w14:val="tx1"/>
            </w14:solidFill>
          </w14:textFill>
        </w:rPr>
        <w:t>道</w:t>
      </w:r>
      <w:r>
        <w:rPr>
          <w:rFonts w:hint="eastAsia" w:ascii="仿宋" w:hAnsi="仿宋" w:eastAsia="仿宋"/>
          <w:color w:val="000000" w:themeColor="text1"/>
          <w:sz w:val="32"/>
          <w:szCs w:val="32"/>
          <w14:textFill>
            <w14:solidFill>
              <w14:schemeClr w14:val="tx1"/>
            </w14:solidFill>
          </w14:textFill>
        </w:rPr>
        <w:t>堆</w:t>
      </w:r>
      <w:r>
        <w:rPr>
          <w:rFonts w:ascii="仿宋" w:hAnsi="仿宋" w:eastAsia="仿宋"/>
          <w:color w:val="000000" w:themeColor="text1"/>
          <w:sz w:val="32"/>
          <w:szCs w:val="32"/>
          <w14:textFill>
            <w14:solidFill>
              <w14:schemeClr w14:val="tx1"/>
            </w14:solidFill>
          </w14:textFill>
        </w:rPr>
        <w:t>物、烟</w:t>
      </w:r>
      <w:r>
        <w:rPr>
          <w:rFonts w:hint="eastAsia" w:ascii="仿宋" w:hAnsi="仿宋" w:eastAsia="仿宋"/>
          <w:color w:val="000000" w:themeColor="text1"/>
          <w:sz w:val="32"/>
          <w:szCs w:val="32"/>
          <w14:textFill>
            <w14:solidFill>
              <w14:schemeClr w14:val="tx1"/>
            </w14:solidFill>
          </w14:textFill>
        </w:rPr>
        <w:t>感等</w:t>
      </w:r>
      <w:r>
        <w:rPr>
          <w:rFonts w:ascii="仿宋" w:hAnsi="仿宋" w:eastAsia="仿宋"/>
          <w:color w:val="000000" w:themeColor="text1"/>
          <w:sz w:val="32"/>
          <w:szCs w:val="32"/>
          <w14:textFill>
            <w14:solidFill>
              <w14:schemeClr w14:val="tx1"/>
            </w14:solidFill>
          </w14:textFill>
        </w:rPr>
        <w:t>智能端口，</w:t>
      </w:r>
      <w:r>
        <w:rPr>
          <w:rFonts w:hint="eastAsia" w:ascii="仿宋" w:hAnsi="仿宋" w:eastAsia="仿宋"/>
          <w:color w:val="000000" w:themeColor="text1"/>
          <w:sz w:val="32"/>
          <w:szCs w:val="32"/>
          <w14:textFill>
            <w14:solidFill>
              <w14:schemeClr w14:val="tx1"/>
            </w14:solidFill>
          </w14:textFill>
        </w:rPr>
        <w:t>以数字赋能来提升小区物业治理水平。加强业委会物业工作指导，完善小区重大事项表决预警机制，落实物业公司满意度测评，制定重点矛盾（集中投诉）小区化解工作方案；加强小区维修资金监管，共巡查维修工程733个，整改问题115个；为5万元以下项目提供审价，送审金额992.45万元，核减478万元，节省金额达48.1%。开展共有产权房、廉租房全覆盖排摸整治工作。打造居民区党群服务站26个，依托“美好社区”治理学院，扎实开展“头雁工程”“陇青计划”，提升社区工作者能力。</w:t>
      </w:r>
    </w:p>
    <w:p w14:paraId="4452ECB9">
      <w:p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四、</w:t>
      </w:r>
      <w:r>
        <w:rPr>
          <w:rFonts w:hint="eastAsia" w:ascii="黑体" w:hAnsi="黑体" w:eastAsia="黑体"/>
          <w:color w:val="000000" w:themeColor="text1"/>
          <w:spacing w:val="-4"/>
          <w:sz w:val="32"/>
          <w:szCs w:val="32"/>
          <w14:textFill>
            <w14:solidFill>
              <w14:schemeClr w14:val="tx1"/>
            </w14:solidFill>
          </w14:textFill>
        </w:rPr>
        <w:t>办实事</w:t>
      </w:r>
      <w:r>
        <w:rPr>
          <w:rFonts w:ascii="黑体" w:hAnsi="黑体" w:eastAsia="黑体"/>
          <w:color w:val="000000" w:themeColor="text1"/>
          <w:spacing w:val="-4"/>
          <w:sz w:val="32"/>
          <w:szCs w:val="32"/>
          <w14:textFill>
            <w14:solidFill>
              <w14:schemeClr w14:val="tx1"/>
            </w14:solidFill>
          </w14:textFill>
        </w:rPr>
        <w:t>、</w:t>
      </w:r>
      <w:r>
        <w:rPr>
          <w:rFonts w:hint="eastAsia" w:ascii="黑体" w:hAnsi="黑体" w:eastAsia="黑体"/>
          <w:color w:val="000000" w:themeColor="text1"/>
          <w:spacing w:val="-4"/>
          <w:sz w:val="32"/>
          <w:szCs w:val="32"/>
          <w14:textFill>
            <w14:solidFill>
              <w14:schemeClr w14:val="tx1"/>
            </w14:solidFill>
          </w14:textFill>
        </w:rPr>
        <w:t>解</w:t>
      </w:r>
      <w:r>
        <w:rPr>
          <w:rFonts w:ascii="黑体" w:hAnsi="黑体" w:eastAsia="黑体"/>
          <w:color w:val="000000" w:themeColor="text1"/>
          <w:spacing w:val="-4"/>
          <w:sz w:val="32"/>
          <w:szCs w:val="32"/>
          <w14:textFill>
            <w14:solidFill>
              <w14:schemeClr w14:val="tx1"/>
            </w14:solidFill>
          </w14:textFill>
        </w:rPr>
        <w:t>民</w:t>
      </w:r>
      <w:r>
        <w:rPr>
          <w:rFonts w:hint="eastAsia" w:ascii="黑体" w:hAnsi="黑体" w:eastAsia="黑体"/>
          <w:color w:val="000000" w:themeColor="text1"/>
          <w:spacing w:val="-4"/>
          <w:sz w:val="32"/>
          <w:szCs w:val="32"/>
          <w14:textFill>
            <w14:solidFill>
              <w14:schemeClr w14:val="tx1"/>
            </w14:solidFill>
          </w14:textFill>
        </w:rPr>
        <w:t>忧</w:t>
      </w:r>
      <w:r>
        <w:rPr>
          <w:rFonts w:ascii="黑体" w:hAnsi="黑体" w:eastAsia="黑体"/>
          <w:color w:val="000000" w:themeColor="text1"/>
          <w:spacing w:val="-4"/>
          <w:sz w:val="32"/>
          <w:szCs w:val="32"/>
          <w14:textFill>
            <w14:solidFill>
              <w14:schemeClr w14:val="tx1"/>
            </w14:solidFill>
          </w14:textFill>
        </w:rPr>
        <w:t>，</w:t>
      </w:r>
      <w:r>
        <w:rPr>
          <w:rFonts w:hint="eastAsia" w:ascii="黑体" w:hAnsi="黑体" w:eastAsia="黑体"/>
          <w:color w:val="000000" w:themeColor="text1"/>
          <w:spacing w:val="-4"/>
          <w:sz w:val="32"/>
          <w:szCs w:val="32"/>
          <w14:textFill>
            <w14:solidFill>
              <w14:schemeClr w14:val="tx1"/>
            </w14:solidFill>
          </w14:textFill>
        </w:rPr>
        <w:t>增进民</w:t>
      </w:r>
      <w:r>
        <w:rPr>
          <w:rFonts w:ascii="黑体" w:hAnsi="黑体" w:eastAsia="黑体"/>
          <w:color w:val="000000" w:themeColor="text1"/>
          <w:spacing w:val="-4"/>
          <w:sz w:val="32"/>
          <w:szCs w:val="32"/>
          <w14:textFill>
            <w14:solidFill>
              <w14:schemeClr w14:val="tx1"/>
            </w14:solidFill>
          </w14:textFill>
        </w:rPr>
        <w:t>生福祉</w:t>
      </w:r>
    </w:p>
    <w:p w14:paraId="3CA34D0A">
      <w:pPr>
        <w:spacing w:line="600" w:lineRule="exact"/>
        <w:ind w:firstLine="643" w:firstLineChars="200"/>
        <w:rPr>
          <w:rFonts w:hint="eastAsia" w:ascii="仿宋" w:hAnsi="仿宋" w:eastAsia="仿宋" w:cstheme="minorBidi"/>
          <w:sz w:val="32"/>
          <w:szCs w:val="32"/>
        </w:rPr>
      </w:pPr>
      <w:r>
        <w:rPr>
          <w:rFonts w:hint="eastAsia" w:ascii="楷体" w:hAnsi="楷体" w:eastAsia="楷体"/>
          <w:b/>
          <w:color w:val="000000" w:themeColor="text1"/>
          <w:sz w:val="32"/>
          <w:szCs w:val="32"/>
          <w14:textFill>
            <w14:solidFill>
              <w14:schemeClr w14:val="tx1"/>
            </w14:solidFill>
          </w14:textFill>
        </w:rPr>
        <w:t>社会保障全面兜牢。</w:t>
      </w:r>
      <w:r>
        <w:rPr>
          <w:rFonts w:hint="eastAsia" w:ascii="仿宋" w:hAnsi="仿宋" w:eastAsia="仿宋"/>
          <w:sz w:val="32"/>
          <w:szCs w:val="32"/>
        </w:rPr>
        <w:t>积极落实就(创)业政策，</w:t>
      </w:r>
      <w:r>
        <w:rPr>
          <w:rFonts w:hint="eastAsia" w:ascii="仿宋" w:hAnsi="仿宋" w:eastAsia="仿宋" w:cstheme="minorBidi"/>
          <w:sz w:val="32"/>
          <w:szCs w:val="32"/>
        </w:rPr>
        <w:t>加强基层就业服务体系建设，打造3个15分钟就业服务站，开展近20场专题活动。举办线上线下招聘会5场、面试会40场，失业人员实现再就业人数1315人。稳步推进根治欠薪工作，</w:t>
      </w:r>
      <w:r>
        <w:rPr>
          <w:rFonts w:hint="eastAsia" w:ascii="仿宋" w:hAnsi="仿宋" w:eastAsia="仿宋"/>
          <w:sz w:val="32"/>
          <w:szCs w:val="32"/>
        </w:rPr>
        <w:t>全国欠薪平台共受理非工程领域案件348起，解决333起，完成73个工程项目的催缴、续缴，完成率100%。</w:t>
      </w:r>
      <w:r>
        <w:rPr>
          <w:rFonts w:hint="eastAsia" w:ascii="仿宋" w:hAnsi="仿宋" w:eastAsia="仿宋" w:cstheme="minorBidi"/>
          <w:sz w:val="32"/>
          <w:szCs w:val="32"/>
        </w:rPr>
        <w:t>新增一处城市建设者管理者之家，提供床位500个，增设共享书屋、厨房、淋浴房、洗衣房等公共设施。社会救助精准透明，发放低保、支内回沪、重残无业等各类补助金6289.52万元。为18户困难重度残疾人家庭实施无障碍改造。规范殡葬行业管理，制定完善梅陇镇公益性墓地管理制度，完成普安园集中收费和信息完善工作。加大退役军人服务保障力度，引导退役军人深度参与社区治理，培育选树先进典型2人。</w:t>
      </w:r>
    </w:p>
    <w:p w14:paraId="173A33E3">
      <w:pPr>
        <w:snapToGrid w:val="0"/>
        <w:spacing w:line="600" w:lineRule="exact"/>
        <w:ind w:firstLine="643" w:firstLineChars="200"/>
        <w:rPr>
          <w:rFonts w:hint="eastAsia" w:ascii="仿宋" w:hAnsi="仿宋" w:eastAsia="仿宋" w:cs="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公共服务逐步提升。</w:t>
      </w:r>
      <w:r>
        <w:rPr>
          <w:rFonts w:hint="eastAsia" w:ascii="仿宋" w:hAnsi="仿宋" w:eastAsia="仿宋" w:cs="仿宋"/>
          <w:color w:val="000000" w:themeColor="text1"/>
          <w:sz w:val="32"/>
          <w:szCs w:val="32"/>
          <w14:textFill>
            <w14:solidFill>
              <w14:schemeClr w14:val="tx1"/>
            </w14:solidFill>
          </w14:textFill>
        </w:rPr>
        <w:t>教育质量再创新高，初中学业水平综合成绩提升显著；完成3所公办幼儿园高质量园创建及2所民办三级幼儿园转型工作。引进优质教育资源，曹行小学更名闵行区第三实验小学。持续做亮学区“中医药”传统文化教育品牌，推动示范性学区创建工作，组织举办学区学术节、科技节、体育嘉年华等活动。落实第六轮公共卫生三年行动计划，全覆盖开展学龄前儿童口腔健康教育，学龄儿童近视防控综合干预，为退休妇女和生活困难妇女进行妇科、乳腺筛查。新增1个社区卫生服务站，年底投入试运营。建成景香苑社区综合为老服务中心，梅香苑为老服务中心提供认知症专业型日托服务。探索社会餐饮合作模式，完成益梅社区食堂建设，辐射周边6个社区约5000余名老人。蔷薇市场完成标准化创建工作，建设早餐工程示范点1家，早餐工程补盲点10家。</w:t>
      </w:r>
    </w:p>
    <w:p w14:paraId="54023FE2">
      <w:pPr>
        <w:pStyle w:val="9"/>
        <w:shd w:val="clear" w:color="auto" w:fill="FFFFFF"/>
        <w:spacing w:before="0" w:beforeAutospacing="0" w:after="0" w:afterAutospacing="0" w:line="600" w:lineRule="exact"/>
        <w:ind w:firstLine="643" w:firstLineChars="200"/>
        <w:jc w:val="both"/>
        <w:rPr>
          <w:rFonts w:hint="eastAsia" w:ascii="仿宋" w:hAnsi="仿宋" w:eastAsia="仿宋" w:cs="仿宋"/>
          <w:color w:val="000000" w:themeColor="text1"/>
          <w:kern w:val="2"/>
          <w:sz w:val="32"/>
          <w:szCs w:val="32"/>
          <w14:textFill>
            <w14:solidFill>
              <w14:schemeClr w14:val="tx1"/>
            </w14:solidFill>
          </w14:textFill>
        </w:rPr>
      </w:pPr>
      <w:r>
        <w:rPr>
          <w:rFonts w:hint="eastAsia" w:ascii="楷体" w:hAnsi="楷体" w:eastAsia="楷体" w:cs="Times New Roman"/>
          <w:b/>
          <w:color w:val="000000" w:themeColor="text1"/>
          <w:kern w:val="2"/>
          <w:sz w:val="32"/>
          <w:szCs w:val="32"/>
          <w14:textFill>
            <w14:solidFill>
              <w14:schemeClr w14:val="tx1"/>
            </w14:solidFill>
          </w14:textFill>
        </w:rPr>
        <w:t>惠民文化有声有色。</w:t>
      </w:r>
      <w:r>
        <w:rPr>
          <w:rFonts w:hint="eastAsia" w:ascii="仿宋" w:hAnsi="仿宋" w:eastAsia="仿宋" w:cs="仿宋"/>
          <w:color w:val="000000" w:themeColor="text1"/>
          <w:kern w:val="2"/>
          <w:sz w:val="32"/>
          <w:szCs w:val="32"/>
          <w14:textFill>
            <w14:solidFill>
              <w14:schemeClr w14:val="tx1"/>
            </w14:solidFill>
          </w14:textFill>
        </w:rPr>
        <w:t>升级改造镇图书馆，面积达600平方米，新增儿童友好城市阅读新空间，开展各类少儿活动33场，适配不同年龄段儿童的阅读体验和需求。书里·梅陇莲花路地铁文化空间于12月建成运营。深化特色文化品牌“梅陇有戏”，“陇萃”综艺团开展社区剧团走亲演出活动9场；全年各类展示展览、文艺演出、讲座培训120余场，受益人群3万余人。镇文体中心获评为上海市社区文化活动“示范中心”，梅陇社区体育俱乐部被评为上海市优秀体育指导站；社区教育课程、案例、团队获国家级奖项2项、市级奖项 11项、区级奖项4项。书画装裱修复技艺、古船模型制作技艺成功入选市级非遗项目。积极承办健身操舞比赛、夏季游泳开放达标赛、长三角水上皮艇、桨板邀请赛等市区级品牌赛事。举办社区羽毛球赛、青少年游泳达标赛等各类镇级赛事82场，不断拓宽受众人群。</w:t>
      </w:r>
    </w:p>
    <w:p w14:paraId="4367B9F0">
      <w:pPr>
        <w:pStyle w:val="9"/>
        <w:shd w:val="clear" w:color="auto" w:fill="FFFFFF"/>
        <w:spacing w:before="0" w:beforeAutospacing="0" w:after="0" w:afterAutospacing="0" w:line="600" w:lineRule="exact"/>
        <w:ind w:firstLine="640" w:firstLineChars="200"/>
        <w:jc w:val="both"/>
        <w:rPr>
          <w:rFonts w:hint="eastAsia" w:ascii="仿宋" w:hAnsi="仿宋" w:eastAsia="仿宋" w:cs="仿宋"/>
          <w:color w:val="000000" w:themeColor="text1"/>
          <w:kern w:val="2"/>
          <w:sz w:val="32"/>
          <w:szCs w:val="32"/>
          <w14:textFill>
            <w14:solidFill>
              <w14:schemeClr w14:val="tx1"/>
            </w14:solidFill>
          </w14:textFill>
        </w:rPr>
      </w:pPr>
      <w:r>
        <w:rPr>
          <w:rFonts w:hint="eastAsia" w:ascii="仿宋" w:hAnsi="仿宋" w:eastAsia="仿宋" w:cs="仿宋"/>
          <w:color w:val="000000" w:themeColor="text1"/>
          <w:kern w:val="2"/>
          <w:sz w:val="32"/>
          <w:szCs w:val="32"/>
          <w14:textFill>
            <w14:solidFill>
              <w14:schemeClr w14:val="tx1"/>
            </w14:solidFill>
          </w14:textFill>
        </w:rPr>
        <w:t>各位代表，我们所做的一切工作，归根到底都是为了不断满足人民日益增长的美好生活需要。今年镇民生实事项目继续实行人大代表票决制。前期，经过广泛征集、仔细遴选、充分认证，确定了11项民生实事候选项目，提请大会票决9项，我们将认真组织实施，确保把实事办好、好事办实。</w:t>
      </w:r>
    </w:p>
    <w:p w14:paraId="28E08D09">
      <w:p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五、</w:t>
      </w:r>
      <w:r>
        <w:rPr>
          <w:rFonts w:ascii="黑体" w:hAnsi="黑体" w:eastAsia="黑体"/>
          <w:color w:val="000000" w:themeColor="text1"/>
          <w:sz w:val="32"/>
          <w:szCs w:val="32"/>
          <w14:textFill>
            <w14:solidFill>
              <w14:schemeClr w14:val="tx1"/>
            </w14:solidFill>
          </w14:textFill>
        </w:rPr>
        <w:t>转作风、</w:t>
      </w:r>
      <w:r>
        <w:rPr>
          <w:rFonts w:hint="eastAsia" w:ascii="黑体" w:hAnsi="黑体" w:eastAsia="黑体"/>
          <w:color w:val="000000" w:themeColor="text1"/>
          <w:sz w:val="32"/>
          <w:szCs w:val="32"/>
          <w14:textFill>
            <w14:solidFill>
              <w14:schemeClr w14:val="tx1"/>
            </w14:solidFill>
          </w14:textFill>
        </w:rPr>
        <w:t>优服务</w:t>
      </w:r>
      <w:r>
        <w:rPr>
          <w:rFonts w:ascii="黑体" w:hAnsi="黑体" w:eastAsia="黑体"/>
          <w:color w:val="000000" w:themeColor="text1"/>
          <w:sz w:val="32"/>
          <w:szCs w:val="32"/>
          <w14:textFill>
            <w14:solidFill>
              <w14:schemeClr w14:val="tx1"/>
            </w14:solidFill>
          </w14:textFill>
        </w:rPr>
        <w:t>，</w:t>
      </w:r>
      <w:r>
        <w:rPr>
          <w:rFonts w:hint="eastAsia" w:ascii="黑体" w:hAnsi="黑体" w:eastAsia="黑体"/>
          <w:color w:val="000000" w:themeColor="text1"/>
          <w:sz w:val="32"/>
          <w:szCs w:val="32"/>
          <w14:textFill>
            <w14:solidFill>
              <w14:schemeClr w14:val="tx1"/>
            </w14:solidFill>
          </w14:textFill>
        </w:rPr>
        <w:t>提升</w:t>
      </w:r>
      <w:r>
        <w:rPr>
          <w:rFonts w:ascii="黑体" w:hAnsi="黑体" w:eastAsia="黑体"/>
          <w:color w:val="000000" w:themeColor="text1"/>
          <w:sz w:val="32"/>
          <w:szCs w:val="32"/>
          <w14:textFill>
            <w14:solidFill>
              <w14:schemeClr w14:val="tx1"/>
            </w14:solidFill>
          </w14:textFill>
        </w:rPr>
        <w:t>政府</w:t>
      </w:r>
      <w:r>
        <w:rPr>
          <w:rFonts w:hint="eastAsia" w:ascii="黑体" w:hAnsi="黑体" w:eastAsia="黑体"/>
          <w:color w:val="000000" w:themeColor="text1"/>
          <w:sz w:val="32"/>
          <w:szCs w:val="32"/>
          <w14:textFill>
            <w14:solidFill>
              <w14:schemeClr w14:val="tx1"/>
            </w14:solidFill>
          </w14:textFill>
        </w:rPr>
        <w:t>效能</w:t>
      </w:r>
    </w:p>
    <w:p w14:paraId="474ECC99">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政务环境不断优化。</w:t>
      </w:r>
      <w:r>
        <w:rPr>
          <w:rFonts w:hint="eastAsia" w:ascii="仿宋" w:hAnsi="仿宋" w:eastAsia="仿宋"/>
          <w:color w:val="000000" w:themeColor="text1"/>
          <w:sz w:val="32"/>
          <w:szCs w:val="32"/>
          <w14:textFill>
            <w14:solidFill>
              <w14:schemeClr w14:val="tx1"/>
            </w14:solidFill>
          </w14:textFill>
        </w:rPr>
        <w:t>实施政府系统运行目标管理，围绕1</w:t>
      </w:r>
      <w:r>
        <w:rPr>
          <w:rFonts w:ascii="仿宋" w:hAnsi="仿宋" w:eastAsia="仿宋"/>
          <w:color w:val="000000" w:themeColor="text1"/>
          <w:sz w:val="32"/>
          <w:szCs w:val="32"/>
          <w14:textFill>
            <w14:solidFill>
              <w14:schemeClr w14:val="tx1"/>
            </w14:solidFill>
          </w14:textFill>
        </w:rPr>
        <w:t>1</w:t>
      </w:r>
      <w:r>
        <w:rPr>
          <w:rFonts w:hint="eastAsia" w:ascii="仿宋" w:hAnsi="仿宋" w:eastAsia="仿宋"/>
          <w:color w:val="000000" w:themeColor="text1"/>
          <w:sz w:val="32"/>
          <w:szCs w:val="32"/>
          <w14:textFill>
            <w14:solidFill>
              <w14:schemeClr w14:val="tx1"/>
            </w14:solidFill>
          </w14:textFill>
        </w:rPr>
        <w:t>8项年度重点工作及9项政府实事项目，严格落实“闭环管理”，</w:t>
      </w:r>
      <w:r>
        <w:rPr>
          <w:rFonts w:ascii="仿宋" w:hAnsi="仿宋" w:eastAsia="仿宋"/>
          <w:sz w:val="32"/>
          <w:szCs w:val="32"/>
        </w:rPr>
        <w:t>动态开展考核评价和实地督查，</w:t>
      </w:r>
      <w:r>
        <w:rPr>
          <w:rFonts w:hint="eastAsia" w:ascii="仿宋" w:hAnsi="仿宋" w:eastAsia="仿宋"/>
          <w:color w:val="000000" w:themeColor="text1"/>
          <w:sz w:val="32"/>
          <w:szCs w:val="32"/>
          <w14:textFill>
            <w14:solidFill>
              <w14:schemeClr w14:val="tx1"/>
            </w14:solidFill>
          </w14:textFill>
        </w:rPr>
        <w:t>确保工作实效。</w:t>
      </w:r>
      <w:r>
        <w:rPr>
          <w:rFonts w:ascii="仿宋" w:hAnsi="仿宋" w:eastAsia="仿宋"/>
          <w:color w:val="000000" w:themeColor="text1"/>
          <w:sz w:val="32"/>
          <w:szCs w:val="32"/>
          <w14:textFill>
            <w14:solidFill>
              <w14:schemeClr w14:val="tx1"/>
            </w14:solidFill>
          </w14:textFill>
        </w:rPr>
        <w:t>加大“互联网+政务”运用，推进收发文、工作督查的全网运转，做好政府门户网站管理及“网上直通车”</w:t>
      </w:r>
      <w:r>
        <w:rPr>
          <w:rFonts w:hint="eastAsia" w:ascii="仿宋" w:hAnsi="仿宋" w:eastAsia="仿宋"/>
          <w:color w:val="000000" w:themeColor="text1"/>
          <w:sz w:val="32"/>
          <w:szCs w:val="32"/>
          <w14:textFill>
            <w14:solidFill>
              <w14:schemeClr w14:val="tx1"/>
            </w14:solidFill>
          </w14:textFill>
        </w:rPr>
        <w:t>等工</w:t>
      </w:r>
      <w:r>
        <w:rPr>
          <w:rFonts w:ascii="仿宋" w:hAnsi="仿宋" w:eastAsia="仿宋"/>
          <w:color w:val="000000" w:themeColor="text1"/>
          <w:sz w:val="32"/>
          <w:szCs w:val="32"/>
          <w14:textFill>
            <w14:solidFill>
              <w14:schemeClr w14:val="tx1"/>
            </w14:solidFill>
          </w14:textFill>
        </w:rPr>
        <w:t>作。</w:t>
      </w:r>
      <w:r>
        <w:rPr>
          <w:rFonts w:hint="eastAsia" w:ascii="仿宋" w:hAnsi="仿宋" w:eastAsia="仿宋"/>
          <w:color w:val="000000" w:themeColor="text1"/>
          <w:sz w:val="32"/>
          <w:szCs w:val="32"/>
          <w14:textFill>
            <w14:solidFill>
              <w14:schemeClr w14:val="tx1"/>
            </w14:solidFill>
          </w14:textFill>
        </w:rPr>
        <w:t>聚焦政务窗口标准化建设，开展业务能力测评和窗口评星活动，开设手语专窗、老年人“优先办”窗口，提供“陪伴式”服务，确保政策服务有温度。搭建“1+X”家门口多层次政务服务圈，印制高频事项办事指南，提供“门口办、精准办、自助办、远程办、上门办”全方位服务，解决服务群众“最后一公里”问题。</w:t>
      </w:r>
    </w:p>
    <w:p w14:paraId="3D0A7DFF">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依法行政扎实推进。</w:t>
      </w:r>
      <w:r>
        <w:rPr>
          <w:rFonts w:hint="eastAsia" w:ascii="仿宋" w:hAnsi="仿宋" w:eastAsia="仿宋"/>
          <w:color w:val="000000" w:themeColor="text1"/>
          <w:sz w:val="32"/>
          <w:szCs w:val="32"/>
          <w14:textFill>
            <w14:solidFill>
              <w14:schemeClr w14:val="tx1"/>
            </w14:solidFill>
          </w14:textFill>
        </w:rPr>
        <w:t>严格落实“三重一大”决策机制，主动向镇党委请求报告重大事项204项，自觉接受</w:t>
      </w:r>
      <w:r>
        <w:rPr>
          <w:rFonts w:ascii="仿宋" w:hAnsi="仿宋" w:eastAsia="仿宋"/>
          <w:color w:val="000000" w:themeColor="text1"/>
          <w:sz w:val="32"/>
          <w:szCs w:val="32"/>
          <w14:textFill>
            <w14:solidFill>
              <w14:schemeClr w14:val="tx1"/>
            </w14:solidFill>
          </w14:textFill>
        </w:rPr>
        <w:t>人大及社会</w:t>
      </w:r>
      <w:r>
        <w:rPr>
          <w:rFonts w:hint="eastAsia" w:ascii="仿宋" w:hAnsi="仿宋" w:eastAsia="仿宋"/>
          <w:color w:val="000000" w:themeColor="text1"/>
          <w:sz w:val="32"/>
          <w:szCs w:val="32"/>
          <w14:textFill>
            <w14:solidFill>
              <w14:schemeClr w14:val="tx1"/>
            </w14:solidFill>
          </w14:textFill>
        </w:rPr>
        <w:t>监督</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高质量办理各级人</w:t>
      </w:r>
      <w:r>
        <w:rPr>
          <w:rFonts w:ascii="仿宋" w:hAnsi="仿宋" w:eastAsia="仿宋"/>
          <w:color w:val="000000" w:themeColor="text1"/>
          <w:sz w:val="32"/>
          <w:szCs w:val="32"/>
          <w14:textFill>
            <w14:solidFill>
              <w14:schemeClr w14:val="tx1"/>
            </w14:solidFill>
          </w14:textFill>
        </w:rPr>
        <w:t>大代表</w:t>
      </w:r>
      <w:r>
        <w:rPr>
          <w:rFonts w:hint="eastAsia" w:ascii="仿宋" w:hAnsi="仿宋" w:eastAsia="仿宋"/>
          <w:color w:val="000000" w:themeColor="text1"/>
          <w:sz w:val="32"/>
          <w:szCs w:val="32"/>
          <w14:textFill>
            <w14:solidFill>
              <w14:schemeClr w14:val="tx1"/>
            </w14:solidFill>
          </w14:textFill>
        </w:rPr>
        <w:t>建议29件、政协提案11件</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146件</w:t>
      </w:r>
      <w:r>
        <w:rPr>
          <w:rFonts w:ascii="仿宋" w:hAnsi="仿宋" w:eastAsia="仿宋"/>
          <w:color w:val="000000" w:themeColor="text1"/>
          <w:sz w:val="32"/>
          <w:szCs w:val="32"/>
          <w14:textFill>
            <w14:solidFill>
              <w14:schemeClr w14:val="tx1"/>
            </w14:solidFill>
          </w14:textFill>
        </w:rPr>
        <w:t>代表收集的</w:t>
      </w:r>
      <w:r>
        <w:rPr>
          <w:rFonts w:hint="eastAsia" w:ascii="仿宋" w:hAnsi="仿宋" w:eastAsia="仿宋"/>
          <w:color w:val="000000" w:themeColor="text1"/>
          <w:sz w:val="32"/>
          <w:szCs w:val="32"/>
          <w14:textFill>
            <w14:solidFill>
              <w14:schemeClr w14:val="tx1"/>
            </w14:solidFill>
          </w14:textFill>
        </w:rPr>
        <w:t>群众</w:t>
      </w:r>
      <w:r>
        <w:rPr>
          <w:rFonts w:ascii="仿宋" w:hAnsi="仿宋" w:eastAsia="仿宋"/>
          <w:color w:val="000000" w:themeColor="text1"/>
          <w:sz w:val="32"/>
          <w:szCs w:val="32"/>
          <w14:textFill>
            <w14:solidFill>
              <w14:schemeClr w14:val="tx1"/>
            </w14:solidFill>
          </w14:textFill>
        </w:rPr>
        <w:t>意见</w:t>
      </w:r>
      <w:r>
        <w:rPr>
          <w:rFonts w:hint="eastAsia" w:ascii="仿宋" w:hAnsi="仿宋" w:eastAsia="仿宋"/>
          <w:color w:val="000000" w:themeColor="text1"/>
          <w:sz w:val="32"/>
          <w:szCs w:val="32"/>
          <w14:textFill>
            <w14:solidFill>
              <w14:schemeClr w14:val="tx1"/>
            </w14:solidFill>
          </w14:textFill>
        </w:rPr>
        <w:t>均</w:t>
      </w:r>
      <w:r>
        <w:rPr>
          <w:rFonts w:ascii="仿宋" w:hAnsi="仿宋" w:eastAsia="仿宋"/>
          <w:color w:val="000000" w:themeColor="text1"/>
          <w:sz w:val="32"/>
          <w:szCs w:val="32"/>
          <w14:textFill>
            <w14:solidFill>
              <w14:schemeClr w14:val="tx1"/>
            </w14:solidFill>
          </w14:textFill>
        </w:rPr>
        <w:t>已答复</w:t>
      </w:r>
      <w:r>
        <w:rPr>
          <w:rFonts w:hint="eastAsia" w:ascii="仿宋" w:hAnsi="仿宋" w:eastAsia="仿宋"/>
          <w:color w:val="000000" w:themeColor="text1"/>
          <w:sz w:val="32"/>
          <w:szCs w:val="32"/>
          <w14:textFill>
            <w14:solidFill>
              <w14:schemeClr w14:val="tx1"/>
            </w14:solidFill>
          </w14:textFill>
        </w:rPr>
        <w:t>，满意率达100%</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扎实推进政务公开标准化规范化，坚持做到信息“应公开尽公开”，全年累计公开政务信息220余条，</w:t>
      </w:r>
      <w:r>
        <w:rPr>
          <w:rFonts w:ascii="仿宋" w:hAnsi="仿宋" w:eastAsia="仿宋"/>
          <w:color w:val="000000" w:themeColor="text1"/>
          <w:sz w:val="32"/>
          <w:szCs w:val="32"/>
          <w14:textFill>
            <w14:solidFill>
              <w14:schemeClr w14:val="tx1"/>
            </w14:solidFill>
          </w14:textFill>
        </w:rPr>
        <w:t>办理依申请公开信息</w:t>
      </w:r>
      <w:r>
        <w:rPr>
          <w:rFonts w:hint="eastAsia" w:ascii="仿宋" w:hAnsi="仿宋" w:eastAsia="仿宋"/>
          <w:color w:val="000000" w:themeColor="text1"/>
          <w:sz w:val="32"/>
          <w:szCs w:val="32"/>
          <w14:textFill>
            <w14:solidFill>
              <w14:schemeClr w14:val="tx1"/>
            </w14:solidFill>
          </w14:textFill>
        </w:rPr>
        <w:t>39件，政府公信力和透明度进一步提升。</w:t>
      </w:r>
      <w:r>
        <w:rPr>
          <w:rFonts w:hint="eastAsia" w:ascii="仿宋" w:hAnsi="仿宋" w:eastAsia="仿宋"/>
          <w:sz w:val="32"/>
          <w:szCs w:val="32"/>
        </w:rPr>
        <w:t>推进法治型政府建设，结合年度重点工作计划，编制重大行政决策年度事项，将</w:t>
      </w:r>
      <w:r>
        <w:rPr>
          <w:rFonts w:ascii="仿宋" w:hAnsi="仿宋" w:eastAsia="仿宋"/>
          <w:sz w:val="32"/>
          <w:szCs w:val="32"/>
        </w:rPr>
        <w:t>10项事项纳入2024年重大行政决策事项目录</w:t>
      </w:r>
      <w:r>
        <w:rPr>
          <w:rFonts w:hint="eastAsia" w:ascii="仿宋" w:hAnsi="仿宋" w:eastAsia="仿宋"/>
          <w:sz w:val="32"/>
          <w:szCs w:val="32"/>
        </w:rPr>
        <w:t>。</w:t>
      </w:r>
    </w:p>
    <w:p w14:paraId="2449F636">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作风建设持续深化。</w:t>
      </w:r>
      <w:r>
        <w:rPr>
          <w:rFonts w:hint="eastAsia" w:ascii="仿宋" w:hAnsi="仿宋" w:eastAsia="仿宋"/>
          <w:color w:val="000000" w:themeColor="text1"/>
          <w:sz w:val="32"/>
          <w:szCs w:val="32"/>
          <w14:textFill>
            <w14:solidFill>
              <w14:schemeClr w14:val="tx1"/>
            </w14:solidFill>
          </w14:textFill>
        </w:rPr>
        <w:t>聚焦政府隐形债务、公共资金使用等重点领域，加强审计监督，</w:t>
      </w:r>
      <w:r>
        <w:rPr>
          <w:rFonts w:ascii="仿宋" w:hAnsi="仿宋" w:eastAsia="仿宋"/>
          <w:sz w:val="32"/>
          <w:szCs w:val="32"/>
        </w:rPr>
        <w:t>完成经济责任</w:t>
      </w:r>
      <w:r>
        <w:rPr>
          <w:rFonts w:hint="eastAsia" w:ascii="仿宋" w:hAnsi="仿宋" w:eastAsia="仿宋"/>
          <w:sz w:val="32"/>
          <w:szCs w:val="32"/>
        </w:rPr>
        <w:t>、</w:t>
      </w:r>
      <w:r>
        <w:rPr>
          <w:rFonts w:ascii="仿宋" w:hAnsi="仿宋" w:eastAsia="仿宋"/>
          <w:sz w:val="32"/>
          <w:szCs w:val="32"/>
        </w:rPr>
        <w:t>财务收支</w:t>
      </w:r>
      <w:r>
        <w:rPr>
          <w:rFonts w:hint="eastAsia" w:ascii="仿宋" w:hAnsi="仿宋" w:eastAsia="仿宋"/>
          <w:sz w:val="32"/>
          <w:szCs w:val="32"/>
        </w:rPr>
        <w:t>、</w:t>
      </w:r>
      <w:r>
        <w:rPr>
          <w:rFonts w:ascii="仿宋" w:hAnsi="仿宋" w:eastAsia="仿宋"/>
          <w:sz w:val="32"/>
          <w:szCs w:val="32"/>
        </w:rPr>
        <w:t>重点工程</w:t>
      </w:r>
      <w:r>
        <w:rPr>
          <w:rFonts w:hint="eastAsia" w:ascii="仿宋" w:hAnsi="仿宋" w:eastAsia="仿宋"/>
          <w:sz w:val="32"/>
          <w:szCs w:val="32"/>
        </w:rPr>
        <w:t>等</w:t>
      </w:r>
      <w:r>
        <w:rPr>
          <w:rFonts w:ascii="仿宋" w:hAnsi="仿宋" w:eastAsia="仿宋"/>
          <w:sz w:val="32"/>
          <w:szCs w:val="32"/>
        </w:rPr>
        <w:t>审计项目</w:t>
      </w:r>
      <w:r>
        <w:rPr>
          <w:rFonts w:hint="eastAsia" w:ascii="仿宋" w:hAnsi="仿宋" w:eastAsia="仿宋"/>
          <w:sz w:val="32"/>
          <w:szCs w:val="32"/>
        </w:rPr>
        <w:t>19</w:t>
      </w:r>
      <w:r>
        <w:rPr>
          <w:rFonts w:ascii="仿宋" w:hAnsi="仿宋" w:eastAsia="仿宋"/>
          <w:sz w:val="32"/>
          <w:szCs w:val="32"/>
        </w:rPr>
        <w:t>项</w:t>
      </w:r>
      <w:r>
        <w:rPr>
          <w:rFonts w:hint="eastAsia" w:ascii="仿宋" w:hAnsi="仿宋" w:eastAsia="仿宋"/>
          <w:sz w:val="32"/>
          <w:szCs w:val="32"/>
        </w:rPr>
        <w:t>，落实83条审计问题</w:t>
      </w:r>
      <w:r>
        <w:rPr>
          <w:rFonts w:ascii="仿宋" w:hAnsi="仿宋" w:eastAsia="仿宋"/>
          <w:sz w:val="32"/>
          <w:szCs w:val="32"/>
        </w:rPr>
        <w:t>整改</w:t>
      </w:r>
      <w:r>
        <w:rPr>
          <w:rFonts w:hint="eastAsia" w:ascii="仿宋" w:hAnsi="仿宋" w:eastAsia="仿宋"/>
          <w:sz w:val="32"/>
          <w:szCs w:val="32"/>
        </w:rPr>
        <w:t>评价</w:t>
      </w:r>
      <w:r>
        <w:rPr>
          <w:rFonts w:ascii="仿宋" w:hAnsi="仿宋" w:eastAsia="仿宋"/>
          <w:sz w:val="32"/>
          <w:szCs w:val="32"/>
        </w:rPr>
        <w:t>。</w:t>
      </w:r>
      <w:r>
        <w:rPr>
          <w:rFonts w:hint="eastAsia" w:ascii="仿宋" w:hAnsi="仿宋" w:eastAsia="仿宋"/>
          <w:sz w:val="32"/>
          <w:szCs w:val="32"/>
        </w:rPr>
        <w:t>完善镇国有资产租赁定价和登记入账等相关制度，推进国有资产管理更加规范化、制度化</w:t>
      </w:r>
      <w:r>
        <w:rPr>
          <w:rFonts w:ascii="仿宋" w:hAnsi="仿宋" w:eastAsia="仿宋"/>
          <w:sz w:val="32"/>
          <w:szCs w:val="32"/>
        </w:rPr>
        <w:t>。</w:t>
      </w:r>
      <w:r>
        <w:rPr>
          <w:rFonts w:hint="eastAsia" w:ascii="仿宋" w:hAnsi="仿宋" w:eastAsia="仿宋"/>
          <w:sz w:val="32"/>
          <w:szCs w:val="32"/>
        </w:rPr>
        <w:t>坚持习惯过“紧日子”的要求，严格预算支出，压减非急需、非刚性支出，严格控制政府机关运行成本。将党风廉政建设贯穿政府工作全过程，开展谈心谈话，以零容忍的态度，依法查处各类违法违纪案件。通过严肃的执纪问责，一体推进不敢腐、不能腐、不想腐，不断营造风清气正的政治生态。</w:t>
      </w:r>
    </w:p>
    <w:p w14:paraId="2F4896AE">
      <w:pPr>
        <w:snapToGrid w:val="0"/>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14:paraId="4A073769">
      <w:pPr>
        <w:snapToGrid w:val="0"/>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此</w:t>
      </w:r>
      <w:r>
        <w:rPr>
          <w:rFonts w:ascii="仿宋" w:hAnsi="仿宋" w:eastAsia="仿宋"/>
          <w:color w:val="000000" w:themeColor="text1"/>
          <w:sz w:val="32"/>
          <w:szCs w:val="32"/>
          <w14:textFill>
            <w14:solidFill>
              <w14:schemeClr w14:val="tx1"/>
            </w14:solidFill>
          </w14:textFill>
        </w:rPr>
        <w:t>外，</w:t>
      </w:r>
      <w:r>
        <w:rPr>
          <w:rFonts w:hint="eastAsia" w:ascii="仿宋" w:hAnsi="仿宋" w:eastAsia="仿宋"/>
          <w:color w:val="000000" w:themeColor="text1"/>
          <w:sz w:val="32"/>
          <w:szCs w:val="32"/>
          <w14:textFill>
            <w14:solidFill>
              <w14:schemeClr w14:val="tx1"/>
            </w14:solidFill>
          </w14:textFill>
        </w:rPr>
        <w:t>国防动员和后备力量建设全面加强、民族宗教、外事侨务、地方志等工作取得新进步，统计、信息化、老龄、档案、妇女儿童、残联等工作迈上新台阶。</w:t>
      </w:r>
    </w:p>
    <w:p w14:paraId="3EEB7002">
      <w:pPr>
        <w:snapToGrid w:val="0"/>
        <w:spacing w:line="600" w:lineRule="exact"/>
        <w:ind w:firstLine="640" w:firstLineChars="200"/>
        <w:rPr>
          <w:rFonts w:hint="eastAsia" w:ascii="仿宋" w:hAnsi="仿宋" w:eastAsia="仿宋"/>
          <w:color w:val="000000"/>
          <w:sz w:val="32"/>
          <w:szCs w:val="32"/>
        </w:rPr>
      </w:pPr>
    </w:p>
    <w:p w14:paraId="64197AE9">
      <w:pPr>
        <w:snapToGrid w:val="0"/>
        <w:spacing w:line="600" w:lineRule="exact"/>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各位代表，一木难成林，众志方成城。一年来的工作殊为不易，我们以“日拱一卒，功不唐捐”之力，逐步摆脱疫情影响，向常态化运行轨道回归，总体上持续恢复向好，取得了来之不易的成绩。这些成绩的取得，是区委、区政府和镇党委正确领导、科学决策的结果，是镇人大建言献策、监督支持的结果，更是广大干部群众锐意进取、团结拼搏的结果。</w:t>
      </w:r>
      <w:r>
        <w:rPr>
          <w:rFonts w:ascii="仿宋" w:hAnsi="仿宋" w:eastAsia="仿宋"/>
          <w:color w:val="000000"/>
          <w:sz w:val="32"/>
          <w:szCs w:val="32"/>
        </w:rPr>
        <w:t>在</w:t>
      </w:r>
      <w:r>
        <w:rPr>
          <w:rFonts w:hint="eastAsia" w:ascii="仿宋" w:hAnsi="仿宋" w:eastAsia="仿宋"/>
          <w:color w:val="000000"/>
          <w:sz w:val="32"/>
          <w:szCs w:val="32"/>
        </w:rPr>
        <w:t>此</w:t>
      </w:r>
      <w:r>
        <w:rPr>
          <w:rFonts w:ascii="仿宋" w:hAnsi="仿宋" w:eastAsia="仿宋"/>
          <w:color w:val="000000"/>
          <w:sz w:val="32"/>
          <w:szCs w:val="32"/>
        </w:rPr>
        <w:t>，我代表</w:t>
      </w:r>
      <w:r>
        <w:rPr>
          <w:rFonts w:hint="eastAsia" w:ascii="仿宋" w:hAnsi="仿宋" w:eastAsia="仿宋"/>
          <w:color w:val="000000"/>
          <w:sz w:val="32"/>
          <w:szCs w:val="32"/>
        </w:rPr>
        <w:t>梅</w:t>
      </w:r>
      <w:r>
        <w:rPr>
          <w:rFonts w:ascii="仿宋" w:hAnsi="仿宋" w:eastAsia="仿宋"/>
          <w:color w:val="000000"/>
          <w:sz w:val="32"/>
          <w:szCs w:val="32"/>
        </w:rPr>
        <w:t>陇镇人民政府，</w:t>
      </w:r>
      <w:r>
        <w:rPr>
          <w:rFonts w:hint="eastAsia" w:ascii="仿宋" w:hAnsi="仿宋" w:eastAsia="仿宋"/>
          <w:color w:val="000000"/>
          <w:sz w:val="32"/>
          <w:szCs w:val="32"/>
        </w:rPr>
        <w:t>向</w:t>
      </w:r>
      <w:r>
        <w:rPr>
          <w:rFonts w:ascii="仿宋" w:hAnsi="仿宋" w:eastAsia="仿宋"/>
          <w:color w:val="000000"/>
          <w:sz w:val="32"/>
          <w:szCs w:val="32"/>
        </w:rPr>
        <w:t>全镇人民</w:t>
      </w:r>
      <w:r>
        <w:rPr>
          <w:rFonts w:hint="eastAsia" w:ascii="仿宋" w:hAnsi="仿宋" w:eastAsia="仿宋"/>
          <w:color w:val="000000"/>
          <w:sz w:val="32"/>
          <w:szCs w:val="32"/>
        </w:rPr>
        <w:t>，向各位</w:t>
      </w:r>
      <w:r>
        <w:rPr>
          <w:rFonts w:ascii="仿宋" w:hAnsi="仿宋" w:eastAsia="仿宋"/>
          <w:color w:val="000000"/>
          <w:sz w:val="32"/>
          <w:szCs w:val="32"/>
        </w:rPr>
        <w:t>人大代表</w:t>
      </w:r>
      <w:r>
        <w:rPr>
          <w:rFonts w:hint="eastAsia" w:ascii="仿宋" w:hAnsi="仿宋" w:eastAsia="仿宋"/>
          <w:color w:val="000000"/>
          <w:sz w:val="32"/>
          <w:szCs w:val="32"/>
        </w:rPr>
        <w:t>，向</w:t>
      </w:r>
      <w:r>
        <w:rPr>
          <w:rFonts w:ascii="仿宋" w:hAnsi="仿宋" w:eastAsia="仿宋"/>
          <w:color w:val="000000"/>
          <w:sz w:val="32"/>
          <w:szCs w:val="32"/>
        </w:rPr>
        <w:t>各民主党派、人民团体和各界人士，向</w:t>
      </w:r>
      <w:r>
        <w:rPr>
          <w:rFonts w:hint="eastAsia" w:ascii="仿宋" w:hAnsi="仿宋" w:eastAsia="仿宋"/>
          <w:color w:val="000000"/>
          <w:sz w:val="32"/>
          <w:szCs w:val="32"/>
        </w:rPr>
        <w:t>所有</w:t>
      </w:r>
      <w:r>
        <w:rPr>
          <w:rFonts w:ascii="仿宋" w:hAnsi="仿宋" w:eastAsia="仿宋"/>
          <w:color w:val="000000"/>
          <w:sz w:val="32"/>
          <w:szCs w:val="32"/>
        </w:rPr>
        <w:t>关心、支持、参与梅陇建设发展的</w:t>
      </w:r>
      <w:r>
        <w:rPr>
          <w:rFonts w:hint="eastAsia" w:ascii="仿宋" w:hAnsi="仿宋" w:eastAsia="仿宋"/>
          <w:color w:val="000000"/>
          <w:sz w:val="32"/>
          <w:szCs w:val="32"/>
        </w:rPr>
        <w:t>朋友们</w:t>
      </w:r>
      <w:r>
        <w:rPr>
          <w:rFonts w:ascii="仿宋" w:hAnsi="仿宋" w:eastAsia="仿宋"/>
          <w:color w:val="000000"/>
          <w:sz w:val="32"/>
          <w:szCs w:val="32"/>
        </w:rPr>
        <w:t>，表示最衷心的感谢！</w:t>
      </w:r>
      <w:r>
        <w:rPr>
          <w:rFonts w:hint="eastAsia" w:ascii="仿宋" w:hAnsi="仿宋" w:eastAsia="仿宋"/>
          <w:color w:val="000000"/>
          <w:sz w:val="32"/>
          <w:szCs w:val="32"/>
        </w:rPr>
        <w:t xml:space="preserve"> </w:t>
      </w:r>
    </w:p>
    <w:p w14:paraId="42DB6A6D">
      <w:pPr>
        <w:spacing w:line="600" w:lineRule="exact"/>
        <w:ind w:firstLine="641"/>
        <w:rPr>
          <w:rFonts w:hint="eastAsia" w:ascii="仿宋" w:hAnsi="仿宋" w:eastAsia="仿宋"/>
          <w:sz w:val="32"/>
          <w:szCs w:val="32"/>
        </w:rPr>
      </w:pPr>
      <w:r>
        <w:rPr>
          <w:rFonts w:hint="eastAsia" w:ascii="仿宋" w:hAnsi="仿宋" w:eastAsia="仿宋"/>
          <w:color w:val="000000"/>
          <w:sz w:val="32"/>
          <w:szCs w:val="32"/>
        </w:rPr>
        <w:t>各位</w:t>
      </w:r>
      <w:r>
        <w:rPr>
          <w:rFonts w:ascii="仿宋" w:hAnsi="仿宋" w:eastAsia="仿宋"/>
          <w:color w:val="000000"/>
          <w:sz w:val="32"/>
          <w:szCs w:val="32"/>
        </w:rPr>
        <w:t>代表，</w:t>
      </w:r>
      <w:r>
        <w:rPr>
          <w:rFonts w:hint="eastAsia" w:ascii="仿宋" w:hAnsi="仿宋" w:eastAsia="仿宋"/>
          <w:color w:val="000000"/>
          <w:sz w:val="32"/>
          <w:szCs w:val="32"/>
        </w:rPr>
        <w:t>思危方能居安，知忧才能克难。在肯定成绩的同时，我们也清醒认识到</w:t>
      </w:r>
      <w:r>
        <w:rPr>
          <w:rFonts w:ascii="仿宋" w:hAnsi="仿宋" w:eastAsia="仿宋"/>
          <w:color w:val="000000"/>
          <w:sz w:val="32"/>
          <w:szCs w:val="32"/>
        </w:rPr>
        <w:t>，</w:t>
      </w:r>
      <w:r>
        <w:rPr>
          <w:rFonts w:hint="eastAsia" w:ascii="仿宋" w:hAnsi="仿宋" w:eastAsia="仿宋"/>
          <w:color w:val="000000"/>
          <w:sz w:val="32"/>
          <w:szCs w:val="32"/>
        </w:rPr>
        <w:t>在</w:t>
      </w:r>
      <w:r>
        <w:rPr>
          <w:rFonts w:ascii="仿宋" w:hAnsi="仿宋" w:eastAsia="仿宋"/>
          <w:color w:val="000000"/>
          <w:sz w:val="32"/>
          <w:szCs w:val="32"/>
        </w:rPr>
        <w:t>实现高</w:t>
      </w:r>
      <w:r>
        <w:rPr>
          <w:rFonts w:hint="eastAsia" w:ascii="仿宋" w:hAnsi="仿宋" w:eastAsia="仿宋"/>
          <w:color w:val="000000"/>
          <w:sz w:val="32"/>
          <w:szCs w:val="32"/>
        </w:rPr>
        <w:t>质量</w:t>
      </w:r>
      <w:r>
        <w:rPr>
          <w:rFonts w:ascii="仿宋" w:hAnsi="仿宋" w:eastAsia="仿宋"/>
          <w:color w:val="000000"/>
          <w:sz w:val="32"/>
          <w:szCs w:val="32"/>
        </w:rPr>
        <w:t>跨越式发展的前进道路上，梅陇</w:t>
      </w:r>
      <w:r>
        <w:rPr>
          <w:rFonts w:hint="eastAsia" w:ascii="仿宋" w:hAnsi="仿宋" w:eastAsia="仿宋"/>
          <w:color w:val="000000"/>
          <w:sz w:val="32"/>
          <w:szCs w:val="32"/>
        </w:rPr>
        <w:t>仍然面临着诸多困难和挑战：产业结构不优、体量不大、层级不高，传统产业“小散化”“同质化”问题突出，新兴产业发展壮大尚需时日，财源培育、产业支撑还需加力；营商环境和市场主体与人民群众的期盼还存在一些差距，“成本贵”“用工难”等要素制约依旧明晰；城市管理不精细不到位，公共服务领域存在诸多短板，城乡发展不充分不协调问题亟待进一步破解；部分干部担当精神、服务意识、法治思维、专业素养不足，执行力、攻坚力还需进一步提升。对于上述问题，我们一定要高度重视，采取有力措施加以解决，决</w:t>
      </w:r>
      <w:r>
        <w:rPr>
          <w:rFonts w:ascii="仿宋" w:hAnsi="仿宋" w:eastAsia="仿宋"/>
          <w:color w:val="000000"/>
          <w:sz w:val="32"/>
          <w:szCs w:val="32"/>
        </w:rPr>
        <w:t>不辜负全</w:t>
      </w:r>
      <w:r>
        <w:rPr>
          <w:rFonts w:hint="eastAsia" w:ascii="仿宋" w:hAnsi="仿宋" w:eastAsia="仿宋"/>
          <w:color w:val="000000"/>
          <w:sz w:val="32"/>
          <w:szCs w:val="32"/>
        </w:rPr>
        <w:t>镇</w:t>
      </w:r>
      <w:r>
        <w:rPr>
          <w:rFonts w:ascii="仿宋" w:hAnsi="仿宋" w:eastAsia="仿宋"/>
          <w:color w:val="000000"/>
          <w:sz w:val="32"/>
          <w:szCs w:val="32"/>
        </w:rPr>
        <w:t>人民的期望和重托。</w:t>
      </w:r>
    </w:p>
    <w:p w14:paraId="4C0177E0">
      <w:pPr>
        <w:snapToGrid w:val="0"/>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14:paraId="6081D50B">
      <w:pPr>
        <w:snapToGrid w:val="0"/>
        <w:spacing w:line="600" w:lineRule="exact"/>
        <w:jc w:val="center"/>
        <w:rPr>
          <w:rFonts w:hint="eastAsia" w:ascii="黑体" w:hAnsi="黑体" w:eastAsia="黑体"/>
          <w:color w:val="000000" w:themeColor="text1"/>
          <w:sz w:val="36"/>
          <w:szCs w:val="36"/>
          <w14:textFill>
            <w14:solidFill>
              <w14:schemeClr w14:val="tx1"/>
            </w14:solidFill>
          </w14:textFill>
        </w:rPr>
      </w:pPr>
      <w:r>
        <w:rPr>
          <w:rFonts w:hint="eastAsia" w:ascii="黑体" w:hAnsi="黑体" w:eastAsia="黑体"/>
          <w:color w:val="000000" w:themeColor="text1"/>
          <w:sz w:val="36"/>
          <w:szCs w:val="36"/>
          <w14:textFill>
            <w14:solidFill>
              <w14:schemeClr w14:val="tx1"/>
            </w14:solidFill>
          </w14:textFill>
        </w:rPr>
        <w:t>2</w:t>
      </w:r>
      <w:r>
        <w:rPr>
          <w:rFonts w:ascii="黑体" w:hAnsi="黑体" w:eastAsia="黑体"/>
          <w:color w:val="000000" w:themeColor="text1"/>
          <w:sz w:val="36"/>
          <w:szCs w:val="36"/>
          <w14:textFill>
            <w14:solidFill>
              <w14:schemeClr w14:val="tx1"/>
            </w14:solidFill>
          </w14:textFill>
        </w:rPr>
        <w:t>02</w:t>
      </w:r>
      <w:r>
        <w:rPr>
          <w:rFonts w:hint="eastAsia" w:ascii="黑体" w:hAnsi="黑体" w:eastAsia="黑体"/>
          <w:color w:val="000000" w:themeColor="text1"/>
          <w:sz w:val="36"/>
          <w:szCs w:val="36"/>
          <w14:textFill>
            <w14:solidFill>
              <w14:schemeClr w14:val="tx1"/>
            </w14:solidFill>
          </w14:textFill>
        </w:rPr>
        <w:t>5年主要</w:t>
      </w:r>
      <w:r>
        <w:rPr>
          <w:rFonts w:ascii="黑体" w:hAnsi="黑体" w:eastAsia="黑体"/>
          <w:color w:val="000000" w:themeColor="text1"/>
          <w:sz w:val="36"/>
          <w:szCs w:val="36"/>
          <w14:textFill>
            <w14:solidFill>
              <w14:schemeClr w14:val="tx1"/>
            </w14:solidFill>
          </w14:textFill>
        </w:rPr>
        <w:t>任务</w:t>
      </w:r>
    </w:p>
    <w:p w14:paraId="75A9F156">
      <w:pPr>
        <w:snapToGrid w:val="0"/>
        <w:spacing w:line="600" w:lineRule="exact"/>
        <w:jc w:val="center"/>
        <w:rPr>
          <w:rFonts w:hint="eastAsia" w:ascii="黑体" w:hAnsi="黑体" w:eastAsia="黑体"/>
          <w:color w:val="000000" w:themeColor="text1"/>
          <w:sz w:val="32"/>
          <w:szCs w:val="32"/>
          <w14:textFill>
            <w14:solidFill>
              <w14:schemeClr w14:val="tx1"/>
            </w14:solidFill>
          </w14:textFill>
        </w:rPr>
      </w:pPr>
    </w:p>
    <w:p w14:paraId="3C71D33C">
      <w:pPr>
        <w:snapToGrid w:val="0"/>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r>
        <w:rPr>
          <w:rFonts w:ascii="仿宋" w:hAnsi="仿宋" w:eastAsia="仿宋"/>
          <w:color w:val="000000" w:themeColor="text1"/>
          <w:sz w:val="32"/>
          <w:szCs w:val="32"/>
          <w14:textFill>
            <w14:solidFill>
              <w14:schemeClr w14:val="tx1"/>
            </w14:solidFill>
          </w14:textFill>
        </w:rPr>
        <w:t>202</w:t>
      </w:r>
      <w:r>
        <w:rPr>
          <w:rFonts w:hint="eastAsia" w:ascii="仿宋" w:hAnsi="仿宋" w:eastAsia="仿宋"/>
          <w:color w:val="000000" w:themeColor="text1"/>
          <w:sz w:val="32"/>
          <w:szCs w:val="32"/>
          <w14:textFill>
            <w14:solidFill>
              <w14:schemeClr w14:val="tx1"/>
            </w14:solidFill>
          </w14:textFill>
        </w:rPr>
        <w:t>5</w:t>
      </w:r>
      <w:r>
        <w:rPr>
          <w:rFonts w:ascii="仿宋" w:hAnsi="仿宋" w:eastAsia="仿宋"/>
          <w:color w:val="000000" w:themeColor="text1"/>
          <w:sz w:val="32"/>
          <w:szCs w:val="32"/>
          <w14:textFill>
            <w14:solidFill>
              <w14:schemeClr w14:val="tx1"/>
            </w14:solidFill>
          </w14:textFill>
        </w:rPr>
        <w:t>年</w:t>
      </w:r>
      <w:r>
        <w:rPr>
          <w:rFonts w:hint="eastAsia" w:ascii="仿宋" w:hAnsi="仿宋" w:eastAsia="仿宋"/>
          <w:color w:val="000000" w:themeColor="text1"/>
          <w:sz w:val="32"/>
          <w:szCs w:val="32"/>
          <w14:textFill>
            <w14:solidFill>
              <w14:schemeClr w14:val="tx1"/>
            </w14:solidFill>
          </w14:textFill>
        </w:rPr>
        <w:t>是实施“十四五”规划的收官之年。我们要以习近平新时代中国特色社会主义思想为指导，深入贯彻落实习近平总书记考察上海重要讲话精神和对闵行工作的重要指示要求，全面贯彻落实党的二十大和二十届二中、三中全会精神，按照区委区</w:t>
      </w:r>
      <w:r>
        <w:rPr>
          <w:rFonts w:ascii="仿宋" w:hAnsi="仿宋" w:eastAsia="仿宋"/>
          <w:color w:val="000000" w:themeColor="text1"/>
          <w:sz w:val="32"/>
          <w:szCs w:val="32"/>
          <w14:textFill>
            <w14:solidFill>
              <w14:schemeClr w14:val="tx1"/>
            </w14:solidFill>
          </w14:textFill>
        </w:rPr>
        <w:t>政府和镇党委</w:t>
      </w:r>
      <w:r>
        <w:rPr>
          <w:rFonts w:hint="eastAsia" w:ascii="仿宋" w:hAnsi="仿宋" w:eastAsia="仿宋"/>
          <w:color w:val="000000" w:themeColor="text1"/>
          <w:sz w:val="32"/>
          <w:szCs w:val="32"/>
          <w14:textFill>
            <w14:solidFill>
              <w14:schemeClr w14:val="tx1"/>
            </w14:solidFill>
          </w14:textFill>
        </w:rPr>
        <w:t>的决策部署，坚持稳中求进工作总基调，完整、准确、全面贯彻新发展理念，服务构建新发展格局，着力抓好高质量发展这个首要任务，</w:t>
      </w:r>
      <w:r>
        <w:rPr>
          <w:rFonts w:ascii="仿宋" w:hAnsi="仿宋" w:eastAsia="仿宋"/>
          <w:color w:val="000000" w:themeColor="text1"/>
          <w:sz w:val="32"/>
          <w:szCs w:val="32"/>
          <w14:textFill>
            <w14:solidFill>
              <w14:schemeClr w14:val="tx1"/>
            </w14:solidFill>
          </w14:textFill>
        </w:rPr>
        <w:t>为闵行加快创新开放、生态人文</w:t>
      </w:r>
      <w:r>
        <w:rPr>
          <w:rFonts w:hint="eastAsia" w:ascii="仿宋" w:hAnsi="仿宋" w:eastAsia="仿宋"/>
          <w:color w:val="000000" w:themeColor="text1"/>
          <w:sz w:val="32"/>
          <w:szCs w:val="32"/>
          <w14:textFill>
            <w14:solidFill>
              <w14:schemeClr w14:val="tx1"/>
            </w14:solidFill>
          </w14:textFill>
        </w:rPr>
        <w:t>、</w:t>
      </w:r>
      <w:r>
        <w:rPr>
          <w:rFonts w:ascii="仿宋" w:hAnsi="仿宋" w:eastAsia="仿宋"/>
          <w:color w:val="000000" w:themeColor="text1"/>
          <w:sz w:val="32"/>
          <w:szCs w:val="32"/>
          <w14:textFill>
            <w14:solidFill>
              <w14:schemeClr w14:val="tx1"/>
            </w14:solidFill>
          </w14:textFill>
        </w:rPr>
        <w:t>宜居安居的现代化主城区建设作出梅陇贡献。</w:t>
      </w:r>
    </w:p>
    <w:p w14:paraId="4F5B703F">
      <w:pPr>
        <w:snapToGrid w:val="0"/>
        <w:spacing w:line="600" w:lineRule="exact"/>
        <w:ind w:firstLine="640" w:firstLineChars="200"/>
        <w:rPr>
          <w:rFonts w:hint="eastAsia" w:ascii="楷体" w:hAnsi="楷体" w:eastAsia="楷体"/>
          <w:color w:val="000000"/>
          <w:sz w:val="32"/>
          <w:szCs w:val="32"/>
        </w:rPr>
      </w:pPr>
      <w:r>
        <w:rPr>
          <w:rFonts w:hint="eastAsia" w:ascii="楷体" w:hAnsi="楷体" w:eastAsia="楷体"/>
          <w:color w:val="000000"/>
          <w:sz w:val="32"/>
          <w:szCs w:val="32"/>
        </w:rPr>
        <w:t>综合</w:t>
      </w:r>
      <w:r>
        <w:rPr>
          <w:rFonts w:ascii="楷体" w:hAnsi="楷体" w:eastAsia="楷体"/>
          <w:color w:val="000000"/>
          <w:sz w:val="32"/>
          <w:szCs w:val="32"/>
        </w:rPr>
        <w:t>各方面因素，202</w:t>
      </w:r>
      <w:r>
        <w:rPr>
          <w:rFonts w:hint="eastAsia" w:ascii="楷体" w:hAnsi="楷体" w:eastAsia="楷体"/>
          <w:color w:val="000000"/>
          <w:sz w:val="32"/>
          <w:szCs w:val="32"/>
        </w:rPr>
        <w:t>5</w:t>
      </w:r>
      <w:r>
        <w:rPr>
          <w:rFonts w:ascii="楷体" w:hAnsi="楷体" w:eastAsia="楷体"/>
          <w:color w:val="000000"/>
          <w:sz w:val="32"/>
          <w:szCs w:val="32"/>
        </w:rPr>
        <w:t>年</w:t>
      </w:r>
      <w:r>
        <w:rPr>
          <w:rFonts w:hint="eastAsia" w:ascii="楷体" w:hAnsi="楷体" w:eastAsia="楷体"/>
          <w:color w:val="000000"/>
          <w:sz w:val="32"/>
          <w:szCs w:val="32"/>
        </w:rPr>
        <w:t>全</w:t>
      </w:r>
      <w:r>
        <w:rPr>
          <w:rFonts w:ascii="楷体" w:hAnsi="楷体" w:eastAsia="楷体"/>
          <w:color w:val="000000"/>
          <w:sz w:val="32"/>
          <w:szCs w:val="32"/>
        </w:rPr>
        <w:t>镇经济社会发展的</w:t>
      </w:r>
      <w:r>
        <w:rPr>
          <w:rFonts w:hint="eastAsia" w:ascii="楷体" w:hAnsi="楷体" w:eastAsia="楷体"/>
          <w:color w:val="000000"/>
          <w:sz w:val="32"/>
          <w:szCs w:val="32"/>
        </w:rPr>
        <w:t>主要预期</w:t>
      </w:r>
      <w:r>
        <w:rPr>
          <w:rFonts w:ascii="楷体" w:hAnsi="楷体" w:eastAsia="楷体"/>
          <w:color w:val="000000"/>
          <w:sz w:val="32"/>
          <w:szCs w:val="32"/>
        </w:rPr>
        <w:t>目标是：</w:t>
      </w:r>
      <w:r>
        <w:rPr>
          <w:rFonts w:hint="eastAsia" w:ascii="楷体" w:hAnsi="楷体" w:eastAsia="楷体"/>
          <w:color w:val="000000"/>
          <w:sz w:val="32"/>
          <w:szCs w:val="32"/>
        </w:rPr>
        <w:t>完成地区生产总值190亿元，同比增长5%；财政总收入</w:t>
      </w:r>
      <w:r>
        <w:rPr>
          <w:rFonts w:ascii="楷体" w:hAnsi="楷体" w:eastAsia="楷体"/>
          <w:color w:val="000000"/>
          <w:sz w:val="32"/>
          <w:szCs w:val="32"/>
        </w:rPr>
        <w:t>42.5</w:t>
      </w:r>
      <w:r>
        <w:rPr>
          <w:rFonts w:hint="eastAsia" w:ascii="楷体" w:hAnsi="楷体" w:eastAsia="楷体"/>
          <w:color w:val="000000"/>
          <w:sz w:val="32"/>
          <w:szCs w:val="32"/>
        </w:rPr>
        <w:t>亿元，税收收入</w:t>
      </w:r>
      <w:r>
        <w:rPr>
          <w:rFonts w:ascii="楷体" w:hAnsi="楷体" w:eastAsia="楷体"/>
          <w:color w:val="000000"/>
          <w:sz w:val="32"/>
          <w:szCs w:val="32"/>
        </w:rPr>
        <w:t>40.5</w:t>
      </w:r>
      <w:r>
        <w:rPr>
          <w:rFonts w:hint="eastAsia" w:ascii="楷体" w:hAnsi="楷体" w:eastAsia="楷体"/>
          <w:color w:val="000000"/>
          <w:sz w:val="32"/>
          <w:szCs w:val="32"/>
        </w:rPr>
        <w:t>亿元；完成新增内资企业1300家，内资注册资金25亿元，合同外资2亿美元，到位外资6600万美元。城镇登记失业人数控制在区下达目标以内，居民人均可支配收入增长与经济增长基本同步。单位增加值能耗下降率和主要污染物排放削减率达到区政府下达目标。</w:t>
      </w:r>
    </w:p>
    <w:p w14:paraId="73355887">
      <w:pPr>
        <w:snapToGrid w:val="0"/>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围绕上述目标，我们将重点抓好以下方面的工作：</w:t>
      </w:r>
    </w:p>
    <w:p w14:paraId="5233B7EE">
      <w:pPr>
        <w:numPr>
          <w:ilvl w:val="0"/>
          <w:numId w:val="1"/>
        </w:num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凝心聚力谋发展，加快形成新质生产力。</w:t>
      </w:r>
    </w:p>
    <w:p w14:paraId="518AF31E">
      <w:pPr>
        <w:snapToGrid w:val="0"/>
        <w:spacing w:line="600" w:lineRule="exact"/>
        <w:ind w:firstLine="643" w:firstLineChars="200"/>
        <w:rPr>
          <w:rFonts w:hint="eastAsia"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精准开展招商引资。</w:t>
      </w:r>
      <w:r>
        <w:rPr>
          <w:rFonts w:hint="eastAsia" w:ascii="仿宋" w:hAnsi="仿宋" w:eastAsia="仿宋" w:cs="仿宋"/>
          <w:sz w:val="32"/>
          <w:szCs w:val="32"/>
        </w:rPr>
        <w:t>用好用足产业链招商、科创金融招商、链主企业招商等形式，力争引入更多优质潜力企业。</w:t>
      </w:r>
      <w:r>
        <w:rPr>
          <w:rFonts w:ascii="仿宋" w:hAnsi="仿宋" w:eastAsia="仿宋"/>
          <w:sz w:val="32"/>
          <w:szCs w:val="32"/>
        </w:rPr>
        <w:t>继续做好小巨人企业、高新技术企业等项目申报工作，推动更多</w:t>
      </w:r>
      <w:r>
        <w:rPr>
          <w:rFonts w:hint="eastAsia" w:ascii="仿宋" w:hAnsi="仿宋" w:eastAsia="仿宋"/>
          <w:sz w:val="32"/>
          <w:szCs w:val="32"/>
        </w:rPr>
        <w:t>科技</w:t>
      </w:r>
      <w:r>
        <w:rPr>
          <w:rFonts w:ascii="仿宋" w:hAnsi="仿宋" w:eastAsia="仿宋"/>
          <w:sz w:val="32"/>
          <w:szCs w:val="32"/>
        </w:rPr>
        <w:t>创新成果落地梅陇。</w:t>
      </w:r>
      <w:r>
        <w:rPr>
          <w:rFonts w:hint="eastAsia" w:ascii="仿宋" w:hAnsi="仿宋" w:eastAsia="仿宋" w:cs="仿宋"/>
          <w:sz w:val="32"/>
          <w:szCs w:val="32"/>
        </w:rPr>
        <w:t>关注园区生态发展，尝试构建“产业发展、科技创新、生活配套、园区运营”于一体的综合服务保障体系。</w:t>
      </w:r>
      <w:r>
        <w:rPr>
          <w:rFonts w:hint="eastAsia" w:ascii="仿宋" w:hAnsi="仿宋" w:eastAsia="仿宋"/>
          <w:sz w:val="32"/>
          <w:szCs w:val="32"/>
        </w:rPr>
        <w:t>深化与华东理工大学共建合作关系，支持华理科创园区发展。</w:t>
      </w:r>
      <w:r>
        <w:rPr>
          <w:rFonts w:hint="eastAsia" w:ascii="仿宋" w:hAnsi="仿宋" w:eastAsia="仿宋" w:cs="仿宋"/>
          <w:sz w:val="32"/>
          <w:szCs w:val="32"/>
        </w:rPr>
        <w:t>开展“企服尖兵”系列培训和招商服务大比拼，提升企业服务能级。</w:t>
      </w:r>
    </w:p>
    <w:p w14:paraId="78EAB90B">
      <w:pPr>
        <w:snapToGrid w:val="0"/>
        <w:spacing w:line="600" w:lineRule="exact"/>
        <w:ind w:firstLine="643" w:firstLineChars="200"/>
        <w:rPr>
          <w:rFonts w:hint="eastAsia" w:ascii="楷体" w:hAnsi="楷体" w:eastAsia="楷体"/>
          <w:b/>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充分激发消费潜能。</w:t>
      </w:r>
      <w:r>
        <w:rPr>
          <w:rFonts w:hint="eastAsia" w:ascii="仿宋" w:hAnsi="仿宋" w:eastAsia="仿宋"/>
          <w:sz w:val="32"/>
          <w:szCs w:val="32"/>
        </w:rPr>
        <w:t>完善重点企业“服务包”制度，更大力度、更快速度解决企业反映的共性问题和个性需求。</w:t>
      </w:r>
      <w:r>
        <w:rPr>
          <w:rFonts w:ascii="仿宋" w:hAnsi="仿宋" w:eastAsia="仿宋"/>
          <w:sz w:val="32"/>
          <w:szCs w:val="32"/>
        </w:rPr>
        <w:t>大力发展活动经济，</w:t>
      </w:r>
      <w:r>
        <w:rPr>
          <w:rFonts w:hint="eastAsia" w:ascii="仿宋" w:hAnsi="仿宋" w:eastAsia="仿宋"/>
          <w:sz w:val="32"/>
          <w:szCs w:val="32"/>
        </w:rPr>
        <w:t>发挥进博会溢出效应和</w:t>
      </w:r>
      <w:r>
        <w:rPr>
          <w:rFonts w:ascii="仿宋" w:hAnsi="仿宋" w:eastAsia="仿宋"/>
          <w:sz w:val="32"/>
          <w:szCs w:val="32"/>
        </w:rPr>
        <w:t>文体消费拉动效应，</w:t>
      </w:r>
      <w:r>
        <w:rPr>
          <w:rFonts w:hint="eastAsia" w:ascii="仿宋" w:hAnsi="仿宋" w:eastAsia="仿宋"/>
          <w:sz w:val="32"/>
          <w:szCs w:val="32"/>
        </w:rPr>
        <w:t>增强各商圈联盟实力，开展各类消费主题活动。持续深化食品产业联盟运作，提升创新效能，不断扩大汽车行业联盟、生物医药产业集群影响力，促进梅陇产业联盟健康发展。开展“一镇一产业”特色质量强镇工作，推广卓越绩效模式，深化品牌培育。</w:t>
      </w:r>
    </w:p>
    <w:p w14:paraId="0A29C125">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做大做强乡村经济。</w:t>
      </w:r>
      <w:r>
        <w:rPr>
          <w:rFonts w:hint="eastAsia" w:ascii="仿宋" w:hAnsi="仿宋" w:eastAsia="仿宋"/>
          <w:sz w:val="32"/>
          <w:szCs w:val="32"/>
        </w:rPr>
        <w:t>扎实</w:t>
      </w:r>
      <w:r>
        <w:rPr>
          <w:rFonts w:ascii="仿宋" w:hAnsi="仿宋" w:eastAsia="仿宋"/>
          <w:sz w:val="32"/>
          <w:szCs w:val="32"/>
        </w:rPr>
        <w:t>推进“</w:t>
      </w:r>
      <w:r>
        <w:rPr>
          <w:rFonts w:hint="eastAsia" w:ascii="仿宋" w:hAnsi="仿宋" w:eastAsia="仿宋"/>
          <w:sz w:val="32"/>
          <w:szCs w:val="32"/>
        </w:rPr>
        <w:t>百村净美</w:t>
      </w:r>
      <w:r>
        <w:rPr>
          <w:rFonts w:ascii="仿宋" w:hAnsi="仿宋" w:eastAsia="仿宋"/>
          <w:sz w:val="32"/>
          <w:szCs w:val="32"/>
        </w:rPr>
        <w:t>”</w:t>
      </w:r>
      <w:r>
        <w:rPr>
          <w:rFonts w:hint="eastAsia" w:ascii="仿宋" w:hAnsi="仿宋" w:eastAsia="仿宋"/>
          <w:sz w:val="32"/>
          <w:szCs w:val="32"/>
        </w:rPr>
        <w:t>专项行动，开展“美丽庭院”创建活动，切实提升农村生态宜居环境。</w:t>
      </w:r>
      <w:r>
        <w:rPr>
          <w:rFonts w:hint="eastAsia" w:ascii="仿宋" w:hAnsi="仿宋" w:eastAsia="仿宋" w:cs="仿宋"/>
          <w:sz w:val="32"/>
          <w:szCs w:val="32"/>
        </w:rPr>
        <w:t>落实“</w:t>
      </w:r>
      <w:r>
        <w:rPr>
          <w:rFonts w:ascii="仿宋" w:hAnsi="仿宋" w:eastAsia="仿宋" w:cs="仿宋"/>
          <w:sz w:val="32"/>
          <w:szCs w:val="32"/>
        </w:rPr>
        <w:t>三资”全</w:t>
      </w:r>
      <w:r>
        <w:rPr>
          <w:rFonts w:hint="eastAsia" w:ascii="仿宋" w:hAnsi="仿宋" w:eastAsia="仿宋" w:cs="仿宋"/>
          <w:sz w:val="32"/>
          <w:szCs w:val="32"/>
        </w:rPr>
        <w:t>闭环</w:t>
      </w:r>
      <w:r>
        <w:rPr>
          <w:rFonts w:ascii="仿宋" w:hAnsi="仿宋" w:eastAsia="仿宋" w:cs="仿宋"/>
          <w:sz w:val="32"/>
          <w:szCs w:val="32"/>
        </w:rPr>
        <w:t>管理，形成业态</w:t>
      </w:r>
      <w:r>
        <w:rPr>
          <w:rFonts w:hint="eastAsia" w:ascii="仿宋" w:hAnsi="仿宋" w:eastAsia="仿宋" w:cs="仿宋"/>
          <w:sz w:val="32"/>
          <w:szCs w:val="32"/>
        </w:rPr>
        <w:t>业态管控、指导价、租税联动和收缴率等同步纳管。村级园区试点合同管理、产业分析、落税支持、物业服务等镇村联动园区一体化管理形态。</w:t>
      </w:r>
      <w:r>
        <w:rPr>
          <w:rFonts w:hint="eastAsia" w:ascii="仿宋" w:hAnsi="仿宋" w:eastAsia="仿宋"/>
          <w:sz w:val="32"/>
          <w:szCs w:val="32"/>
        </w:rPr>
        <w:t>积极探索集体经济发展方向，重点推进曹中地块智造空间项目，有序推进集心体育产业园，加快培植村集体经济造血功能。</w:t>
      </w:r>
    </w:p>
    <w:p w14:paraId="5F7414F4">
      <w:pPr>
        <w:numPr>
          <w:ilvl w:val="0"/>
          <w:numId w:val="1"/>
        </w:num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建管并重提品质，用心打造宜居城市。</w:t>
      </w:r>
    </w:p>
    <w:p w14:paraId="27718D10">
      <w:pPr>
        <w:snapToGrid w:val="0"/>
        <w:spacing w:line="600" w:lineRule="exact"/>
        <w:ind w:firstLine="643" w:firstLineChars="200"/>
        <w:rPr>
          <w:rFonts w:hint="eastAsia"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加快项目转型建设。</w:t>
      </w:r>
      <w:r>
        <w:rPr>
          <w:rFonts w:hint="eastAsia" w:ascii="仿宋" w:hAnsi="仿宋" w:eastAsia="仿宋"/>
          <w:sz w:val="32"/>
          <w:szCs w:val="32"/>
        </w:rPr>
        <w:t>加强顶层设计，全面启动“十五五”规划编制工作。</w:t>
      </w:r>
      <w:r>
        <w:rPr>
          <w:rFonts w:hint="eastAsia" w:ascii="仿宋" w:hAnsi="仿宋" w:eastAsia="仿宋" w:cs="仿宋"/>
          <w:sz w:val="32"/>
          <w:szCs w:val="32"/>
        </w:rPr>
        <w:t>高品质建设</w:t>
      </w:r>
      <w:r>
        <w:rPr>
          <w:rFonts w:hint="eastAsia" w:ascii="仿宋" w:hAnsi="仿宋" w:eastAsia="仿宋"/>
          <w:sz w:val="32"/>
          <w:szCs w:val="32"/>
        </w:rPr>
        <w:t>漕河泾梅陇科技绿洲一期和钦驰项目。</w:t>
      </w:r>
      <w:r>
        <w:rPr>
          <w:rFonts w:hint="eastAsia" w:ascii="仿宋" w:hAnsi="仿宋" w:eastAsia="仿宋" w:cs="仿宋"/>
          <w:sz w:val="32"/>
          <w:szCs w:val="32"/>
        </w:rPr>
        <w:t>稳步开展城市有机更新，持续推进立波宾馆更新改造，加速朱行商业地块、漕河泾科技绿洲</w:t>
      </w:r>
      <w:r>
        <w:rPr>
          <w:rFonts w:hint="eastAsia" w:ascii="微软雅黑" w:hAnsi="微软雅黑" w:eastAsia="微软雅黑" w:cs="微软雅黑"/>
          <w:sz w:val="32"/>
          <w:szCs w:val="32"/>
        </w:rPr>
        <w:t>•</w:t>
      </w:r>
      <w:r>
        <w:rPr>
          <w:rFonts w:hint="eastAsia" w:ascii="仿宋" w:hAnsi="仿宋" w:eastAsia="仿宋" w:cs="仿宋"/>
          <w:sz w:val="32"/>
          <w:szCs w:val="32"/>
        </w:rPr>
        <w:t>梅陇新中心、澳辉集团总部基地项目土地出让。加快动迁力度，全面启动朱行城中村土地征收工作。科学推进控制性详细规划编制，加快推进永联、曹中城中村改造项目方案认定；完成漕宝路地块土地收储；加快推进梅陇大居、莲申房产、民建工业地块等项目土地收储前期工作。</w:t>
      </w:r>
    </w:p>
    <w:p w14:paraId="59E31073">
      <w:pPr>
        <w:spacing w:line="600" w:lineRule="exact"/>
        <w:ind w:firstLine="643" w:firstLineChars="200"/>
        <w:rPr>
          <w:rFonts w:hint="eastAsia" w:ascii="仿宋" w:hAnsi="仿宋" w:eastAsia="仿宋"/>
          <w:sz w:val="32"/>
          <w:szCs w:val="32"/>
        </w:rPr>
      </w:pPr>
      <w:r>
        <w:rPr>
          <w:rFonts w:hint="eastAsia" w:ascii="楷体" w:hAnsi="楷体" w:eastAsia="楷体"/>
          <w:b/>
          <w:color w:val="000000" w:themeColor="text1"/>
          <w:sz w:val="32"/>
          <w:szCs w:val="32"/>
          <w14:textFill>
            <w14:solidFill>
              <w14:schemeClr w14:val="tx1"/>
            </w14:solidFill>
          </w14:textFill>
        </w:rPr>
        <w:t>提档升级基础设施。</w:t>
      </w:r>
      <w:r>
        <w:rPr>
          <w:rFonts w:hint="eastAsia" w:ascii="仿宋" w:hAnsi="仿宋" w:eastAsia="仿宋" w:cs="仿宋"/>
          <w:sz w:val="32"/>
          <w:szCs w:val="32"/>
        </w:rPr>
        <w:t>积极配合推进轨交19、23号线、漕宝路快速化改造等市、区重大工程项目建设。全力保障动迁安置房和商品房建设，加快推进辰香苑、建发璟苑、绿城沁兰园、朗拾花语等项目竣工交付。进一步完善交通路网，加快5条住宅配套道路建设和8条规划道路前期手续办理，完成墨江路大修工程。夯实城市基础设施配套，制定优化积水较严重道路雨污</w:t>
      </w:r>
      <w:r>
        <w:rPr>
          <w:rFonts w:hint="eastAsia" w:ascii="仿宋" w:hAnsi="仿宋" w:eastAsia="仿宋"/>
          <w:sz w:val="32"/>
          <w:szCs w:val="32"/>
        </w:rPr>
        <w:t>排水系统方案，对虹梅南路1526弄和曹建路201弄等区域实施积水点改造。</w:t>
      </w:r>
    </w:p>
    <w:p w14:paraId="50EF98F7">
      <w:pPr>
        <w:snapToGrid w:val="0"/>
        <w:spacing w:line="600" w:lineRule="exact"/>
        <w:ind w:firstLine="643" w:firstLineChars="200"/>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筑牢生态环保屏障。</w:t>
      </w:r>
      <w:r>
        <w:rPr>
          <w:rFonts w:hint="eastAsia" w:ascii="仿宋" w:hAnsi="仿宋" w:eastAsia="仿宋" w:cs="仿宋"/>
          <w:sz w:val="32"/>
          <w:szCs w:val="32"/>
        </w:rPr>
        <w:t>落实生态环境突出问题整改长效闭环管理机制，强化责任落实，对历年督察信访件持续开展“回头看”工作，加快处置第三轮中央环保督察未办结案件，做好市环保督察的复核工作。系统推进水环境综合治理，深化河道长效管理，持续做好水质检测及行业监管，提高河道养护水平。推进37个入河问题排污口整治工作，加强城市道路扬尘污染管控，持续强化土壤、辐射、固废等污染风险管控，举一反三开展环保风险隐患系统治理。</w:t>
      </w:r>
    </w:p>
    <w:p w14:paraId="294A28B0">
      <w:pPr>
        <w:numPr>
          <w:ilvl w:val="0"/>
          <w:numId w:val="1"/>
        </w:num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不遗余力强治理，守好安全发展红线。</w:t>
      </w:r>
    </w:p>
    <w:p w14:paraId="4613A88B">
      <w:pPr>
        <w:snapToGrid w:val="0"/>
        <w:spacing w:line="600" w:lineRule="exact"/>
        <w:ind w:firstLine="643" w:firstLineChars="200"/>
        <w:rPr>
          <w:rFonts w:hint="eastAsia"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深耕城市管理。</w:t>
      </w:r>
      <w:r>
        <w:rPr>
          <w:rFonts w:hint="eastAsia" w:ascii="仿宋" w:hAnsi="仿宋" w:eastAsia="仿宋" w:cs="仿宋"/>
          <w:sz w:val="32"/>
          <w:szCs w:val="32"/>
        </w:rPr>
        <w:t>纵深推进网格治理平台，实战实效进一步提升。定期开展城市体检，加快推进城市道路、桥梁隧道容貌提升，实施虹梅南路高架沿线整治。加强户外广告管理，整治违法建筑，清爽城市空间秩序。持续</w:t>
      </w:r>
      <w:r>
        <w:rPr>
          <w:rFonts w:ascii="仿宋" w:hAnsi="仿宋" w:eastAsia="仿宋" w:cs="仿宋"/>
          <w:sz w:val="32"/>
          <w:szCs w:val="32"/>
        </w:rPr>
        <w:t>深化垃圾分类体系建设</w:t>
      </w:r>
      <w:r>
        <w:rPr>
          <w:rFonts w:hint="eastAsia" w:ascii="仿宋" w:hAnsi="仿宋" w:eastAsia="仿宋" w:cs="仿宋"/>
          <w:sz w:val="32"/>
          <w:szCs w:val="32"/>
        </w:rPr>
        <w:t>，推进垃圾分类小区建设。逐步优化静态交通管理，对医院、学校周边等潮汐化特点明显的路段，设置即停即走、短时停靠等临时车位；提高错时共享车位的开发力度，鼓励社会单位有偿提供夜间闲置车位。</w:t>
      </w:r>
    </w:p>
    <w:p w14:paraId="11DC725B">
      <w:pPr>
        <w:snapToGrid w:val="0"/>
        <w:spacing w:line="600" w:lineRule="exact"/>
        <w:ind w:firstLine="643" w:firstLineChars="200"/>
        <w:rPr>
          <w:rFonts w:hint="eastAsia" w:ascii="楷体" w:hAnsi="楷体" w:eastAsia="楷体"/>
          <w:b/>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完善基层自治。</w:t>
      </w:r>
      <w:r>
        <w:rPr>
          <w:rFonts w:hint="eastAsia" w:ascii="仿宋" w:hAnsi="仿宋" w:eastAsia="仿宋" w:cs="仿宋"/>
          <w:sz w:val="32"/>
          <w:szCs w:val="32"/>
        </w:rPr>
        <w:t>聚焦社区治理场景，以美好项目、微治理、微更新项目为牵引，划实做强微网格，完善入户连心机制，开展“楼组现场接待日”、微格治理活动，以楼组自治唤醒社区活力。探索动迁房小区市场化物业管理模式，开展老旧电梯评估及更新改造。加强长租公寓监管，规范租赁市场。开展街区精细化治理，完善街区党支部引领下的路管会、居委会、楼委会“四位一体”工作机制。深化“青蓝接力营”“头雁工程”赋能基层治理，打造基层骨干队伍。</w:t>
      </w:r>
    </w:p>
    <w:p w14:paraId="5067D1B6">
      <w:pPr>
        <w:snapToGrid w:val="0"/>
        <w:spacing w:line="600" w:lineRule="exact"/>
        <w:ind w:firstLine="643" w:firstLineChars="200"/>
        <w:rPr>
          <w:rFonts w:hint="eastAsia" w:ascii="楷体" w:hAnsi="楷体" w:eastAsia="楷体"/>
          <w:b/>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抓实安全生产。</w:t>
      </w:r>
      <w:r>
        <w:rPr>
          <w:rFonts w:ascii="仿宋" w:hAnsi="仿宋" w:eastAsia="仿宋" w:cs="仿宋"/>
          <w:sz w:val="32"/>
          <w:szCs w:val="32"/>
        </w:rPr>
        <w:t>严格落实“三管三必须”要求，进一步健全</w:t>
      </w:r>
      <w:r>
        <w:rPr>
          <w:rFonts w:hint="eastAsia" w:ascii="仿宋" w:hAnsi="仿宋" w:eastAsia="仿宋" w:cs="仿宋"/>
          <w:sz w:val="32"/>
          <w:szCs w:val="32"/>
        </w:rPr>
        <w:t>厂房仓库消防安全治理</w:t>
      </w:r>
      <w:r>
        <w:rPr>
          <w:rFonts w:ascii="仿宋" w:hAnsi="仿宋" w:eastAsia="仿宋" w:cs="仿宋"/>
          <w:sz w:val="32"/>
          <w:szCs w:val="32"/>
        </w:rPr>
        <w:t>专班实体化运作机制。</w:t>
      </w:r>
      <w:r>
        <w:rPr>
          <w:rFonts w:hint="eastAsia" w:ascii="仿宋" w:hAnsi="仿宋" w:eastAsia="仿宋" w:cs="仿宋"/>
          <w:sz w:val="32"/>
          <w:szCs w:val="32"/>
        </w:rPr>
        <w:t>持续对厂房仓库、九小类场所、多业态场所等进行专项治理，重点强化安全主体责任落实、电动自行车集中充电安全、畅通生命通道等方面的管理。扎实推进燃气安全专项整治行动。积极配合完成本市管道天然气居民用户燃具连接软管的更换工作。践行新时代“枫桥经验”，加强重点群体和人员矛盾纠纷排查化解，深化“三所联动”，提高信访办理质量。</w:t>
      </w:r>
    </w:p>
    <w:p w14:paraId="3138D4A3">
      <w:pPr>
        <w:numPr>
          <w:ilvl w:val="0"/>
          <w:numId w:val="1"/>
        </w:num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矢志不渝惠民生，努力保障美好生活。</w:t>
      </w:r>
    </w:p>
    <w:p w14:paraId="642FFA2A">
      <w:pPr>
        <w:spacing w:line="600" w:lineRule="exact"/>
        <w:ind w:firstLine="643" w:firstLineChars="200"/>
        <w:rPr>
          <w:rFonts w:hint="eastAsia" w:ascii="仿宋" w:hAnsi="仿宋" w:eastAsia="仿宋" w:cstheme="minorBidi"/>
          <w:sz w:val="32"/>
          <w:szCs w:val="32"/>
        </w:rPr>
      </w:pPr>
      <w:r>
        <w:rPr>
          <w:rFonts w:hint="eastAsia" w:ascii="楷体" w:hAnsi="楷体" w:eastAsia="楷体"/>
          <w:b/>
          <w:color w:val="000000" w:themeColor="text1"/>
          <w:sz w:val="32"/>
          <w:szCs w:val="32"/>
          <w14:textFill>
            <w14:solidFill>
              <w14:schemeClr w14:val="tx1"/>
            </w14:solidFill>
          </w14:textFill>
        </w:rPr>
        <w:t>纵深有度完善社会保障体系。</w:t>
      </w:r>
      <w:r>
        <w:rPr>
          <w:rFonts w:hint="eastAsia" w:ascii="仿宋" w:hAnsi="仿宋" w:eastAsia="仿宋" w:cstheme="minorBidi"/>
          <w:sz w:val="32"/>
          <w:szCs w:val="32"/>
        </w:rPr>
        <w:t>进一步落实稳就业政策，加强对“闵行易就业”app宣传推广力度，提升应届毕业生等群体能力。巩固上海市特色创业型社区创建成果，筹备建设2个15分钟就业服务站，举办大型招聘会和多场小型面试会。计划完成12户困难重度残疾人家庭无障碍改造。</w:t>
      </w:r>
      <w:r>
        <w:rPr>
          <w:rFonts w:ascii="仿宋" w:hAnsi="仿宋" w:eastAsia="仿宋" w:cstheme="minorBidi"/>
          <w:sz w:val="32"/>
          <w:szCs w:val="32"/>
        </w:rPr>
        <w:t>深化开展根治欠薪专项行动，提升争议仲裁调解效能，充分发挥多元化劳动争议调解组织作用，确保劳动者合法权益。</w:t>
      </w:r>
      <w:r>
        <w:rPr>
          <w:rFonts w:hint="eastAsia" w:ascii="仿宋" w:hAnsi="仿宋" w:eastAsia="仿宋" w:cstheme="minorBidi"/>
          <w:sz w:val="32"/>
          <w:szCs w:val="32"/>
        </w:rPr>
        <w:t>积极践行“全心全意为退役军人服务”的工作理念，做好退役军人事务和双拥优抚工作。</w:t>
      </w:r>
    </w:p>
    <w:p w14:paraId="241C5025">
      <w:pPr>
        <w:snapToGrid w:val="0"/>
        <w:spacing w:line="600" w:lineRule="exact"/>
        <w:ind w:firstLine="643" w:firstLineChars="200"/>
        <w:rPr>
          <w:rFonts w:hint="eastAsia" w:ascii="楷体" w:hAnsi="楷体" w:eastAsia="楷体"/>
          <w:b/>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着力健全公共配套服务体系。</w:t>
      </w:r>
      <w:r>
        <w:rPr>
          <w:rFonts w:hint="eastAsia" w:ascii="仿宋" w:hAnsi="仿宋" w:eastAsia="仿宋" w:cs="仿宋"/>
          <w:bCs/>
          <w:color w:val="000000"/>
          <w:sz w:val="32"/>
          <w:szCs w:val="32"/>
        </w:rPr>
        <w:t>持续</w:t>
      </w:r>
      <w:r>
        <w:rPr>
          <w:rFonts w:ascii="仿宋" w:hAnsi="仿宋" w:eastAsia="仿宋" w:cs="仿宋"/>
          <w:bCs/>
          <w:color w:val="000000"/>
          <w:sz w:val="32"/>
          <w:szCs w:val="32"/>
        </w:rPr>
        <w:t>促进教育优质均衡发</w:t>
      </w:r>
      <w:r>
        <w:rPr>
          <w:rFonts w:hint="eastAsia" w:ascii="仿宋" w:hAnsi="仿宋" w:eastAsia="仿宋" w:cs="仿宋"/>
          <w:bCs/>
          <w:color w:val="000000"/>
          <w:sz w:val="32"/>
          <w:szCs w:val="32"/>
        </w:rPr>
        <w:t>展</w:t>
      </w:r>
      <w:r>
        <w:rPr>
          <w:rFonts w:ascii="仿宋" w:hAnsi="仿宋" w:eastAsia="仿宋" w:cs="仿宋"/>
          <w:bCs/>
          <w:color w:val="000000"/>
          <w:sz w:val="32"/>
          <w:szCs w:val="32"/>
        </w:rPr>
        <w:t>，</w:t>
      </w:r>
      <w:r>
        <w:rPr>
          <w:rFonts w:hint="eastAsia" w:ascii="仿宋" w:hAnsi="仿宋" w:eastAsia="仿宋" w:cs="仿宋"/>
          <w:bCs/>
          <w:color w:val="000000"/>
          <w:sz w:val="32"/>
          <w:szCs w:val="32"/>
        </w:rPr>
        <w:t>擦亮</w:t>
      </w:r>
      <w:r>
        <w:rPr>
          <w:rFonts w:ascii="仿宋" w:hAnsi="仿宋" w:eastAsia="仿宋" w:cs="仿宋"/>
          <w:bCs/>
          <w:color w:val="000000"/>
          <w:sz w:val="32"/>
          <w:szCs w:val="32"/>
        </w:rPr>
        <w:t>学区教育</w:t>
      </w:r>
      <w:r>
        <w:rPr>
          <w:rFonts w:hint="eastAsia" w:ascii="仿宋" w:hAnsi="仿宋" w:eastAsia="仿宋" w:cs="仿宋"/>
          <w:bCs/>
          <w:color w:val="000000"/>
          <w:sz w:val="32"/>
          <w:szCs w:val="32"/>
        </w:rPr>
        <w:t>品牌，完成梅锦幼儿园和永联幼儿园</w:t>
      </w:r>
      <w:r>
        <w:rPr>
          <w:rFonts w:hint="eastAsia" w:ascii="仿宋" w:hAnsi="仿宋" w:eastAsia="仿宋" w:cs="仿宋"/>
          <w:bCs/>
          <w:color w:val="000000"/>
          <w:sz w:val="32"/>
          <w:szCs w:val="32"/>
          <w:lang w:val="en"/>
        </w:rPr>
        <w:t>2</w:t>
      </w:r>
      <w:r>
        <w:rPr>
          <w:rFonts w:hint="eastAsia" w:ascii="仿宋" w:hAnsi="仿宋" w:eastAsia="仿宋" w:cs="仿宋"/>
          <w:bCs/>
          <w:color w:val="000000"/>
          <w:sz w:val="32"/>
          <w:szCs w:val="32"/>
        </w:rPr>
        <w:t>所高质量园的创建工作，实现公办高质量幼儿园100%全覆盖。推进医疗卫生高</w:t>
      </w:r>
      <w:r>
        <w:rPr>
          <w:rFonts w:ascii="仿宋" w:hAnsi="仿宋" w:eastAsia="仿宋" w:cs="仿宋"/>
          <w:bCs/>
          <w:color w:val="000000"/>
          <w:sz w:val="32"/>
          <w:szCs w:val="32"/>
        </w:rPr>
        <w:t>质量发展，持续打造“中医药特色街镇”，争创市级红十字博爱家园。</w:t>
      </w:r>
      <w:r>
        <w:rPr>
          <w:rFonts w:hint="eastAsia" w:ascii="仿宋" w:hAnsi="仿宋" w:eastAsia="仿宋" w:cs="仿宋"/>
          <w:bCs/>
          <w:color w:val="000000"/>
          <w:sz w:val="32"/>
          <w:szCs w:val="32"/>
        </w:rPr>
        <w:t>构建机构</w:t>
      </w:r>
      <w:r>
        <w:rPr>
          <w:rFonts w:ascii="仿宋" w:hAnsi="仿宋" w:eastAsia="仿宋" w:cs="仿宋"/>
          <w:bCs/>
          <w:color w:val="000000"/>
          <w:sz w:val="32"/>
          <w:szCs w:val="32"/>
        </w:rPr>
        <w:t>、社区、居家养老三级服务体系，以曙东颐</w:t>
      </w:r>
      <w:r>
        <w:rPr>
          <w:rFonts w:hint="eastAsia" w:ascii="仿宋" w:hAnsi="仿宋" w:eastAsia="仿宋" w:cs="仿宋"/>
          <w:bCs/>
          <w:color w:val="000000"/>
          <w:sz w:val="32"/>
          <w:szCs w:val="32"/>
        </w:rPr>
        <w:t>养</w:t>
      </w:r>
      <w:r>
        <w:rPr>
          <w:rFonts w:ascii="仿宋" w:hAnsi="仿宋" w:eastAsia="仿宋" w:cs="仿宋"/>
          <w:bCs/>
          <w:color w:val="000000"/>
          <w:sz w:val="32"/>
          <w:szCs w:val="32"/>
        </w:rPr>
        <w:t>院</w:t>
      </w:r>
      <w:r>
        <w:rPr>
          <w:rFonts w:hint="eastAsia" w:ascii="仿宋" w:hAnsi="仿宋" w:eastAsia="仿宋" w:cs="仿宋"/>
          <w:bCs/>
          <w:color w:val="000000"/>
          <w:sz w:val="32"/>
          <w:szCs w:val="32"/>
        </w:rPr>
        <w:t>建设</w:t>
      </w:r>
      <w:r>
        <w:rPr>
          <w:rFonts w:ascii="仿宋" w:hAnsi="仿宋" w:eastAsia="仿宋" w:cs="仿宋"/>
          <w:bCs/>
          <w:color w:val="000000"/>
          <w:sz w:val="32"/>
          <w:szCs w:val="32"/>
        </w:rPr>
        <w:t>运营为抓手，打造梅陇</w:t>
      </w:r>
      <w:r>
        <w:rPr>
          <w:rFonts w:hint="eastAsia" w:ascii="仿宋" w:hAnsi="仿宋" w:eastAsia="仿宋" w:cs="仿宋"/>
          <w:bCs/>
          <w:color w:val="000000"/>
          <w:sz w:val="32"/>
          <w:szCs w:val="32"/>
        </w:rPr>
        <w:t>高</w:t>
      </w:r>
      <w:r>
        <w:rPr>
          <w:rFonts w:ascii="仿宋" w:hAnsi="仿宋" w:eastAsia="仿宋" w:cs="仿宋"/>
          <w:bCs/>
          <w:color w:val="000000"/>
          <w:sz w:val="32"/>
          <w:szCs w:val="32"/>
        </w:rPr>
        <w:t>品质</w:t>
      </w:r>
      <w:r>
        <w:rPr>
          <w:rFonts w:hint="eastAsia" w:ascii="仿宋" w:hAnsi="仿宋" w:eastAsia="仿宋" w:cs="仿宋"/>
          <w:bCs/>
          <w:color w:val="000000"/>
          <w:sz w:val="32"/>
          <w:szCs w:val="32"/>
        </w:rPr>
        <w:t>养老标</w:t>
      </w:r>
      <w:r>
        <w:rPr>
          <w:rFonts w:ascii="仿宋" w:hAnsi="仿宋" w:eastAsia="仿宋" w:cs="仿宋"/>
          <w:bCs/>
          <w:color w:val="000000"/>
          <w:sz w:val="32"/>
          <w:szCs w:val="32"/>
        </w:rPr>
        <w:t>杆。</w:t>
      </w:r>
      <w:r>
        <w:rPr>
          <w:rFonts w:hint="eastAsia" w:ascii="仿宋" w:hAnsi="仿宋" w:eastAsia="仿宋" w:cs="仿宋"/>
          <w:bCs/>
          <w:color w:val="000000"/>
          <w:sz w:val="32"/>
          <w:szCs w:val="32"/>
        </w:rPr>
        <w:t>不</w:t>
      </w:r>
      <w:r>
        <w:rPr>
          <w:rFonts w:ascii="仿宋" w:hAnsi="仿宋" w:eastAsia="仿宋" w:cs="仿宋"/>
          <w:bCs/>
          <w:color w:val="000000"/>
          <w:sz w:val="32"/>
          <w:szCs w:val="32"/>
        </w:rPr>
        <w:t>断丰富社区综合为老服务中心、社区食堂等养老设施供给，</w:t>
      </w:r>
      <w:r>
        <w:rPr>
          <w:rFonts w:hint="eastAsia" w:ascii="仿宋" w:hAnsi="仿宋" w:eastAsia="仿宋" w:cs="仿宋"/>
          <w:bCs/>
          <w:color w:val="000000"/>
          <w:sz w:val="32"/>
          <w:szCs w:val="32"/>
        </w:rPr>
        <w:t>深化</w:t>
      </w:r>
      <w:r>
        <w:rPr>
          <w:rFonts w:ascii="仿宋" w:hAnsi="仿宋" w:eastAsia="仿宋" w:cs="仿宋"/>
          <w:bCs/>
          <w:color w:val="000000"/>
          <w:sz w:val="32"/>
          <w:szCs w:val="32"/>
        </w:rPr>
        <w:t>家庭</w:t>
      </w:r>
      <w:r>
        <w:rPr>
          <w:rFonts w:hint="eastAsia" w:ascii="仿宋" w:hAnsi="仿宋" w:eastAsia="仿宋" w:cs="仿宋"/>
          <w:bCs/>
          <w:color w:val="000000"/>
          <w:sz w:val="32"/>
          <w:szCs w:val="32"/>
        </w:rPr>
        <w:t>养老床位</w:t>
      </w:r>
      <w:r>
        <w:rPr>
          <w:rFonts w:ascii="仿宋" w:hAnsi="仿宋" w:eastAsia="仿宋" w:cs="仿宋"/>
          <w:bCs/>
          <w:color w:val="000000"/>
          <w:sz w:val="32"/>
          <w:szCs w:val="32"/>
        </w:rPr>
        <w:t>试点</w:t>
      </w:r>
      <w:r>
        <w:rPr>
          <w:rFonts w:hint="eastAsia" w:ascii="仿宋" w:hAnsi="仿宋" w:eastAsia="仿宋" w:cs="仿宋"/>
          <w:bCs/>
          <w:color w:val="000000"/>
          <w:sz w:val="32"/>
          <w:szCs w:val="32"/>
        </w:rPr>
        <w:t>和</w:t>
      </w:r>
      <w:r>
        <w:rPr>
          <w:rFonts w:ascii="仿宋" w:hAnsi="仿宋" w:eastAsia="仿宋" w:cs="仿宋"/>
          <w:bCs/>
          <w:color w:val="000000"/>
          <w:sz w:val="32"/>
          <w:szCs w:val="32"/>
        </w:rPr>
        <w:t>居家环境适老化改造，</w:t>
      </w:r>
      <w:r>
        <w:rPr>
          <w:rFonts w:hint="eastAsia" w:ascii="仿宋" w:hAnsi="仿宋" w:eastAsia="仿宋" w:cs="仿宋"/>
          <w:bCs/>
          <w:color w:val="000000"/>
          <w:sz w:val="32"/>
          <w:szCs w:val="32"/>
        </w:rPr>
        <w:t>优化老</w:t>
      </w:r>
      <w:r>
        <w:rPr>
          <w:rFonts w:ascii="仿宋" w:hAnsi="仿宋" w:eastAsia="仿宋" w:cs="仿宋"/>
          <w:bCs/>
          <w:color w:val="000000"/>
          <w:sz w:val="32"/>
          <w:szCs w:val="32"/>
        </w:rPr>
        <w:t>年友好</w:t>
      </w:r>
      <w:r>
        <w:rPr>
          <w:rFonts w:hint="eastAsia" w:ascii="仿宋" w:hAnsi="仿宋" w:eastAsia="仿宋" w:cs="仿宋"/>
          <w:bCs/>
          <w:color w:val="000000"/>
          <w:sz w:val="32"/>
          <w:szCs w:val="32"/>
        </w:rPr>
        <w:t>环境</w:t>
      </w:r>
      <w:r>
        <w:rPr>
          <w:rFonts w:ascii="仿宋" w:hAnsi="仿宋" w:eastAsia="仿宋" w:cs="仿宋"/>
          <w:bCs/>
          <w:color w:val="000000"/>
          <w:sz w:val="32"/>
          <w:szCs w:val="32"/>
        </w:rPr>
        <w:t>。</w:t>
      </w:r>
    </w:p>
    <w:p w14:paraId="01676748">
      <w:pPr>
        <w:snapToGrid w:val="0"/>
        <w:spacing w:line="600" w:lineRule="exact"/>
        <w:ind w:firstLine="643" w:firstLineChars="200"/>
        <w:rPr>
          <w:rFonts w:hint="eastAsia" w:ascii="仿宋" w:hAnsi="仿宋" w:eastAsia="仿宋" w:cs="仿宋"/>
          <w:kern w:val="0"/>
          <w:sz w:val="32"/>
          <w:szCs w:val="32"/>
          <w:lang w:bidi="ar"/>
        </w:rPr>
      </w:pPr>
      <w:r>
        <w:rPr>
          <w:rFonts w:hint="eastAsia" w:ascii="楷体" w:hAnsi="楷体" w:eastAsia="楷体"/>
          <w:b/>
          <w:color w:val="000000" w:themeColor="text1"/>
          <w:sz w:val="32"/>
          <w:szCs w:val="32"/>
          <w14:textFill>
            <w14:solidFill>
              <w14:schemeClr w14:val="tx1"/>
            </w14:solidFill>
          </w14:textFill>
        </w:rPr>
        <w:t>群策群力促进文体事业繁荣。</w:t>
      </w:r>
      <w:r>
        <w:rPr>
          <w:rFonts w:hint="eastAsia" w:ascii="仿宋" w:hAnsi="仿宋" w:eastAsia="仿宋" w:cs="仿宋"/>
          <w:kern w:val="0"/>
          <w:sz w:val="32"/>
          <w:szCs w:val="32"/>
          <w:lang w:bidi="ar"/>
        </w:rPr>
        <w:t>做深做强“文悦万家，艺馨梅陇”品牌建设，扩大梅陇合唱团、侨联管弦乐团的影响力和知名度，打造文化自信自强的梅陇样本。大力推动非遗活化利用，鼓励非遗工作室创新跨界发展。</w:t>
      </w:r>
      <w:r>
        <w:rPr>
          <w:rFonts w:hint="eastAsia" w:ascii="仿宋" w:hAnsi="仿宋" w:eastAsia="仿宋" w:cs="仿宋"/>
          <w:sz w:val="32"/>
          <w:szCs w:val="32"/>
        </w:rPr>
        <w:t>打造文化旅游线路，绘编“梅陇幸福地图”，推出和美乡村、城市公园、红色文化、城市地标4色手绘路线。</w:t>
      </w:r>
      <w:r>
        <w:rPr>
          <w:rFonts w:hint="eastAsia" w:ascii="仿宋" w:hAnsi="仿宋" w:eastAsia="仿宋" w:cs="仿宋"/>
          <w:kern w:val="0"/>
          <w:sz w:val="32"/>
          <w:szCs w:val="32"/>
          <w:lang w:bidi="ar"/>
        </w:rPr>
        <w:t>完善镇级文化配送机制，扩大优质资源配送范围。进一步扩大长三角水上皮艇、桨板邀请赛、“梅陇杯”亲子运动嘉年华、上海市拔河精英赛等市级品牌赛事的规模知名度。</w:t>
      </w:r>
    </w:p>
    <w:p w14:paraId="5F0C283E">
      <w:pPr>
        <w:numPr>
          <w:ilvl w:val="0"/>
          <w:numId w:val="1"/>
        </w:num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持之以恒抓作风，建设人民满意政府。</w:t>
      </w:r>
    </w:p>
    <w:p w14:paraId="1569B2AA">
      <w:pPr>
        <w:snapToGrid w:val="0"/>
        <w:spacing w:line="600" w:lineRule="exact"/>
        <w:ind w:firstLine="643" w:firstLineChars="200"/>
        <w:rPr>
          <w:rFonts w:hint="eastAsia" w:ascii="楷体" w:hAnsi="楷体" w:eastAsia="楷体"/>
          <w:b/>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深入推进依法行政。</w:t>
      </w:r>
      <w:r>
        <w:rPr>
          <w:rFonts w:ascii="仿宋" w:hAnsi="仿宋" w:eastAsia="仿宋" w:cs="仿宋"/>
          <w:kern w:val="0"/>
          <w:sz w:val="32"/>
          <w:szCs w:val="32"/>
          <w:lang w:bidi="ar"/>
        </w:rPr>
        <w:t>稳步推进“八五”普法规划实施，深入践行普法强基补短板专项行动，构建现代公共法律服务体系。加强政府重大行政决策合法性、公平竞争审查，严格执行“三重一大”议事规则，纵深推进政府法律顾问规范化、专业化建设，健全行政复议与应诉机制，确保行政机关负责人出庭应诉率达100%。持续推进政务公开，推动政府行为全面纳入法治轨道，为</w:t>
      </w:r>
      <w:r>
        <w:rPr>
          <w:rFonts w:hint="eastAsia" w:ascii="仿宋" w:hAnsi="仿宋" w:eastAsia="仿宋" w:cs="仿宋"/>
          <w:kern w:val="0"/>
          <w:sz w:val="32"/>
          <w:szCs w:val="32"/>
          <w:lang w:bidi="ar"/>
        </w:rPr>
        <w:t>梅陇</w:t>
      </w:r>
      <w:r>
        <w:rPr>
          <w:rFonts w:ascii="仿宋" w:hAnsi="仿宋" w:eastAsia="仿宋" w:cs="仿宋"/>
          <w:kern w:val="0"/>
          <w:sz w:val="32"/>
          <w:szCs w:val="32"/>
          <w:lang w:bidi="ar"/>
        </w:rPr>
        <w:t>高质量跨越式发展提供法治保障。</w:t>
      </w:r>
    </w:p>
    <w:p w14:paraId="680B477A">
      <w:pPr>
        <w:snapToGrid w:val="0"/>
        <w:spacing w:line="600" w:lineRule="exact"/>
        <w:ind w:firstLine="643" w:firstLineChars="200"/>
        <w:rPr>
          <w:rFonts w:hint="eastAsia" w:ascii="仿宋" w:hAnsi="仿宋" w:eastAsia="仿宋" w:cs="仿宋"/>
          <w:kern w:val="0"/>
          <w:sz w:val="32"/>
          <w:szCs w:val="32"/>
          <w:lang w:bidi="ar"/>
        </w:rPr>
      </w:pPr>
      <w:r>
        <w:rPr>
          <w:rFonts w:hint="eastAsia" w:ascii="楷体" w:hAnsi="楷体" w:eastAsia="楷体"/>
          <w:b/>
          <w:color w:val="000000" w:themeColor="text1"/>
          <w:sz w:val="32"/>
          <w:szCs w:val="32"/>
          <w14:textFill>
            <w14:solidFill>
              <w14:schemeClr w14:val="tx1"/>
            </w14:solidFill>
          </w14:textFill>
        </w:rPr>
        <w:t>不断优化政府服务。</w:t>
      </w:r>
      <w:r>
        <w:rPr>
          <w:rFonts w:hint="eastAsia" w:ascii="仿宋" w:hAnsi="仿宋" w:eastAsia="仿宋"/>
          <w:sz w:val="32"/>
          <w:szCs w:val="32"/>
        </w:rPr>
        <w:t>深入推进“一网办、一窗办、一次办”，实现跨层级、跨系统、跨业务的数据互联互通。</w:t>
      </w:r>
      <w:r>
        <w:rPr>
          <w:rFonts w:ascii="仿宋" w:hAnsi="仿宋" w:eastAsia="仿宋" w:cs="仿宋"/>
          <w:kern w:val="0"/>
          <w:sz w:val="32"/>
          <w:szCs w:val="32"/>
          <w:lang w:bidi="ar"/>
        </w:rPr>
        <w:t>践行“三法三化”要求，</w:t>
      </w:r>
      <w:r>
        <w:rPr>
          <w:rFonts w:hint="eastAsia" w:ascii="仿宋" w:hAnsi="仿宋" w:eastAsia="仿宋" w:cs="仿宋"/>
          <w:kern w:val="0"/>
          <w:sz w:val="32"/>
          <w:szCs w:val="32"/>
          <w:lang w:bidi="ar"/>
        </w:rPr>
        <w:t>把抓落实作为政府工作的第一职责，构建“有部署、有督查、有反馈”的工作闭环。</w:t>
      </w:r>
      <w:r>
        <w:rPr>
          <w:rFonts w:ascii="仿宋" w:hAnsi="仿宋" w:eastAsia="仿宋" w:cs="仿宋"/>
          <w:kern w:val="0"/>
          <w:sz w:val="32"/>
          <w:szCs w:val="32"/>
          <w:lang w:bidi="ar"/>
        </w:rPr>
        <w:t>持续聚焦</w:t>
      </w:r>
      <w:r>
        <w:rPr>
          <w:rFonts w:hint="eastAsia" w:ascii="仿宋" w:hAnsi="仿宋" w:eastAsia="仿宋" w:cs="仿宋"/>
          <w:kern w:val="0"/>
          <w:sz w:val="32"/>
          <w:szCs w:val="32"/>
          <w:lang w:bidi="ar"/>
        </w:rPr>
        <w:t>实事项目和重点</w:t>
      </w:r>
      <w:r>
        <w:rPr>
          <w:rFonts w:ascii="仿宋" w:hAnsi="仿宋" w:eastAsia="仿宋" w:cs="仿宋"/>
          <w:kern w:val="0"/>
          <w:sz w:val="32"/>
          <w:szCs w:val="32"/>
          <w:lang w:bidi="ar"/>
        </w:rPr>
        <w:t>工作，逐步攻克群众关心关注的热点难点问题和历史遗留问题，不断把作风革命、效能革命走深走实，为</w:t>
      </w:r>
      <w:r>
        <w:rPr>
          <w:rFonts w:hint="eastAsia" w:ascii="仿宋" w:hAnsi="仿宋" w:eastAsia="仿宋" w:cs="仿宋"/>
          <w:kern w:val="0"/>
          <w:sz w:val="32"/>
          <w:szCs w:val="32"/>
          <w:lang w:bidi="ar"/>
        </w:rPr>
        <w:t>梅陇</w:t>
      </w:r>
      <w:r>
        <w:rPr>
          <w:rFonts w:ascii="仿宋" w:hAnsi="仿宋" w:eastAsia="仿宋" w:cs="仿宋"/>
          <w:kern w:val="0"/>
          <w:sz w:val="32"/>
          <w:szCs w:val="32"/>
          <w:lang w:bidi="ar"/>
        </w:rPr>
        <w:t>高质量跨越式发展提供坚实基础。</w:t>
      </w:r>
    </w:p>
    <w:p w14:paraId="105B40B3">
      <w:pPr>
        <w:snapToGrid w:val="0"/>
        <w:spacing w:line="600" w:lineRule="exact"/>
        <w:ind w:firstLine="643" w:firstLineChars="200"/>
        <w:rPr>
          <w:rFonts w:hint="eastAsia" w:ascii="仿宋" w:hAnsi="仿宋" w:eastAsia="仿宋" w:cs="仿宋"/>
          <w:kern w:val="0"/>
          <w:sz w:val="32"/>
          <w:szCs w:val="32"/>
          <w:lang w:bidi="ar"/>
        </w:rPr>
      </w:pPr>
      <w:r>
        <w:rPr>
          <w:rFonts w:hint="eastAsia" w:ascii="楷体" w:hAnsi="楷体" w:eastAsia="楷体"/>
          <w:b/>
          <w:color w:val="000000" w:themeColor="text1"/>
          <w:sz w:val="32"/>
          <w:szCs w:val="32"/>
          <w14:textFill>
            <w14:solidFill>
              <w14:schemeClr w14:val="tx1"/>
            </w14:solidFill>
          </w14:textFill>
        </w:rPr>
        <w:t>建设清正廉洁政府。</w:t>
      </w:r>
      <w:r>
        <w:rPr>
          <w:rFonts w:hint="eastAsia" w:ascii="仿宋" w:hAnsi="仿宋" w:eastAsia="仿宋" w:cs="仿宋"/>
          <w:kern w:val="0"/>
          <w:sz w:val="32"/>
          <w:szCs w:val="32"/>
          <w:lang w:bidi="ar"/>
        </w:rPr>
        <w:t>坚决扛起全面从严治党主体责任，持续加强政府系统党风廉政建设。紧盯公共重点领域，切实强化审计监督与其他监督检查协调贯通，织密扎牢权力制度笼子，用制度刚性防止权力任性。带头过好“紧日子”，加强财政资源科学统筹和合理分配，合理确定预算收支规模，统筹保障和改善民生，加强“三公”经费管理，严控一般性支出，集中更多财力办大事、办实事。</w:t>
      </w:r>
    </w:p>
    <w:p w14:paraId="416058FD">
      <w:pPr>
        <w:snapToGrid w:val="0"/>
        <w:spacing w:line="600" w:lineRule="exact"/>
        <w:ind w:firstLine="643" w:firstLineChars="200"/>
        <w:rPr>
          <w:rFonts w:hint="eastAsia" w:ascii="楷体" w:hAnsi="楷体" w:eastAsia="楷体"/>
          <w:b/>
          <w:color w:val="000000" w:themeColor="text1"/>
          <w:sz w:val="32"/>
          <w:szCs w:val="32"/>
          <w14:textFill>
            <w14:solidFill>
              <w14:schemeClr w14:val="tx1"/>
            </w14:solidFill>
          </w14:textFill>
        </w:rPr>
      </w:pPr>
    </w:p>
    <w:p w14:paraId="09E12012">
      <w:pPr>
        <w:snapToGrid w:val="0"/>
        <w:spacing w:line="600" w:lineRule="exact"/>
        <w:ind w:firstLine="640" w:firstLineChars="200"/>
        <w:rPr>
          <w:rFonts w:hint="eastAsia" w:ascii="黑体" w:hAnsi="黑体" w:eastAsia="黑体"/>
          <w:color w:val="000000" w:themeColor="text1"/>
          <w:sz w:val="32"/>
          <w:szCs w:val="32"/>
          <w14:textFill>
            <w14:solidFill>
              <w14:schemeClr w14:val="tx1"/>
            </w14:solidFill>
          </w14:textFill>
        </w:rPr>
      </w:pPr>
    </w:p>
    <w:sectPr>
      <w:footerReference r:id="rId3" w:type="default"/>
      <w:pgSz w:w="11906" w:h="16838"/>
      <w:pgMar w:top="1440" w:right="1587" w:bottom="1559" w:left="1587" w:header="851" w:footer="992" w:gutter="0"/>
      <w:cols w:space="0" w:num="1"/>
      <w:docGrid w:type="lines" w:linePitch="5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34800730"/>
    </w:sdtPr>
    <w:sdtContent>
      <w:p w14:paraId="54366532">
        <w:pPr>
          <w:pStyle w:val="7"/>
          <w:jc w:val="center"/>
        </w:pPr>
        <w:r>
          <w:fldChar w:fldCharType="begin"/>
        </w:r>
        <w:r>
          <w:instrText xml:space="preserve">PAGE   \* MERGEFORMAT</w:instrText>
        </w:r>
        <w:r>
          <w:fldChar w:fldCharType="separate"/>
        </w:r>
        <w:r>
          <w:rPr>
            <w:lang w:val="zh-CN"/>
          </w:rPr>
          <w:t>12</w:t>
        </w:r>
        <w:r>
          <w:fldChar w:fldCharType="end"/>
        </w:r>
      </w:p>
    </w:sdtContent>
  </w:sdt>
  <w:p w14:paraId="4A6E0F7B">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664F7C"/>
    <w:multiLevelType w:val="singleLevel"/>
    <w:tmpl w:val="17664F7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NjZWUzMzUwODc2NjY3OGU2YjQzMzA3NWZmYTgxZTQifQ=="/>
  </w:docVars>
  <w:rsids>
    <w:rsidRoot w:val="006A6084"/>
    <w:rsid w:val="00003F12"/>
    <w:rsid w:val="000058A7"/>
    <w:rsid w:val="00013105"/>
    <w:rsid w:val="000148D3"/>
    <w:rsid w:val="00017303"/>
    <w:rsid w:val="00022A49"/>
    <w:rsid w:val="000235AD"/>
    <w:rsid w:val="000353EB"/>
    <w:rsid w:val="00035686"/>
    <w:rsid w:val="00037C90"/>
    <w:rsid w:val="00045CC4"/>
    <w:rsid w:val="00046339"/>
    <w:rsid w:val="00046343"/>
    <w:rsid w:val="00063821"/>
    <w:rsid w:val="00064621"/>
    <w:rsid w:val="00066B86"/>
    <w:rsid w:val="0007371E"/>
    <w:rsid w:val="00081149"/>
    <w:rsid w:val="00081C52"/>
    <w:rsid w:val="0008749B"/>
    <w:rsid w:val="00093DF8"/>
    <w:rsid w:val="0009421F"/>
    <w:rsid w:val="000949E5"/>
    <w:rsid w:val="00096963"/>
    <w:rsid w:val="00096ED9"/>
    <w:rsid w:val="000A28AF"/>
    <w:rsid w:val="000A467B"/>
    <w:rsid w:val="000A6DAA"/>
    <w:rsid w:val="000B2EB1"/>
    <w:rsid w:val="000B5B7E"/>
    <w:rsid w:val="000C2936"/>
    <w:rsid w:val="000C4769"/>
    <w:rsid w:val="000D2102"/>
    <w:rsid w:val="000D33BE"/>
    <w:rsid w:val="000D72B1"/>
    <w:rsid w:val="000E009A"/>
    <w:rsid w:val="000E13B5"/>
    <w:rsid w:val="000F0E72"/>
    <w:rsid w:val="000F1670"/>
    <w:rsid w:val="000F6DD9"/>
    <w:rsid w:val="001008E6"/>
    <w:rsid w:val="00100C95"/>
    <w:rsid w:val="00103A01"/>
    <w:rsid w:val="001050AC"/>
    <w:rsid w:val="00107B34"/>
    <w:rsid w:val="001119CA"/>
    <w:rsid w:val="00117457"/>
    <w:rsid w:val="0013154A"/>
    <w:rsid w:val="001508F5"/>
    <w:rsid w:val="001530FE"/>
    <w:rsid w:val="0015696A"/>
    <w:rsid w:val="001569DB"/>
    <w:rsid w:val="00163ACD"/>
    <w:rsid w:val="00163FC5"/>
    <w:rsid w:val="00174D39"/>
    <w:rsid w:val="00175772"/>
    <w:rsid w:val="00182A5D"/>
    <w:rsid w:val="0018381F"/>
    <w:rsid w:val="00196AC4"/>
    <w:rsid w:val="001A6158"/>
    <w:rsid w:val="001B376B"/>
    <w:rsid w:val="001B4BBE"/>
    <w:rsid w:val="001B6592"/>
    <w:rsid w:val="001C27A1"/>
    <w:rsid w:val="001D35CE"/>
    <w:rsid w:val="001E6D6D"/>
    <w:rsid w:val="001F3D4A"/>
    <w:rsid w:val="001F5268"/>
    <w:rsid w:val="002032E3"/>
    <w:rsid w:val="00204952"/>
    <w:rsid w:val="00205E2C"/>
    <w:rsid w:val="002121E7"/>
    <w:rsid w:val="00214A33"/>
    <w:rsid w:val="002157A6"/>
    <w:rsid w:val="00226C9D"/>
    <w:rsid w:val="00241D7F"/>
    <w:rsid w:val="0024765D"/>
    <w:rsid w:val="00254279"/>
    <w:rsid w:val="002570B6"/>
    <w:rsid w:val="00257B94"/>
    <w:rsid w:val="00262531"/>
    <w:rsid w:val="00263256"/>
    <w:rsid w:val="002663AE"/>
    <w:rsid w:val="00266EEA"/>
    <w:rsid w:val="002726DA"/>
    <w:rsid w:val="00277987"/>
    <w:rsid w:val="00282D7A"/>
    <w:rsid w:val="002905AC"/>
    <w:rsid w:val="002A36F7"/>
    <w:rsid w:val="002A5247"/>
    <w:rsid w:val="002A7130"/>
    <w:rsid w:val="002B1C02"/>
    <w:rsid w:val="002B748F"/>
    <w:rsid w:val="002C7228"/>
    <w:rsid w:val="002D00B9"/>
    <w:rsid w:val="002D269D"/>
    <w:rsid w:val="002D28C4"/>
    <w:rsid w:val="002D4B4E"/>
    <w:rsid w:val="002E218D"/>
    <w:rsid w:val="002E3143"/>
    <w:rsid w:val="002E6339"/>
    <w:rsid w:val="002F59C0"/>
    <w:rsid w:val="002F6F50"/>
    <w:rsid w:val="0030425F"/>
    <w:rsid w:val="00305FE5"/>
    <w:rsid w:val="00311BA9"/>
    <w:rsid w:val="003224F5"/>
    <w:rsid w:val="003309D0"/>
    <w:rsid w:val="00334579"/>
    <w:rsid w:val="00334663"/>
    <w:rsid w:val="003352C3"/>
    <w:rsid w:val="0034023F"/>
    <w:rsid w:val="00350568"/>
    <w:rsid w:val="00352637"/>
    <w:rsid w:val="00361CC7"/>
    <w:rsid w:val="003742B0"/>
    <w:rsid w:val="00374C72"/>
    <w:rsid w:val="00377630"/>
    <w:rsid w:val="003922EF"/>
    <w:rsid w:val="00394299"/>
    <w:rsid w:val="003970C2"/>
    <w:rsid w:val="003A723A"/>
    <w:rsid w:val="003A7CCC"/>
    <w:rsid w:val="003B1247"/>
    <w:rsid w:val="003B234F"/>
    <w:rsid w:val="003B242E"/>
    <w:rsid w:val="003B2BE0"/>
    <w:rsid w:val="003B4622"/>
    <w:rsid w:val="003B598D"/>
    <w:rsid w:val="003B5C7E"/>
    <w:rsid w:val="003C5118"/>
    <w:rsid w:val="003C55FB"/>
    <w:rsid w:val="003C616D"/>
    <w:rsid w:val="003D23E5"/>
    <w:rsid w:val="003D3B03"/>
    <w:rsid w:val="003D58A4"/>
    <w:rsid w:val="003E00B1"/>
    <w:rsid w:val="003E31A5"/>
    <w:rsid w:val="003E4293"/>
    <w:rsid w:val="003E5514"/>
    <w:rsid w:val="003E73DF"/>
    <w:rsid w:val="003E7AB7"/>
    <w:rsid w:val="003F7956"/>
    <w:rsid w:val="0040145A"/>
    <w:rsid w:val="00402CB2"/>
    <w:rsid w:val="00404E99"/>
    <w:rsid w:val="0041240C"/>
    <w:rsid w:val="00413C50"/>
    <w:rsid w:val="00414904"/>
    <w:rsid w:val="00415C50"/>
    <w:rsid w:val="004176C2"/>
    <w:rsid w:val="004207F8"/>
    <w:rsid w:val="004228C9"/>
    <w:rsid w:val="00430590"/>
    <w:rsid w:val="00451457"/>
    <w:rsid w:val="004528E3"/>
    <w:rsid w:val="0046308C"/>
    <w:rsid w:val="004641E5"/>
    <w:rsid w:val="00471F95"/>
    <w:rsid w:val="00473ADF"/>
    <w:rsid w:val="004778E7"/>
    <w:rsid w:val="00481165"/>
    <w:rsid w:val="00482E02"/>
    <w:rsid w:val="00495004"/>
    <w:rsid w:val="0049534F"/>
    <w:rsid w:val="004A4196"/>
    <w:rsid w:val="004A4592"/>
    <w:rsid w:val="004A61E4"/>
    <w:rsid w:val="004B55F0"/>
    <w:rsid w:val="004C68F9"/>
    <w:rsid w:val="004D0335"/>
    <w:rsid w:val="004D7373"/>
    <w:rsid w:val="004E0B4C"/>
    <w:rsid w:val="004E1361"/>
    <w:rsid w:val="004E195A"/>
    <w:rsid w:val="004F4019"/>
    <w:rsid w:val="004F56E3"/>
    <w:rsid w:val="00505888"/>
    <w:rsid w:val="00506B26"/>
    <w:rsid w:val="0051077A"/>
    <w:rsid w:val="00512203"/>
    <w:rsid w:val="005122A8"/>
    <w:rsid w:val="00513F63"/>
    <w:rsid w:val="00516E0D"/>
    <w:rsid w:val="005205A0"/>
    <w:rsid w:val="00520A71"/>
    <w:rsid w:val="00521CE7"/>
    <w:rsid w:val="00522739"/>
    <w:rsid w:val="00526DEB"/>
    <w:rsid w:val="0052743E"/>
    <w:rsid w:val="00530B5E"/>
    <w:rsid w:val="005327AF"/>
    <w:rsid w:val="00533BDF"/>
    <w:rsid w:val="005375FC"/>
    <w:rsid w:val="00540BA7"/>
    <w:rsid w:val="00543E0C"/>
    <w:rsid w:val="00551F02"/>
    <w:rsid w:val="00552F6D"/>
    <w:rsid w:val="005562BE"/>
    <w:rsid w:val="00565111"/>
    <w:rsid w:val="005669F8"/>
    <w:rsid w:val="005721BB"/>
    <w:rsid w:val="00572F3D"/>
    <w:rsid w:val="0058020F"/>
    <w:rsid w:val="005822CF"/>
    <w:rsid w:val="00586558"/>
    <w:rsid w:val="005A01E5"/>
    <w:rsid w:val="005A0F7A"/>
    <w:rsid w:val="005B3B04"/>
    <w:rsid w:val="005B6357"/>
    <w:rsid w:val="005C09A0"/>
    <w:rsid w:val="005C3F3A"/>
    <w:rsid w:val="005C42C1"/>
    <w:rsid w:val="005C5E13"/>
    <w:rsid w:val="005C67B1"/>
    <w:rsid w:val="005D135F"/>
    <w:rsid w:val="005D4859"/>
    <w:rsid w:val="005E0795"/>
    <w:rsid w:val="005E3920"/>
    <w:rsid w:val="005F62F1"/>
    <w:rsid w:val="00600A1A"/>
    <w:rsid w:val="00601B3F"/>
    <w:rsid w:val="006039FE"/>
    <w:rsid w:val="0060557D"/>
    <w:rsid w:val="00610D09"/>
    <w:rsid w:val="006140A7"/>
    <w:rsid w:val="006240E9"/>
    <w:rsid w:val="006306C8"/>
    <w:rsid w:val="00631785"/>
    <w:rsid w:val="00631B0D"/>
    <w:rsid w:val="00631BEB"/>
    <w:rsid w:val="006431F5"/>
    <w:rsid w:val="006451BE"/>
    <w:rsid w:val="00645CA4"/>
    <w:rsid w:val="00660948"/>
    <w:rsid w:val="00666791"/>
    <w:rsid w:val="00670D91"/>
    <w:rsid w:val="00672379"/>
    <w:rsid w:val="00677FE5"/>
    <w:rsid w:val="006916DA"/>
    <w:rsid w:val="00692ED6"/>
    <w:rsid w:val="006930C8"/>
    <w:rsid w:val="0069319C"/>
    <w:rsid w:val="006954BD"/>
    <w:rsid w:val="006A015F"/>
    <w:rsid w:val="006A4D03"/>
    <w:rsid w:val="006A6084"/>
    <w:rsid w:val="006B24DA"/>
    <w:rsid w:val="006C0805"/>
    <w:rsid w:val="006C1A7C"/>
    <w:rsid w:val="006C2C12"/>
    <w:rsid w:val="006C7B21"/>
    <w:rsid w:val="006D0547"/>
    <w:rsid w:val="006D62B3"/>
    <w:rsid w:val="006D6696"/>
    <w:rsid w:val="006E29C0"/>
    <w:rsid w:val="006E3EAA"/>
    <w:rsid w:val="006F3D60"/>
    <w:rsid w:val="00701463"/>
    <w:rsid w:val="00702BAC"/>
    <w:rsid w:val="00705E99"/>
    <w:rsid w:val="00707EB5"/>
    <w:rsid w:val="007214AD"/>
    <w:rsid w:val="007217BC"/>
    <w:rsid w:val="00721B0D"/>
    <w:rsid w:val="00721D98"/>
    <w:rsid w:val="00722ED4"/>
    <w:rsid w:val="0072473B"/>
    <w:rsid w:val="00733410"/>
    <w:rsid w:val="007457C8"/>
    <w:rsid w:val="007571A1"/>
    <w:rsid w:val="00757CBB"/>
    <w:rsid w:val="0076173C"/>
    <w:rsid w:val="007642F1"/>
    <w:rsid w:val="00767542"/>
    <w:rsid w:val="0076794C"/>
    <w:rsid w:val="00774EE1"/>
    <w:rsid w:val="00777447"/>
    <w:rsid w:val="007775F3"/>
    <w:rsid w:val="007828AB"/>
    <w:rsid w:val="00782BAC"/>
    <w:rsid w:val="00787CF0"/>
    <w:rsid w:val="00790F92"/>
    <w:rsid w:val="007931F0"/>
    <w:rsid w:val="00794C1A"/>
    <w:rsid w:val="007A14BD"/>
    <w:rsid w:val="007B4700"/>
    <w:rsid w:val="007B5644"/>
    <w:rsid w:val="007B78BD"/>
    <w:rsid w:val="007C0FC9"/>
    <w:rsid w:val="007C4B37"/>
    <w:rsid w:val="007D40B5"/>
    <w:rsid w:val="007D713E"/>
    <w:rsid w:val="007E16B2"/>
    <w:rsid w:val="007E246F"/>
    <w:rsid w:val="007E2567"/>
    <w:rsid w:val="007E4F62"/>
    <w:rsid w:val="007E6167"/>
    <w:rsid w:val="007F0CA7"/>
    <w:rsid w:val="007F15C7"/>
    <w:rsid w:val="008057EC"/>
    <w:rsid w:val="00807B7C"/>
    <w:rsid w:val="0081076E"/>
    <w:rsid w:val="00812FED"/>
    <w:rsid w:val="00815774"/>
    <w:rsid w:val="00820050"/>
    <w:rsid w:val="0082178C"/>
    <w:rsid w:val="008220A4"/>
    <w:rsid w:val="00823D5A"/>
    <w:rsid w:val="00830667"/>
    <w:rsid w:val="00831D09"/>
    <w:rsid w:val="00835C7A"/>
    <w:rsid w:val="0084715C"/>
    <w:rsid w:val="008523C5"/>
    <w:rsid w:val="00853472"/>
    <w:rsid w:val="0085461B"/>
    <w:rsid w:val="008562E5"/>
    <w:rsid w:val="00860C5D"/>
    <w:rsid w:val="008679D2"/>
    <w:rsid w:val="0087103E"/>
    <w:rsid w:val="00876D7C"/>
    <w:rsid w:val="008802F8"/>
    <w:rsid w:val="00884658"/>
    <w:rsid w:val="008869BC"/>
    <w:rsid w:val="00886A13"/>
    <w:rsid w:val="0089558D"/>
    <w:rsid w:val="008A0403"/>
    <w:rsid w:val="008A27D7"/>
    <w:rsid w:val="008A28F4"/>
    <w:rsid w:val="008B3305"/>
    <w:rsid w:val="008C6981"/>
    <w:rsid w:val="008C7CCD"/>
    <w:rsid w:val="008D1346"/>
    <w:rsid w:val="008D55F1"/>
    <w:rsid w:val="008E2232"/>
    <w:rsid w:val="008E44E6"/>
    <w:rsid w:val="008F3087"/>
    <w:rsid w:val="008F59B6"/>
    <w:rsid w:val="008F7D6E"/>
    <w:rsid w:val="0090294E"/>
    <w:rsid w:val="00906F76"/>
    <w:rsid w:val="009108AD"/>
    <w:rsid w:val="0091326C"/>
    <w:rsid w:val="00914BFD"/>
    <w:rsid w:val="009153FC"/>
    <w:rsid w:val="00927C24"/>
    <w:rsid w:val="0094018B"/>
    <w:rsid w:val="00947821"/>
    <w:rsid w:val="0095441A"/>
    <w:rsid w:val="00955DC6"/>
    <w:rsid w:val="00955E01"/>
    <w:rsid w:val="00956CAD"/>
    <w:rsid w:val="00961959"/>
    <w:rsid w:val="00965857"/>
    <w:rsid w:val="0098200F"/>
    <w:rsid w:val="00982A49"/>
    <w:rsid w:val="00982B3F"/>
    <w:rsid w:val="009855E9"/>
    <w:rsid w:val="00986B66"/>
    <w:rsid w:val="00991D70"/>
    <w:rsid w:val="00994838"/>
    <w:rsid w:val="00997281"/>
    <w:rsid w:val="009A1381"/>
    <w:rsid w:val="009A2CC8"/>
    <w:rsid w:val="009B0355"/>
    <w:rsid w:val="009B176E"/>
    <w:rsid w:val="009B2EAD"/>
    <w:rsid w:val="009C15BC"/>
    <w:rsid w:val="009C28EA"/>
    <w:rsid w:val="009C7780"/>
    <w:rsid w:val="009D08A6"/>
    <w:rsid w:val="009D1038"/>
    <w:rsid w:val="009D11D6"/>
    <w:rsid w:val="009D398D"/>
    <w:rsid w:val="009E2798"/>
    <w:rsid w:val="009F0087"/>
    <w:rsid w:val="009F3338"/>
    <w:rsid w:val="009F3D98"/>
    <w:rsid w:val="00A019A3"/>
    <w:rsid w:val="00A17448"/>
    <w:rsid w:val="00A178CC"/>
    <w:rsid w:val="00A3303A"/>
    <w:rsid w:val="00A33B8B"/>
    <w:rsid w:val="00A402F5"/>
    <w:rsid w:val="00A4220B"/>
    <w:rsid w:val="00A45B4A"/>
    <w:rsid w:val="00A57A25"/>
    <w:rsid w:val="00A57D3E"/>
    <w:rsid w:val="00A605C0"/>
    <w:rsid w:val="00A66CA6"/>
    <w:rsid w:val="00A6789B"/>
    <w:rsid w:val="00A76D9B"/>
    <w:rsid w:val="00A772AD"/>
    <w:rsid w:val="00A80FE9"/>
    <w:rsid w:val="00A82FE5"/>
    <w:rsid w:val="00A83177"/>
    <w:rsid w:val="00A837C0"/>
    <w:rsid w:val="00A83C16"/>
    <w:rsid w:val="00A85BAF"/>
    <w:rsid w:val="00A87F40"/>
    <w:rsid w:val="00A944FE"/>
    <w:rsid w:val="00AA0040"/>
    <w:rsid w:val="00AA341E"/>
    <w:rsid w:val="00AA4CB9"/>
    <w:rsid w:val="00AC03F6"/>
    <w:rsid w:val="00AC3FD1"/>
    <w:rsid w:val="00AC43E9"/>
    <w:rsid w:val="00AE0239"/>
    <w:rsid w:val="00AE07FE"/>
    <w:rsid w:val="00AE1BE3"/>
    <w:rsid w:val="00AE2DF5"/>
    <w:rsid w:val="00AF3E24"/>
    <w:rsid w:val="00B033C7"/>
    <w:rsid w:val="00B0368E"/>
    <w:rsid w:val="00B061B6"/>
    <w:rsid w:val="00B16DBC"/>
    <w:rsid w:val="00B176F5"/>
    <w:rsid w:val="00B2086F"/>
    <w:rsid w:val="00B25C26"/>
    <w:rsid w:val="00B263DA"/>
    <w:rsid w:val="00B2678D"/>
    <w:rsid w:val="00B26CD1"/>
    <w:rsid w:val="00B3733C"/>
    <w:rsid w:val="00B37F21"/>
    <w:rsid w:val="00B410C1"/>
    <w:rsid w:val="00B52174"/>
    <w:rsid w:val="00B63D0B"/>
    <w:rsid w:val="00B67439"/>
    <w:rsid w:val="00B67C2B"/>
    <w:rsid w:val="00B74542"/>
    <w:rsid w:val="00B81423"/>
    <w:rsid w:val="00B9219F"/>
    <w:rsid w:val="00BA116D"/>
    <w:rsid w:val="00BA54E3"/>
    <w:rsid w:val="00BA6F61"/>
    <w:rsid w:val="00BA760E"/>
    <w:rsid w:val="00BB2106"/>
    <w:rsid w:val="00BB234E"/>
    <w:rsid w:val="00BB4DA2"/>
    <w:rsid w:val="00BC41FE"/>
    <w:rsid w:val="00BD2930"/>
    <w:rsid w:val="00BD602E"/>
    <w:rsid w:val="00BE10C1"/>
    <w:rsid w:val="00BE1BA8"/>
    <w:rsid w:val="00BF0CFD"/>
    <w:rsid w:val="00BF300F"/>
    <w:rsid w:val="00BF6750"/>
    <w:rsid w:val="00C04ED0"/>
    <w:rsid w:val="00C07912"/>
    <w:rsid w:val="00C135CD"/>
    <w:rsid w:val="00C22811"/>
    <w:rsid w:val="00C31D55"/>
    <w:rsid w:val="00C33FF4"/>
    <w:rsid w:val="00C4317E"/>
    <w:rsid w:val="00C434D9"/>
    <w:rsid w:val="00C460BA"/>
    <w:rsid w:val="00C462D5"/>
    <w:rsid w:val="00C472F8"/>
    <w:rsid w:val="00C551D6"/>
    <w:rsid w:val="00C55570"/>
    <w:rsid w:val="00C56324"/>
    <w:rsid w:val="00C56D6C"/>
    <w:rsid w:val="00C6034B"/>
    <w:rsid w:val="00C6306C"/>
    <w:rsid w:val="00C72BAE"/>
    <w:rsid w:val="00C743F7"/>
    <w:rsid w:val="00C85BFB"/>
    <w:rsid w:val="00C86210"/>
    <w:rsid w:val="00C86A14"/>
    <w:rsid w:val="00C90BF6"/>
    <w:rsid w:val="00C92C28"/>
    <w:rsid w:val="00C96B82"/>
    <w:rsid w:val="00C9730B"/>
    <w:rsid w:val="00CA0FBD"/>
    <w:rsid w:val="00CA1BBE"/>
    <w:rsid w:val="00CA3881"/>
    <w:rsid w:val="00CA3F68"/>
    <w:rsid w:val="00CA4762"/>
    <w:rsid w:val="00CA5BE7"/>
    <w:rsid w:val="00CB12DB"/>
    <w:rsid w:val="00CB2F4A"/>
    <w:rsid w:val="00CB4F90"/>
    <w:rsid w:val="00CB5EF3"/>
    <w:rsid w:val="00CB6222"/>
    <w:rsid w:val="00CB7C53"/>
    <w:rsid w:val="00CC4C9D"/>
    <w:rsid w:val="00CC53CF"/>
    <w:rsid w:val="00CC6BAB"/>
    <w:rsid w:val="00CD16BB"/>
    <w:rsid w:val="00CD3CAD"/>
    <w:rsid w:val="00CE0262"/>
    <w:rsid w:val="00CE0674"/>
    <w:rsid w:val="00CE086F"/>
    <w:rsid w:val="00CE0B92"/>
    <w:rsid w:val="00CE12F0"/>
    <w:rsid w:val="00CE611D"/>
    <w:rsid w:val="00D050E2"/>
    <w:rsid w:val="00D11941"/>
    <w:rsid w:val="00D155C5"/>
    <w:rsid w:val="00D16296"/>
    <w:rsid w:val="00D24971"/>
    <w:rsid w:val="00D27437"/>
    <w:rsid w:val="00D421A2"/>
    <w:rsid w:val="00D50647"/>
    <w:rsid w:val="00D5359E"/>
    <w:rsid w:val="00D62969"/>
    <w:rsid w:val="00D64D76"/>
    <w:rsid w:val="00D66053"/>
    <w:rsid w:val="00D67683"/>
    <w:rsid w:val="00D73A4C"/>
    <w:rsid w:val="00D75E61"/>
    <w:rsid w:val="00D80575"/>
    <w:rsid w:val="00D84404"/>
    <w:rsid w:val="00D85126"/>
    <w:rsid w:val="00D85AD7"/>
    <w:rsid w:val="00D92213"/>
    <w:rsid w:val="00D93815"/>
    <w:rsid w:val="00D94255"/>
    <w:rsid w:val="00D977D9"/>
    <w:rsid w:val="00DA3E03"/>
    <w:rsid w:val="00DB6EFF"/>
    <w:rsid w:val="00DC0A04"/>
    <w:rsid w:val="00DC0FC3"/>
    <w:rsid w:val="00DC0FF3"/>
    <w:rsid w:val="00DC3E31"/>
    <w:rsid w:val="00DC73F7"/>
    <w:rsid w:val="00DD014F"/>
    <w:rsid w:val="00DD1A99"/>
    <w:rsid w:val="00DD1B6F"/>
    <w:rsid w:val="00DD601C"/>
    <w:rsid w:val="00DE039F"/>
    <w:rsid w:val="00DE11DD"/>
    <w:rsid w:val="00DE2F0F"/>
    <w:rsid w:val="00DE5087"/>
    <w:rsid w:val="00DF5B22"/>
    <w:rsid w:val="00DF7D36"/>
    <w:rsid w:val="00E06D6E"/>
    <w:rsid w:val="00E16E93"/>
    <w:rsid w:val="00E20BC0"/>
    <w:rsid w:val="00E27501"/>
    <w:rsid w:val="00E2792A"/>
    <w:rsid w:val="00E352C6"/>
    <w:rsid w:val="00E370CD"/>
    <w:rsid w:val="00E4020D"/>
    <w:rsid w:val="00E426CE"/>
    <w:rsid w:val="00E51681"/>
    <w:rsid w:val="00E53C57"/>
    <w:rsid w:val="00E54D0A"/>
    <w:rsid w:val="00E70A10"/>
    <w:rsid w:val="00E72238"/>
    <w:rsid w:val="00E74F59"/>
    <w:rsid w:val="00E853EA"/>
    <w:rsid w:val="00E861D6"/>
    <w:rsid w:val="00E90CE4"/>
    <w:rsid w:val="00E97C1D"/>
    <w:rsid w:val="00EA1E82"/>
    <w:rsid w:val="00EA31E8"/>
    <w:rsid w:val="00EB3051"/>
    <w:rsid w:val="00EB7D90"/>
    <w:rsid w:val="00EC1EA7"/>
    <w:rsid w:val="00ED40C7"/>
    <w:rsid w:val="00ED675D"/>
    <w:rsid w:val="00ED72D5"/>
    <w:rsid w:val="00EE1699"/>
    <w:rsid w:val="00EE62A4"/>
    <w:rsid w:val="00EE685D"/>
    <w:rsid w:val="00EF36C8"/>
    <w:rsid w:val="00F01527"/>
    <w:rsid w:val="00F02E3B"/>
    <w:rsid w:val="00F054B5"/>
    <w:rsid w:val="00F06498"/>
    <w:rsid w:val="00F1412F"/>
    <w:rsid w:val="00F2643D"/>
    <w:rsid w:val="00F27C09"/>
    <w:rsid w:val="00F342B6"/>
    <w:rsid w:val="00F42D43"/>
    <w:rsid w:val="00F43015"/>
    <w:rsid w:val="00F439D0"/>
    <w:rsid w:val="00F53C89"/>
    <w:rsid w:val="00F568D6"/>
    <w:rsid w:val="00F63C4A"/>
    <w:rsid w:val="00F64BD1"/>
    <w:rsid w:val="00F65D41"/>
    <w:rsid w:val="00F71D35"/>
    <w:rsid w:val="00F75047"/>
    <w:rsid w:val="00F8379A"/>
    <w:rsid w:val="00F87C9E"/>
    <w:rsid w:val="00F950DF"/>
    <w:rsid w:val="00FA0E60"/>
    <w:rsid w:val="00FA1822"/>
    <w:rsid w:val="00FA4510"/>
    <w:rsid w:val="00FB4375"/>
    <w:rsid w:val="00FC51D3"/>
    <w:rsid w:val="00FD24ED"/>
    <w:rsid w:val="00FD3070"/>
    <w:rsid w:val="00FE2BE5"/>
    <w:rsid w:val="00FE594F"/>
    <w:rsid w:val="00FF1505"/>
    <w:rsid w:val="00FF523B"/>
    <w:rsid w:val="1746644B"/>
    <w:rsid w:val="178A276B"/>
    <w:rsid w:val="23634B3C"/>
    <w:rsid w:val="23B71C62"/>
    <w:rsid w:val="24B35444"/>
    <w:rsid w:val="29061928"/>
    <w:rsid w:val="2CC832C6"/>
    <w:rsid w:val="3EBC60D5"/>
    <w:rsid w:val="45C36261"/>
    <w:rsid w:val="45D7586D"/>
    <w:rsid w:val="45EE6BDC"/>
    <w:rsid w:val="4DAC2C56"/>
    <w:rsid w:val="546A58D5"/>
    <w:rsid w:val="54EE57E5"/>
    <w:rsid w:val="608503A3"/>
    <w:rsid w:val="6A633CB5"/>
    <w:rsid w:val="6D0D338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iPriority="99" w:semiHidden="0" w:name="Body Text"/>
    <w:lsdException w:qFormat="1"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28"/>
      <w:szCs w:val="28"/>
      <w:lang w:val="en-US" w:eastAsia="zh-CN" w:bidi="ar-SA"/>
    </w:rPr>
  </w:style>
  <w:style w:type="character" w:default="1" w:styleId="13">
    <w:name w:val="Default Paragraph Font"/>
    <w:semiHidden/>
    <w:unhideWhenUsed/>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unhideWhenUsed/>
    <w:qFormat/>
    <w:uiPriority w:val="99"/>
    <w:pPr>
      <w:spacing w:after="120"/>
    </w:pPr>
  </w:style>
  <w:style w:type="paragraph" w:styleId="3">
    <w:name w:val="Body Text Indent"/>
    <w:basedOn w:val="1"/>
    <w:link w:val="19"/>
    <w:semiHidden/>
    <w:unhideWhenUsed/>
    <w:qFormat/>
    <w:uiPriority w:val="0"/>
    <w:pPr>
      <w:spacing w:after="120"/>
      <w:ind w:left="420" w:leftChars="200"/>
    </w:pPr>
  </w:style>
  <w:style w:type="paragraph" w:styleId="4">
    <w:name w:val="Date"/>
    <w:basedOn w:val="1"/>
    <w:next w:val="1"/>
    <w:link w:val="16"/>
    <w:qFormat/>
    <w:uiPriority w:val="99"/>
    <w:pPr>
      <w:adjustRightInd w:val="0"/>
      <w:spacing w:line="312" w:lineRule="atLeast"/>
      <w:ind w:left="100" w:leftChars="2500"/>
      <w:textAlignment w:val="baseline"/>
    </w:pPr>
    <w:rPr>
      <w:rFonts w:ascii="宋体" w:hAnsi="宋体" w:eastAsia="宋体"/>
      <w:kern w:val="0"/>
      <w:szCs w:val="20"/>
    </w:rPr>
  </w:style>
  <w:style w:type="paragraph" w:styleId="5">
    <w:name w:val="Body Text Indent 2"/>
    <w:basedOn w:val="1"/>
    <w:link w:val="17"/>
    <w:qFormat/>
    <w:uiPriority w:val="0"/>
    <w:pPr>
      <w:adjustRightInd w:val="0"/>
      <w:spacing w:line="360" w:lineRule="auto"/>
      <w:ind w:firstLine="570"/>
      <w:textAlignment w:val="baseline"/>
    </w:pPr>
    <w:rPr>
      <w:rFonts w:ascii="宋体" w:eastAsia="宋体"/>
      <w:kern w:val="0"/>
      <w:szCs w:val="20"/>
    </w:rPr>
  </w:style>
  <w:style w:type="paragraph" w:styleId="6">
    <w:name w:val="Balloon Text"/>
    <w:basedOn w:val="1"/>
    <w:link w:val="18"/>
    <w:semiHidden/>
    <w:qFormat/>
    <w:uiPriority w:val="99"/>
    <w:rPr>
      <w:sz w:val="18"/>
      <w:szCs w:val="18"/>
    </w:rPr>
  </w:style>
  <w:style w:type="paragraph" w:styleId="7">
    <w:name w:val="footer"/>
    <w:basedOn w:val="1"/>
    <w:link w:val="15"/>
    <w:qFormat/>
    <w:uiPriority w:val="99"/>
    <w:pPr>
      <w:tabs>
        <w:tab w:val="center" w:pos="4153"/>
        <w:tab w:val="right" w:pos="8306"/>
      </w:tabs>
      <w:snapToGrid w:val="0"/>
      <w:jc w:val="left"/>
    </w:pPr>
    <w:rPr>
      <w:sz w:val="18"/>
      <w:szCs w:val="18"/>
    </w:rPr>
  </w:style>
  <w:style w:type="paragraph" w:styleId="8">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Body Text First Indent"/>
    <w:basedOn w:val="2"/>
    <w:qFormat/>
    <w:uiPriority w:val="0"/>
    <w:pPr>
      <w:widowControl/>
      <w:spacing w:before="100" w:beforeAutospacing="1" w:after="100" w:afterAutospacing="1"/>
      <w:ind w:firstLine="420" w:firstLineChars="100"/>
      <w:jc w:val="left"/>
    </w:pPr>
    <w:rPr>
      <w:rFonts w:ascii="宋体" w:hAnsi="宋体"/>
      <w:kern w:val="0"/>
      <w:sz w:val="24"/>
    </w:rPr>
  </w:style>
  <w:style w:type="paragraph" w:styleId="11">
    <w:name w:val="Body Text First Indent 2"/>
    <w:basedOn w:val="3"/>
    <w:link w:val="20"/>
    <w:semiHidden/>
    <w:unhideWhenUsed/>
    <w:qFormat/>
    <w:uiPriority w:val="0"/>
    <w:pPr>
      <w:ind w:firstLine="420" w:firstLineChars="200"/>
    </w:pPr>
  </w:style>
  <w:style w:type="character" w:customStyle="1" w:styleId="14">
    <w:name w:val="页眉 字符"/>
    <w:link w:val="8"/>
    <w:qFormat/>
    <w:uiPriority w:val="99"/>
    <w:rPr>
      <w:rFonts w:ascii="仿宋_GB2312" w:eastAsia="仿宋_GB2312"/>
      <w:kern w:val="2"/>
      <w:sz w:val="18"/>
      <w:szCs w:val="18"/>
    </w:rPr>
  </w:style>
  <w:style w:type="character" w:customStyle="1" w:styleId="15">
    <w:name w:val="页脚 字符"/>
    <w:link w:val="7"/>
    <w:qFormat/>
    <w:uiPriority w:val="99"/>
    <w:rPr>
      <w:rFonts w:ascii="仿宋_GB2312" w:eastAsia="仿宋_GB2312"/>
      <w:kern w:val="2"/>
      <w:sz w:val="18"/>
      <w:szCs w:val="18"/>
    </w:rPr>
  </w:style>
  <w:style w:type="character" w:customStyle="1" w:styleId="16">
    <w:name w:val="日期 字符"/>
    <w:basedOn w:val="13"/>
    <w:link w:val="4"/>
    <w:qFormat/>
    <w:uiPriority w:val="99"/>
    <w:rPr>
      <w:rFonts w:ascii="宋体" w:hAnsi="宋体"/>
      <w:sz w:val="28"/>
    </w:rPr>
  </w:style>
  <w:style w:type="character" w:customStyle="1" w:styleId="17">
    <w:name w:val="正文文本缩进 2 字符"/>
    <w:basedOn w:val="13"/>
    <w:link w:val="5"/>
    <w:qFormat/>
    <w:uiPriority w:val="0"/>
    <w:rPr>
      <w:rFonts w:ascii="宋体"/>
      <w:sz w:val="28"/>
    </w:rPr>
  </w:style>
  <w:style w:type="character" w:customStyle="1" w:styleId="18">
    <w:name w:val="批注框文本 字符"/>
    <w:basedOn w:val="13"/>
    <w:link w:val="6"/>
    <w:semiHidden/>
    <w:qFormat/>
    <w:uiPriority w:val="99"/>
    <w:rPr>
      <w:rFonts w:ascii="仿宋_GB2312" w:eastAsia="仿宋_GB2312"/>
      <w:kern w:val="2"/>
      <w:sz w:val="18"/>
      <w:szCs w:val="18"/>
    </w:rPr>
  </w:style>
  <w:style w:type="character" w:customStyle="1" w:styleId="19">
    <w:name w:val="正文文本缩进 字符"/>
    <w:basedOn w:val="13"/>
    <w:link w:val="3"/>
    <w:semiHidden/>
    <w:qFormat/>
    <w:uiPriority w:val="0"/>
    <w:rPr>
      <w:rFonts w:ascii="仿宋_GB2312" w:eastAsia="仿宋_GB2312"/>
      <w:kern w:val="2"/>
      <w:sz w:val="28"/>
      <w:szCs w:val="28"/>
    </w:rPr>
  </w:style>
  <w:style w:type="character" w:customStyle="1" w:styleId="20">
    <w:name w:val="正文文本首行缩进 2 字符"/>
    <w:basedOn w:val="19"/>
    <w:link w:val="11"/>
    <w:semiHidden/>
    <w:qFormat/>
    <w:uiPriority w:val="0"/>
    <w:rPr>
      <w:rFonts w:ascii="仿宋_GB2312" w:eastAsia="仿宋_GB2312"/>
      <w:kern w:val="2"/>
      <w:sz w:val="28"/>
      <w:szCs w:val="28"/>
    </w:rPr>
  </w:style>
  <w:style w:type="character" w:customStyle="1" w:styleId="21">
    <w:name w:val="normal__char1"/>
    <w:qFormat/>
    <w:uiPriority w:val="0"/>
    <w:rPr>
      <w:rFonts w:hint="default" w:ascii="Calibri" w:hAnsi="Calibri" w:cs="Calibri"/>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16</Pages>
  <Words>9447</Words>
  <Characters>9729</Characters>
  <Lines>69</Lines>
  <Paragraphs>19</Paragraphs>
  <TotalTime>7</TotalTime>
  <ScaleCrop>false</ScaleCrop>
  <LinksUpToDate>false</LinksUpToDate>
  <CharactersWithSpaces>9737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2024-12-18T02:43:00Z</dcterms:created>
  <dc:creator>mlzdqbxx</dc:creator>
  <cp:lastModifiedBy>Alen ꧁ℳℓℓℳ꧁</cp:lastModifiedBy>
  <cp:lastPrinted>2024-11-22T07:17:00Z</cp:lastPrinted>
  <dcterms:modified xsi:type="dcterms:W3CDTF">2025-01-24T02:23:22Z</dcterms:modified>
  <dc:title>镇四届人大四次</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5DCD3879B9EE4BE0BDA4A00CE0691C9B_13</vt:lpwstr>
  </property>
  <property fmtid="{D5CDD505-2E9C-101B-9397-08002B2CF9AE}" pid="4" name="KSOTemplateDocerSaveRecord">
    <vt:lpwstr>eyJoZGlkIjoiMzI1NjAzYmZhZjYyZGYxZjc0NDg5MzgzZGQ3YzdmYWYiLCJ1c2VySWQiOiIyNjY2MzUzNjgifQ==</vt:lpwstr>
  </property>
</Properties>
</file>