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〕1</w:t>
      </w:r>
      <w:bookmarkStart w:id="0" w:name="_GoBack"/>
      <w:r w:rsidR="008C501D">
        <w:rPr>
          <w:rFonts w:ascii="仿宋_GB2312" w:eastAsia="仿宋_GB2312" w:hAnsi="仿宋_GB2312" w:cs="仿宋_GB2312"/>
          <w:sz w:val="32"/>
          <w:szCs w:val="32"/>
        </w:rPr>
        <w:t>1</w:t>
      </w:r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>
      <w:pPr>
        <w:tabs>
          <w:tab w:val="left" w:pos="4320"/>
        </w:tabs>
        <w:spacing w:line="4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105884" w:rsidRDefault="00105884" w:rsidP="009F76F0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关于印发《闵行区科学技术委员会</w:t>
      </w:r>
    </w:p>
    <w:p w:rsidR="00105884" w:rsidRDefault="00105884" w:rsidP="009F76F0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2024年工作总结》的通知</w:t>
      </w:r>
    </w:p>
    <w:p w:rsidR="00105884" w:rsidRDefault="00105884" w:rsidP="009F76F0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105884" w:rsidRDefault="00105884" w:rsidP="00674931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科委科协各科、部、室及事业单位：</w:t>
      </w:r>
    </w:p>
    <w:p w:rsidR="00105884" w:rsidRDefault="00105884" w:rsidP="00674931">
      <w:pPr>
        <w:pStyle w:val="23"/>
        <w:spacing w:after="0" w:line="560" w:lineRule="exact"/>
        <w:ind w:firstLine="640"/>
        <w:rPr>
          <w:rFonts w:ascii="仿宋_GB2312" w:hAnsi="仿宋_GB2312" w:cs="仿宋_GB2312"/>
          <w:szCs w:val="32"/>
        </w:rPr>
      </w:pPr>
      <w:r>
        <w:rPr>
          <w:rFonts w:ascii="仿宋_GB2312" w:hAnsi="仿宋_GB2312" w:cs="仿宋_GB2312" w:hint="eastAsia"/>
          <w:szCs w:val="32"/>
        </w:rPr>
        <w:t>现将《闵行区科学技术委员会2024年工作总结》印发给你们，请你们认真总结，积极谋划好2025年工作。</w:t>
      </w:r>
    </w:p>
    <w:p w:rsidR="00105884" w:rsidRDefault="00105884" w:rsidP="00674931">
      <w:pPr>
        <w:pStyle w:val="23"/>
        <w:spacing w:after="0" w:line="560" w:lineRule="exact"/>
        <w:ind w:firstLine="640"/>
        <w:rPr>
          <w:rFonts w:ascii="仿宋_GB2312" w:hAnsi="仿宋_GB2312" w:cs="仿宋_GB2312"/>
          <w:szCs w:val="32"/>
        </w:rPr>
      </w:pPr>
      <w:r>
        <w:rPr>
          <w:rFonts w:ascii="仿宋_GB2312" w:hAnsi="仿宋_GB2312" w:cs="仿宋_GB2312" w:hint="eastAsia"/>
          <w:szCs w:val="32"/>
        </w:rPr>
        <w:t>特此通知。</w:t>
      </w:r>
    </w:p>
    <w:p w:rsidR="00105884" w:rsidRDefault="00105884" w:rsidP="00674931">
      <w:pPr>
        <w:pStyle w:val="23"/>
        <w:spacing w:after="0" w:line="560" w:lineRule="exact"/>
        <w:ind w:firstLine="640"/>
        <w:rPr>
          <w:rFonts w:ascii="仿宋_GB2312" w:hAnsi="仿宋_GB2312" w:cs="仿宋_GB2312"/>
          <w:szCs w:val="32"/>
        </w:rPr>
      </w:pPr>
    </w:p>
    <w:p w:rsidR="00105884" w:rsidRDefault="00105884" w:rsidP="00674931">
      <w:pPr>
        <w:pStyle w:val="23"/>
        <w:spacing w:after="0" w:line="560" w:lineRule="exact"/>
        <w:ind w:firstLine="640"/>
        <w:rPr>
          <w:rFonts w:ascii="仿宋_GB2312" w:hAnsi="仿宋_GB2312" w:cs="仿宋_GB2312"/>
          <w:szCs w:val="32"/>
        </w:rPr>
      </w:pPr>
      <w:r>
        <w:rPr>
          <w:rFonts w:ascii="仿宋_GB2312" w:hAnsi="仿宋_GB2312" w:cs="仿宋_GB2312" w:hint="eastAsia"/>
          <w:szCs w:val="32"/>
        </w:rPr>
        <w:t>附件：闵行区科学技术委员会2024年工作总结</w:t>
      </w:r>
    </w:p>
    <w:p w:rsidR="00105884" w:rsidRDefault="00105884" w:rsidP="00674931">
      <w:pPr>
        <w:pStyle w:val="21"/>
        <w:spacing w:after="0" w:line="560" w:lineRule="exact"/>
        <w:ind w:leftChars="0" w:left="0"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105884" w:rsidRDefault="00105884" w:rsidP="00674931">
      <w:pPr>
        <w:spacing w:line="560" w:lineRule="exact"/>
        <w:ind w:firstLine="640"/>
        <w:rPr>
          <w:rFonts w:ascii="仿宋_GB2312" w:eastAsia="仿宋_GB2312" w:hAnsi="仿宋_GB2312" w:cs="仿宋_GB2312"/>
        </w:rPr>
      </w:pPr>
    </w:p>
    <w:p w:rsidR="00105884" w:rsidRDefault="00105884" w:rsidP="00674931">
      <w:pPr>
        <w:pStyle w:val="23"/>
        <w:spacing w:after="0" w:line="560" w:lineRule="exact"/>
        <w:ind w:firstLine="640"/>
        <w:rPr>
          <w:rFonts w:ascii="仿宋_GB2312" w:hAnsi="仿宋_GB2312" w:cs="仿宋_GB2312"/>
          <w:szCs w:val="32"/>
        </w:rPr>
      </w:pPr>
    </w:p>
    <w:p w:rsidR="00105884" w:rsidRPr="00674931" w:rsidRDefault="00105884" w:rsidP="00674931">
      <w:pPr>
        <w:pStyle w:val="23"/>
        <w:spacing w:after="0" w:line="560" w:lineRule="exact"/>
        <w:ind w:right="320" w:firstLine="640"/>
        <w:jc w:val="right"/>
        <w:rPr>
          <w:rFonts w:ascii="仿宋_GB2312" w:hAnsi="仿宋_GB2312" w:cs="仿宋_GB2312"/>
          <w:szCs w:val="32"/>
        </w:rPr>
      </w:pPr>
      <w:r w:rsidRPr="00674931">
        <w:rPr>
          <w:rFonts w:ascii="仿宋_GB2312" w:hAnsi="仿宋_GB2312" w:cs="仿宋_GB2312" w:hint="eastAsia"/>
          <w:szCs w:val="32"/>
        </w:rPr>
        <w:t>闵行区科学技术委员会</w:t>
      </w:r>
    </w:p>
    <w:p w:rsidR="00A2489D" w:rsidRPr="00674931" w:rsidRDefault="00105884" w:rsidP="00674931">
      <w:pPr>
        <w:pStyle w:val="23"/>
        <w:spacing w:after="0" w:line="560" w:lineRule="exact"/>
        <w:ind w:right="800" w:firstLine="640"/>
        <w:jc w:val="right"/>
        <w:rPr>
          <w:rFonts w:ascii="仿宋_GB2312" w:hAnsi="仿宋_GB2312" w:cs="仿宋_GB2312"/>
          <w:szCs w:val="32"/>
        </w:rPr>
      </w:pPr>
      <w:r w:rsidRPr="00674931">
        <w:rPr>
          <w:rFonts w:ascii="仿宋_GB2312" w:hAnsi="仿宋_GB2312" w:cs="仿宋_GB2312" w:hint="eastAsia"/>
          <w:szCs w:val="32"/>
        </w:rPr>
        <w:t>2025年</w:t>
      </w:r>
      <w:r w:rsidRPr="00674931">
        <w:rPr>
          <w:rFonts w:ascii="仿宋_GB2312" w:hAnsi="仿宋_GB2312" w:cs="仿宋_GB2312"/>
          <w:szCs w:val="32"/>
        </w:rPr>
        <w:t>2</w:t>
      </w:r>
      <w:r w:rsidRPr="00674931">
        <w:rPr>
          <w:rFonts w:ascii="仿宋_GB2312" w:hAnsi="仿宋_GB2312" w:cs="仿宋_GB2312" w:hint="eastAsia"/>
          <w:szCs w:val="32"/>
        </w:rPr>
        <w:t>月</w:t>
      </w:r>
      <w:r w:rsidRPr="00674931">
        <w:rPr>
          <w:rFonts w:ascii="仿宋_GB2312" w:hAnsi="仿宋_GB2312" w:cs="仿宋_GB2312"/>
          <w:szCs w:val="32"/>
        </w:rPr>
        <w:t>6</w:t>
      </w:r>
      <w:r w:rsidRPr="00674931">
        <w:rPr>
          <w:rFonts w:ascii="仿宋_GB2312" w:hAnsi="仿宋_GB2312" w:cs="仿宋_GB2312" w:hint="eastAsia"/>
          <w:szCs w:val="32"/>
        </w:rPr>
        <w:t>日</w:t>
      </w:r>
      <w:r w:rsidRPr="00674931">
        <w:rPr>
          <w:rFonts w:ascii="仿宋_GB2312" w:hAnsi="仿宋_GB2312" w:cs="仿宋_GB2312"/>
          <w:szCs w:val="32"/>
        </w:rPr>
        <w:t xml:space="preserve"> </w:t>
      </w:r>
    </w:p>
    <w:p w:rsidR="00674931" w:rsidRDefault="00674931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74931" w:rsidRDefault="00674931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7E5240" w:rsidRDefault="00A2489D" w:rsidP="000073A5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105884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 w:rsidR="00105884">
        <w:rPr>
          <w:rFonts w:ascii="仿宋_GB2312" w:eastAsia="仿宋_GB2312" w:hAnsi="仿宋_GB2312" w:cs="仿宋_GB2312"/>
          <w:sz w:val="30"/>
          <w:szCs w:val="30"/>
          <w:u w:val="single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ED38AF">
        <w:rPr>
          <w:rFonts w:ascii="仿宋_GB2312" w:eastAsia="仿宋_GB2312" w:hAnsi="仿宋_GB2312" w:cs="仿宋_GB2312" w:hint="eastAsia"/>
          <w:sz w:val="30"/>
          <w:szCs w:val="30"/>
          <w:u w:val="single"/>
        </w:rPr>
        <w:t>6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p w:rsidR="00105884" w:rsidRDefault="00105884" w:rsidP="00105884">
      <w:pPr>
        <w:widowControl/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105884" w:rsidRDefault="00105884" w:rsidP="00532883">
      <w:pPr>
        <w:widowControl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闵行区科学技术委员会2024年工作总结</w:t>
      </w:r>
    </w:p>
    <w:p w:rsidR="00105884" w:rsidRDefault="00105884" w:rsidP="00532883">
      <w:pPr>
        <w:pStyle w:val="af4"/>
        <w:spacing w:after="0" w:line="560" w:lineRule="exact"/>
        <w:ind w:firstLine="640"/>
        <w:jc w:val="center"/>
        <w:rPr>
          <w:rFonts w:ascii="楷体_GB2312" w:eastAsia="楷体_GB2312" w:hAnsi="楷体_GB2312" w:cs="楷体_GB2312"/>
          <w:sz w:val="32"/>
          <w:szCs w:val="32"/>
        </w:rPr>
      </w:pPr>
    </w:p>
    <w:p w:rsidR="00105884" w:rsidRPr="00105884" w:rsidRDefault="00105884" w:rsidP="00532883">
      <w:pPr>
        <w:spacing w:line="56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sz w:val="32"/>
          <w:szCs w:val="32"/>
        </w:rPr>
        <w:t>2024年，是“十四五”规划任务目标全面推进、承上启下的关键之年、攻坚之年，在市委、市政府和区委、区政府的正确领导下，闵行区科委以建设“大零号湾”科技创新策源功能区为核心，持续激发区域科技创新发展活力，着力打造科学、科技、科创“三科之城”。</w:t>
      </w:r>
    </w:p>
    <w:p w:rsidR="00105884" w:rsidRPr="00105884" w:rsidRDefault="00105884" w:rsidP="00532883">
      <w:pPr>
        <w:pStyle w:val="1"/>
        <w:spacing w:line="560" w:lineRule="exact"/>
        <w:ind w:firstLine="640"/>
        <w:rPr>
          <w:rFonts w:ascii="黑体" w:hAnsi="黑体" w:cs="黑体"/>
          <w:szCs w:val="32"/>
        </w:rPr>
      </w:pPr>
      <w:r w:rsidRPr="00105884">
        <w:rPr>
          <w:rFonts w:ascii="黑体" w:hAnsi="黑体" w:cs="黑体" w:hint="eastAsia"/>
          <w:szCs w:val="32"/>
        </w:rPr>
        <w:t>一、主要目标完成情况</w:t>
      </w:r>
    </w:p>
    <w:p w:rsidR="00105884" w:rsidRPr="00105884" w:rsidRDefault="00105884" w:rsidP="00532883">
      <w:pPr>
        <w:spacing w:line="56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sz w:val="32"/>
          <w:szCs w:val="32"/>
        </w:rPr>
        <w:t>推动各类主体加强研发创新，全社会研发投入266.18亿元，占GDP达8.87%，全市第一；推动科技成果转移转化，全年技术合同成交额达到367.58亿元，同比增长9.06%，技术合同登记考核全市第一；推动科技企业高质量发展，有效期内高新技术企业数超3668家，全市第二；推进生物医药产业高质量发展，全年实现工业产值超300亿元；加速推动科技服务业发展，2024年实现营收437.43亿元；促进产学研用有机结合，全区建有115家院士专家工作站（其中8家院士工作站），全市第一；提高科技金融服务水平，全年共为40个创业项目提供首贷支持1405万元；推进科研资源开放共享，全区共享仪器达2949台，全市第二。</w:t>
      </w:r>
    </w:p>
    <w:p w:rsidR="00105884" w:rsidRPr="00105884" w:rsidRDefault="00105884" w:rsidP="00532883">
      <w:pPr>
        <w:pStyle w:val="1"/>
        <w:spacing w:line="560" w:lineRule="exact"/>
        <w:ind w:firstLine="640"/>
        <w:rPr>
          <w:rFonts w:ascii="黑体" w:hAnsi="黑体" w:cs="黑体"/>
          <w:szCs w:val="32"/>
        </w:rPr>
      </w:pPr>
      <w:r w:rsidRPr="00105884">
        <w:rPr>
          <w:rFonts w:ascii="黑体" w:hAnsi="黑体" w:cs="黑体" w:hint="eastAsia"/>
          <w:szCs w:val="32"/>
        </w:rPr>
        <w:t>二、重点任务推进情况</w:t>
      </w:r>
    </w:p>
    <w:p w:rsidR="00105884" w:rsidRPr="00105884" w:rsidRDefault="00105884" w:rsidP="00532883">
      <w:pPr>
        <w:pStyle w:val="2"/>
        <w:spacing w:line="560" w:lineRule="exact"/>
        <w:ind w:firstLine="640"/>
        <w:rPr>
          <w:rFonts w:ascii="楷体" w:hAnsi="楷体" w:cs="楷体"/>
          <w:szCs w:val="32"/>
        </w:rPr>
      </w:pPr>
      <w:r w:rsidRPr="00105884">
        <w:rPr>
          <w:rFonts w:ascii="楷体" w:hAnsi="楷体" w:cs="楷体" w:hint="eastAsia"/>
          <w:szCs w:val="32"/>
        </w:rPr>
        <w:t>（一）扎实推进“大零号湾”科技创新策源功能区建设</w:t>
      </w:r>
    </w:p>
    <w:p w:rsidR="00105884" w:rsidRPr="00105884" w:rsidRDefault="00105884" w:rsidP="00532883">
      <w:pPr>
        <w:spacing w:line="56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sz w:val="32"/>
          <w:szCs w:val="32"/>
        </w:rPr>
        <w:t>根据市委市政府统一部署，在市科委等相关部门的指导下，与上海交大、华东师大等高校共同推进“大零号湾”建设。截至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目前，已汇聚硬科技企业4300余家，其中高新技术企业数量超700家，估值亿元以上企业172家。</w:t>
      </w:r>
    </w:p>
    <w:p w:rsidR="00105884" w:rsidRPr="00105884" w:rsidRDefault="00105884" w:rsidP="00532883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以规划与政策为引领，“大零号湾”顶层设计更加清晰。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编制市级专项规划与政策，加强系统布局。会同市规划资源局、市科委联合研究编制“大零号湾”专项规划，于10月完成公示。会同市科委研究出台“大零号湾”专项政策，围绕“强策源、促转化、增动能、聚要素、造氛围”五个方面，形成20条具体政策措施，于7月11日起正式实施。9月13日，闵行区印发《推进落实〈关于加快“大零号湾”科技创新策源功能区建设的若干政策措施〉责任分工的方案》（闵府办发〔2024〕33号），细化64条责任分工，涉及10个牵头单位、21个配合单位。配合市财政局、市科委等研究设立“大零号湾”专项发展资金，12月31日，《“大零号湾”科技创新策源功能区发展专项资金使用和管理办法》（沪科合〔2024〕29号）已经市政府常务会议审议通过并发文。</w:t>
      </w:r>
    </w:p>
    <w:p w:rsidR="00105884" w:rsidRPr="00105884" w:rsidRDefault="00105884" w:rsidP="00532883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以项目与平台为抓手，高能级创新要素更加集聚。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创新平台体系初步形成，8个国家重点实验室基本完成新建或重组。临港实验室、中国科学院分子细胞科学卓越创新中心闵行基地、香港大学上海研究院等相继落地。上海交大溥渊未来技术学院大楼建设正式启动，将与宁德时代未来能源（上海）研究院新型储能研发中心等单位共同推动新能源发展与应用。成果转化项目加速落地，启动上海交通大学概念验证中心联盟，助力基础研究与成果转化有效衔接。相继成立闵行区合成生物产业联盟、“大零号湾”机器人创新联盟等，布局“大零号湾”产业发展拓展区，合力承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接创新成果溢出和产业化落地。</w:t>
      </w:r>
    </w:p>
    <w:p w:rsidR="00105884" w:rsidRPr="00105884" w:rsidRDefault="00105884" w:rsidP="00532883">
      <w:pPr>
        <w:pStyle w:val="21"/>
        <w:spacing w:after="0" w:line="560" w:lineRule="exact"/>
        <w:ind w:leftChars="0" w:left="0"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以产业生态打造为核心，全要素科创体系更加完善。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开展2024年“大零号湾”优质科创企业&amp;企业家榜单评选。支持举办上海市产业技术创新大会、2024中国人形机器人技术应用峰会、2024绿色生态创新大会、2024中国科技青年论坛暨TR35中国区发布仪式、2024浦江创新论坛—未来材料：交叉创新与可持续发展专题论坛、首届核糖核酸功能与应用国际论坛等高水平赛事活动，其中，与上海交大联合承办2024年中国国际大学生创新大赛，参赛学生代表获习近平总书记回信勉励。</w:t>
      </w:r>
    </w:p>
    <w:p w:rsidR="00105884" w:rsidRPr="00105884" w:rsidRDefault="00105884" w:rsidP="00532883">
      <w:pPr>
        <w:pStyle w:val="2"/>
        <w:spacing w:line="560" w:lineRule="exact"/>
        <w:ind w:firstLine="640"/>
        <w:rPr>
          <w:rFonts w:ascii="楷体" w:hAnsi="楷体" w:cs="楷体"/>
          <w:szCs w:val="32"/>
        </w:rPr>
      </w:pPr>
      <w:r w:rsidRPr="00105884">
        <w:rPr>
          <w:rFonts w:ascii="楷体" w:hAnsi="楷体" w:cs="楷体" w:hint="eastAsia"/>
          <w:szCs w:val="32"/>
        </w:rPr>
        <w:t>（二）提升科技创新供给能力</w:t>
      </w:r>
    </w:p>
    <w:p w:rsidR="00105884" w:rsidRPr="00105884" w:rsidRDefault="00105884" w:rsidP="00532883">
      <w:pPr>
        <w:pStyle w:val="21"/>
        <w:spacing w:after="0" w:line="560" w:lineRule="exact"/>
        <w:ind w:leftChars="0" w:left="0"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加速科研创新平台建设，催生科学“新成果”。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做好高能级创新平台引进和服务，支持上海颠覆性技术创新中心投入运营，联合成立颠覆性技术创新基金，举办全国颠覆性技术创新大赛总决赛；上海昇思生态创新中心正式启动运营，昇思MindSpore开源实习基地揭牌。聚力新型研发机构建设，交大医疗机器人研究院已建成市级技术创新中心，目前建成10个基础研究中心、12个临床联合研究中心；人工智能研究院启动全国首个智能机器人中试验证平台建设，发起成立长三角智能机器人产业链合作联盟等5个产业联盟；前瞻创新研究院推进军事脑联网、生物战剂侦检仪等11项在研前瞻项目研发，其中6项已经完成项目结题验收。鼓励各类平台企业申报上海市新型研发机构，3家机构获评上海市新型研发机构。</w:t>
      </w:r>
    </w:p>
    <w:p w:rsidR="00105884" w:rsidRPr="00105884" w:rsidRDefault="00105884" w:rsidP="00532883">
      <w:pPr>
        <w:pStyle w:val="21"/>
        <w:spacing w:after="0" w:line="560" w:lineRule="exact"/>
        <w:ind w:leftChars="0" w:left="0"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加快关键核心技术突破，做实科技“硬家底”。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优化关键核心技术攻关“揭榜挂帅”制度，帮助科创企业衔接优质产业链、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创新链，完成第一批2024年度3项高端装备领域关键核心技术攻关项目合同签署，并启动新一轮关键核心技术攻关项目需求征集。支持我区创新主体在“硬科技”方面不断探索与突破，13项科技成果获2023年度国家科学技术奖，全市占比26.53%，其中，上海交大毛军发院士牵头的“射频系统设计自动化关键技术与应用”项目获国家科学技术进步一等奖；58项（人）获2023年度上海市科学技术奖，全市占比27.1%。</w:t>
      </w:r>
    </w:p>
    <w:p w:rsidR="00105884" w:rsidRPr="00105884" w:rsidRDefault="00105884" w:rsidP="00532883">
      <w:pPr>
        <w:pStyle w:val="21"/>
        <w:spacing w:after="0" w:line="560" w:lineRule="exact"/>
        <w:ind w:leftChars="0" w:left="0"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推动科技成果转化应用，跑出科创“加速度”。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服务前沿科技成果转化落地，推动“大零号湾研发+马桥制造”有效联动，首批落地项目包括节卡、飒智等6个智能机器人制造企业。2024年新增认定上海市高新技术成果转化项目116项，占全市比重13.55%，有效期内高转项目达到404项。推动科技成果转移转化，全年技术合同成交额达367.58亿元。推动产学研用有机结合，2024年全区共有115家院士专家工作站（其中8家院士工作站），全市排名第一。</w:t>
      </w:r>
    </w:p>
    <w:p w:rsidR="00105884" w:rsidRPr="00105884" w:rsidRDefault="00105884" w:rsidP="00532883">
      <w:pPr>
        <w:pStyle w:val="2"/>
        <w:spacing w:line="560" w:lineRule="exact"/>
        <w:ind w:firstLine="640"/>
        <w:rPr>
          <w:rFonts w:ascii="楷体" w:hAnsi="楷体" w:cs="楷体"/>
          <w:szCs w:val="32"/>
        </w:rPr>
      </w:pPr>
      <w:r w:rsidRPr="00105884">
        <w:rPr>
          <w:rFonts w:ascii="楷体" w:hAnsi="楷体" w:cs="楷体" w:hint="eastAsia"/>
          <w:szCs w:val="32"/>
        </w:rPr>
        <w:t>（三）加速培育新质生产力</w:t>
      </w:r>
    </w:p>
    <w:p w:rsidR="00105884" w:rsidRPr="00105884" w:rsidRDefault="00105884" w:rsidP="00532883">
      <w:pPr>
        <w:spacing w:line="560" w:lineRule="exact"/>
        <w:ind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健全培育机制，厚植科技企业成长沃土。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推动金融资本链条与科技创新链条融合，完善包括科技创业公益基金-助力贷-履约贷的无息或者低息贷款体系，满足科技企业从种子期到成长期不同阶段资金需求，全年共为40个创业项目提供首贷支持1405万元，2家企业获得市级雏鹰奖，支持1000余家科技企业获得银行授信。深化“科创金融集市”品牌，通过与园区、银行联动的方式，送服务进园区、进企业，开展EFG“创业谷”科创训练营等各类双创活动22场，覆盖科技企业超600家。</w:t>
      </w:r>
    </w:p>
    <w:p w:rsidR="00105884" w:rsidRPr="00105884" w:rsidRDefault="00105884" w:rsidP="00532883">
      <w:pPr>
        <w:spacing w:line="560" w:lineRule="exact"/>
        <w:ind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lastRenderedPageBreak/>
        <w:t>加速载体建设，打造新质生产力苗圃。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布局高质量孵化器，育孵“硬核”科技领军企业。交大“大零号湾一公里孵化器”已有21个项目注册落地；“大零号湾华东师大孵化器”已有20余个项目注册落地；司南生命科技超级孵化器启动，打造脑科学和中枢神经系统疾病治疗领域的专业转化孵化平台；新增4家市级众创空间。支持区内科创主体共建概念验证中心、中试熟化平台等公共服务平台，全国首个智能机器人中试验证平台启动建设，促进产业成果更好赋能多领域智能化升级。</w:t>
      </w:r>
    </w:p>
    <w:p w:rsidR="00105884" w:rsidRPr="00105884" w:rsidRDefault="00105884" w:rsidP="00532883">
      <w:pPr>
        <w:spacing w:line="560" w:lineRule="exact"/>
        <w:ind w:firstLine="643"/>
        <w:rPr>
          <w:rFonts w:ascii="仿宋_GB2312" w:eastAsia="仿宋_GB2312" w:hAnsi="仿宋_GB2312" w:cs="仿宋_GB2312"/>
          <w:sz w:val="32"/>
          <w:szCs w:val="32"/>
        </w:rPr>
      </w:pPr>
      <w:r w:rsidRPr="00105884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聚力重点产业，打造蓬勃繁荣科创雨林。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t>加强生物医药产业运行调度，截至目前，全区共有97家规上生物医药企业，全年实现工业产值超300亿元。研究制订《闵行区关于新一轮促进生物医药产业高质量发展的若干意见》、《闵行区关于加速推进生物医药链主企业高质量发展的若干政策建议》及操作细则等政策，构建全链条政策服务体系。推动创新药品和医疗器械研发上市，全区共三类医疗器械39件、二类医疗器械69件、2款一类创新药品获批上市。推动“科技”与“养老”深度融合，完善养老科技产业政策，建设上海市养老科技产业园，并与中国老龄事业基金会等多家机构签订战略合作协议。加速推动科技服务业发展，新增31家规上企业，1-11月，317家规上科技服务业企业实现营收437.43亿元；4家企业获市重大投资项目扶持，全市占比1/4。</w:t>
      </w:r>
    </w:p>
    <w:p w:rsidR="00105884" w:rsidRPr="005C3E4B" w:rsidRDefault="00105884" w:rsidP="005C3E4B">
      <w:pPr>
        <w:pStyle w:val="2"/>
        <w:spacing w:line="560" w:lineRule="exact"/>
        <w:ind w:firstLine="640"/>
        <w:rPr>
          <w:rFonts w:ascii="楷体" w:hAnsi="楷体" w:cs="楷体"/>
          <w:szCs w:val="32"/>
        </w:rPr>
      </w:pPr>
      <w:r w:rsidRPr="005C3E4B">
        <w:rPr>
          <w:rFonts w:ascii="楷体" w:hAnsi="楷体" w:cs="楷体" w:hint="eastAsia"/>
          <w:szCs w:val="32"/>
        </w:rPr>
        <w:t>（四）引领科学普及新热潮</w:t>
      </w:r>
    </w:p>
    <w:p w:rsidR="00105884" w:rsidRPr="00105884" w:rsidRDefault="00105884" w:rsidP="005C3E4B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  <w:u w:val="single"/>
        </w:rPr>
      </w:pPr>
      <w:r w:rsidRPr="00105884">
        <w:rPr>
          <w:rFonts w:ascii="仿宋_GB2312" w:eastAsia="仿宋_GB2312" w:hAnsi="仿宋_GB2312" w:cs="仿宋_GB2312" w:hint="eastAsia"/>
          <w:sz w:val="32"/>
          <w:szCs w:val="32"/>
        </w:rPr>
        <w:t>以“逐梦蓝天 启航未来——全区域航天航空科技传播”为主题，打造一区一特品牌，建立“航天航空科技传播联盟”，举</w:t>
      </w:r>
      <w:r w:rsidRPr="00105884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办专题论坛，打造“科学家会客厅”科普品牌活动，建设硬科技传播的示范点。举办2024年闵行区科技节和闵行区“全国科普日”活动，开展近500场活动，为广大市民带来科普盛宴。以科普讲解大赛、科学实验展演、国际科技文艺汇演、优秀科普作品推荐等为抓手，挖掘一批优秀科普项目和人才，闵行区科普图书《微微本草（小学低年级）》和《植物的“智慧”》获得2023年度全国优秀科普作品。提升青少年的科学素养和创新意识，919个项目在第39届上海市青少年科技创新大赛中获奖。举办首届《大国小匠》2024年青少年科创大赛，启动2024年第十二届长三角少年儿童科普微童话创作实践等科普活动。提升全民科学素质，2023年闵行区具备科学素质的公民比例达28.4%，高于全市平均值1.6个百分点。</w:t>
      </w:r>
    </w:p>
    <w:sectPr w:rsidR="00105884" w:rsidRPr="00105884">
      <w:footerReference w:type="default" r:id="rId6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12EE" w:rsidRDefault="005A12EE" w:rsidP="00105884">
      <w:r>
        <w:separator/>
      </w:r>
    </w:p>
  </w:endnote>
  <w:endnote w:type="continuationSeparator" w:id="0">
    <w:p w:rsidR="005A12EE" w:rsidRDefault="005A12EE" w:rsidP="00105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00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71480165"/>
      <w:docPartObj>
        <w:docPartGallery w:val="Page Numbers (Bottom of Page)"/>
        <w:docPartUnique/>
      </w:docPartObj>
    </w:sdtPr>
    <w:sdtEndPr/>
    <w:sdtContent>
      <w:p w:rsidR="00194B52" w:rsidRDefault="00194B5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55FB" w:rsidRPr="001955FB">
          <w:rPr>
            <w:noProof/>
            <w:lang w:val="zh-CN"/>
          </w:rPr>
          <w:t>4</w:t>
        </w:r>
        <w:r>
          <w:fldChar w:fldCharType="end"/>
        </w:r>
      </w:p>
    </w:sdtContent>
  </w:sdt>
  <w:p w:rsidR="00194B52" w:rsidRDefault="00194B5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12EE" w:rsidRDefault="005A12EE" w:rsidP="00105884">
      <w:r>
        <w:separator/>
      </w:r>
    </w:p>
  </w:footnote>
  <w:footnote w:type="continuationSeparator" w:id="0">
    <w:p w:rsidR="005A12EE" w:rsidRDefault="005A12EE" w:rsidP="001058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7C5E"/>
    <w:rsid w:val="000F0BDA"/>
    <w:rsid w:val="000F4F0A"/>
    <w:rsid w:val="000F639A"/>
    <w:rsid w:val="00105884"/>
    <w:rsid w:val="00107FDD"/>
    <w:rsid w:val="00114B96"/>
    <w:rsid w:val="00120D9E"/>
    <w:rsid w:val="00122CAC"/>
    <w:rsid w:val="001240CC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4B52"/>
    <w:rsid w:val="0019516C"/>
    <w:rsid w:val="001955FB"/>
    <w:rsid w:val="001A6676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E6DF1"/>
    <w:rsid w:val="002E79A7"/>
    <w:rsid w:val="002F153A"/>
    <w:rsid w:val="002F1AE5"/>
    <w:rsid w:val="002F2EE2"/>
    <w:rsid w:val="002F73BA"/>
    <w:rsid w:val="00303BDD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45789"/>
    <w:rsid w:val="0044609C"/>
    <w:rsid w:val="004573F8"/>
    <w:rsid w:val="00470846"/>
    <w:rsid w:val="00486365"/>
    <w:rsid w:val="00490C5A"/>
    <w:rsid w:val="004A600C"/>
    <w:rsid w:val="004A65ED"/>
    <w:rsid w:val="004B6F8D"/>
    <w:rsid w:val="004C1EAA"/>
    <w:rsid w:val="004C7A7E"/>
    <w:rsid w:val="004C7E11"/>
    <w:rsid w:val="004D023B"/>
    <w:rsid w:val="004F21AF"/>
    <w:rsid w:val="00503853"/>
    <w:rsid w:val="0050757A"/>
    <w:rsid w:val="005079E2"/>
    <w:rsid w:val="0051149B"/>
    <w:rsid w:val="00530818"/>
    <w:rsid w:val="00532883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A12EE"/>
    <w:rsid w:val="005A27AA"/>
    <w:rsid w:val="005A563E"/>
    <w:rsid w:val="005C3824"/>
    <w:rsid w:val="005C3E4B"/>
    <w:rsid w:val="005C554B"/>
    <w:rsid w:val="005C679A"/>
    <w:rsid w:val="005D25F8"/>
    <w:rsid w:val="005D42D6"/>
    <w:rsid w:val="005E17C0"/>
    <w:rsid w:val="005E3C1D"/>
    <w:rsid w:val="005E3C4B"/>
    <w:rsid w:val="005F2EFB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74931"/>
    <w:rsid w:val="00680D86"/>
    <w:rsid w:val="00690FEF"/>
    <w:rsid w:val="006A2951"/>
    <w:rsid w:val="006A459D"/>
    <w:rsid w:val="006A4726"/>
    <w:rsid w:val="006B2716"/>
    <w:rsid w:val="006B73EB"/>
    <w:rsid w:val="006C418B"/>
    <w:rsid w:val="006D7252"/>
    <w:rsid w:val="006E0AD4"/>
    <w:rsid w:val="006E1FB8"/>
    <w:rsid w:val="006F0F86"/>
    <w:rsid w:val="006F1341"/>
    <w:rsid w:val="006F4784"/>
    <w:rsid w:val="006F7049"/>
    <w:rsid w:val="007032AE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7F52"/>
    <w:rsid w:val="00863855"/>
    <w:rsid w:val="00880A32"/>
    <w:rsid w:val="00880FEE"/>
    <w:rsid w:val="00883FA3"/>
    <w:rsid w:val="00892F99"/>
    <w:rsid w:val="00895632"/>
    <w:rsid w:val="008A7CDA"/>
    <w:rsid w:val="008B4FEA"/>
    <w:rsid w:val="008C0DFD"/>
    <w:rsid w:val="008C19DD"/>
    <w:rsid w:val="008C2708"/>
    <w:rsid w:val="008C501D"/>
    <w:rsid w:val="008C738A"/>
    <w:rsid w:val="008D2C38"/>
    <w:rsid w:val="008D4DC7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65B"/>
    <w:rsid w:val="00953EDB"/>
    <w:rsid w:val="009571C0"/>
    <w:rsid w:val="00957A1A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9F76F0"/>
    <w:rsid w:val="00A01F4A"/>
    <w:rsid w:val="00A01F8A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7423"/>
    <w:rsid w:val="00AC0060"/>
    <w:rsid w:val="00AC5D74"/>
    <w:rsid w:val="00AC668B"/>
    <w:rsid w:val="00AE04DE"/>
    <w:rsid w:val="00B22DFC"/>
    <w:rsid w:val="00B26ABB"/>
    <w:rsid w:val="00B36F1F"/>
    <w:rsid w:val="00B4097D"/>
    <w:rsid w:val="00B40A4C"/>
    <w:rsid w:val="00B53DA8"/>
    <w:rsid w:val="00B554FE"/>
    <w:rsid w:val="00B56568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C0FEB"/>
    <w:rsid w:val="00BD4DA7"/>
    <w:rsid w:val="00BE03E9"/>
    <w:rsid w:val="00BE7BBC"/>
    <w:rsid w:val="00BF0B34"/>
    <w:rsid w:val="00BF4839"/>
    <w:rsid w:val="00C007E2"/>
    <w:rsid w:val="00C03186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59FC"/>
    <w:rsid w:val="00DE0EFC"/>
    <w:rsid w:val="00DF12AB"/>
    <w:rsid w:val="00E067D0"/>
    <w:rsid w:val="00E1223F"/>
    <w:rsid w:val="00E20C3D"/>
    <w:rsid w:val="00E33719"/>
    <w:rsid w:val="00E33721"/>
    <w:rsid w:val="00E37EF1"/>
    <w:rsid w:val="00E40AAD"/>
    <w:rsid w:val="00E4505C"/>
    <w:rsid w:val="00E455CA"/>
    <w:rsid w:val="00E459B3"/>
    <w:rsid w:val="00E46A3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E3A0B2"/>
  <w15:docId w15:val="{96CB9C4A-9A93-4EC7-A619-3083BC124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105884"/>
    <w:pPr>
      <w:widowControl/>
      <w:spacing w:line="600" w:lineRule="exact"/>
      <w:ind w:firstLineChars="200" w:firstLine="880"/>
      <w:jc w:val="left"/>
      <w:outlineLvl w:val="0"/>
    </w:pPr>
    <w:rPr>
      <w:rFonts w:ascii="宋体" w:eastAsia="黑体" w:hAnsi="宋体" w:cs="宋体"/>
      <w:bCs/>
      <w:kern w:val="36"/>
      <w:sz w:val="32"/>
      <w:szCs w:val="48"/>
    </w:rPr>
  </w:style>
  <w:style w:type="paragraph" w:styleId="2">
    <w:name w:val="heading 2"/>
    <w:basedOn w:val="a"/>
    <w:next w:val="a"/>
    <w:link w:val="20"/>
    <w:qFormat/>
    <w:rsid w:val="00105884"/>
    <w:pPr>
      <w:keepNext/>
      <w:keepLines/>
      <w:spacing w:line="600" w:lineRule="exact"/>
      <w:ind w:firstLineChars="200" w:firstLine="880"/>
      <w:outlineLvl w:val="1"/>
    </w:pPr>
    <w:rPr>
      <w:rFonts w:ascii="Arial" w:eastAsia="楷体" w:hAnsi="Arial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  <w:style w:type="paragraph" w:styleId="21">
    <w:name w:val="Body Text First Indent 2"/>
    <w:basedOn w:val="a3"/>
    <w:link w:val="22"/>
    <w:uiPriority w:val="99"/>
    <w:semiHidden/>
    <w:unhideWhenUsed/>
    <w:rsid w:val="00105884"/>
    <w:pPr>
      <w:spacing w:after="120"/>
      <w:ind w:leftChars="200" w:left="420" w:firstLineChars="200" w:firstLine="20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22">
    <w:name w:val="正文首行缩进 2 字符"/>
    <w:basedOn w:val="a4"/>
    <w:link w:val="21"/>
    <w:uiPriority w:val="99"/>
    <w:semiHidden/>
    <w:rsid w:val="00105884"/>
    <w:rPr>
      <w:rFonts w:ascii="Times New Roman" w:eastAsia="宋体" w:hAnsi="Times New Roman" w:cs="Times New Roman"/>
      <w:kern w:val="2"/>
      <w:sz w:val="21"/>
      <w:szCs w:val="22"/>
    </w:rPr>
  </w:style>
  <w:style w:type="paragraph" w:styleId="23">
    <w:name w:val="Body Text 2"/>
    <w:basedOn w:val="a"/>
    <w:next w:val="21"/>
    <w:link w:val="24"/>
    <w:uiPriority w:val="99"/>
    <w:unhideWhenUsed/>
    <w:qFormat/>
    <w:rsid w:val="00105884"/>
    <w:pPr>
      <w:spacing w:after="120" w:line="480" w:lineRule="auto"/>
      <w:ind w:firstLineChars="200" w:firstLine="880"/>
    </w:pPr>
    <w:rPr>
      <w:rFonts w:ascii="Calibri" w:eastAsia="仿宋_GB2312" w:hAnsi="Calibri" w:cs="Times New Roman"/>
      <w:sz w:val="32"/>
      <w:szCs w:val="24"/>
    </w:rPr>
  </w:style>
  <w:style w:type="character" w:customStyle="1" w:styleId="24">
    <w:name w:val="正文文本 2 字符"/>
    <w:basedOn w:val="a0"/>
    <w:link w:val="23"/>
    <w:uiPriority w:val="99"/>
    <w:rsid w:val="00105884"/>
    <w:rPr>
      <w:rFonts w:ascii="Calibri" w:eastAsia="仿宋_GB2312" w:hAnsi="Calibri" w:cs="Times New Roman"/>
      <w:kern w:val="2"/>
      <w:sz w:val="32"/>
      <w:szCs w:val="24"/>
    </w:rPr>
  </w:style>
  <w:style w:type="paragraph" w:styleId="af4">
    <w:name w:val="Body Text"/>
    <w:basedOn w:val="a"/>
    <w:link w:val="af5"/>
    <w:uiPriority w:val="99"/>
    <w:semiHidden/>
    <w:unhideWhenUsed/>
    <w:rsid w:val="00105884"/>
    <w:pPr>
      <w:spacing w:after="120"/>
    </w:pPr>
  </w:style>
  <w:style w:type="character" w:customStyle="1" w:styleId="af5">
    <w:name w:val="正文文本 字符"/>
    <w:basedOn w:val="a0"/>
    <w:link w:val="af4"/>
    <w:uiPriority w:val="99"/>
    <w:semiHidden/>
    <w:rsid w:val="00105884"/>
    <w:rPr>
      <w:kern w:val="2"/>
      <w:sz w:val="21"/>
      <w:szCs w:val="22"/>
    </w:rPr>
  </w:style>
  <w:style w:type="character" w:customStyle="1" w:styleId="10">
    <w:name w:val="标题 1 字符"/>
    <w:basedOn w:val="a0"/>
    <w:link w:val="1"/>
    <w:rsid w:val="00105884"/>
    <w:rPr>
      <w:rFonts w:ascii="宋体" w:eastAsia="黑体" w:hAnsi="宋体" w:cs="宋体"/>
      <w:bCs/>
      <w:kern w:val="36"/>
      <w:sz w:val="32"/>
      <w:szCs w:val="48"/>
    </w:rPr>
  </w:style>
  <w:style w:type="character" w:customStyle="1" w:styleId="20">
    <w:name w:val="标题 2 字符"/>
    <w:basedOn w:val="a0"/>
    <w:link w:val="2"/>
    <w:rsid w:val="00105884"/>
    <w:rPr>
      <w:rFonts w:ascii="Arial" w:eastAsia="楷体" w:hAnsi="Arial" w:cs="Times New Roman"/>
      <w:kern w:val="2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560</Words>
  <Characters>3198</Characters>
  <Application>Microsoft Office Word</Application>
  <DocSecurity>0</DocSecurity>
  <Lines>26</Lines>
  <Paragraphs>7</Paragraphs>
  <ScaleCrop>false</ScaleCrop>
  <Company>P R C</Company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89</cp:revision>
  <cp:lastPrinted>2025-02-06T03:03:00Z</cp:lastPrinted>
  <dcterms:created xsi:type="dcterms:W3CDTF">2020-02-20T23:09:00Z</dcterms:created>
  <dcterms:modified xsi:type="dcterms:W3CDTF">2025-02-06T03:05:00Z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