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B89BCE">
      <w:pPr>
        <w:adjustRightInd w:val="0"/>
        <w:snapToGrid w:val="0"/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《闵行区关于促进工业服务业赋能产业升级的若干措施(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征求意见稿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)》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草案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解读</w:t>
      </w:r>
    </w:p>
    <w:p w14:paraId="6A3859B9">
      <w:pPr>
        <w:adjustRightInd w:val="0"/>
        <w:snapToGrid w:val="0"/>
        <w:spacing w:line="560" w:lineRule="exact"/>
        <w:ind w:firstLine="640" w:firstLineChars="200"/>
        <w:rPr>
          <w:rFonts w:ascii="仿宋" w:hAnsi="仿宋" w:eastAsia="仿宋"/>
          <w:color w:val="000000"/>
          <w:sz w:val="32"/>
          <w:szCs w:val="32"/>
        </w:rPr>
      </w:pPr>
    </w:p>
    <w:p w14:paraId="4FCDD9A5">
      <w:pPr>
        <w:spacing w:line="560" w:lineRule="exact"/>
        <w:ind w:firstLine="640" w:firstLineChars="200"/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《闵行区关于促进工业服务业赋能产业升级的若干措施(征求意见稿)》（以下简称“若干措施”）解读如下：</w:t>
      </w:r>
    </w:p>
    <w:p w14:paraId="0F27F6AD">
      <w:pPr>
        <w:adjustRightInd w:val="0"/>
        <w:snapToGrid w:val="0"/>
        <w:spacing w:line="560" w:lineRule="exac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  <w:t>提问：出台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《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eastAsia="zh-CN"/>
        </w:rPr>
        <w:t>若干措施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》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背景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  <w:t>和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依据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  <w:t>是什么？</w:t>
      </w:r>
    </w:p>
    <w:p w14:paraId="7F8A3EE4">
      <w:pPr>
        <w:adjustRightInd w:val="0"/>
        <w:snapToGrid w:val="0"/>
        <w:spacing w:line="560" w:lineRule="exact"/>
        <w:ind w:firstLine="643" w:firstLineChars="200"/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回答：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工业服务业是面向工业的生产性服务业，是推进新型工业化、培育新质生产力的关键环节。为深入贯彻党的二十大精神，落实《上海市促进工业服务业赋能产业升级行动方案（2024-2027年）》（沪府办发〔2024〕11号）等文件要求，更好发挥工业服务业对于制造业的赋能作用，打造“闵行制造”竞争新优势，形成了《闵行区关于促进工业服务业赋能产业升级的若干措施(征求意见稿)》。</w:t>
      </w:r>
    </w:p>
    <w:p w14:paraId="221A01CC">
      <w:pPr>
        <w:adjustRightInd w:val="0"/>
        <w:snapToGrid w:val="0"/>
        <w:spacing w:line="560" w:lineRule="exact"/>
        <w:ind w:firstLine="643" w:firstLineChars="200"/>
        <w:rPr>
          <w:rFonts w:hint="default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  <w:t>2、提问：《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eastAsia="zh-CN"/>
        </w:rPr>
        <w:t>若干措施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  <w:t>》主要内容包括哪些条款？</w:t>
      </w:r>
    </w:p>
    <w:p w14:paraId="6AF5091B">
      <w:pPr>
        <w:adjustRightInd w:val="0"/>
        <w:snapToGrid w:val="0"/>
        <w:spacing w:line="560" w:lineRule="exact"/>
        <w:ind w:firstLine="643" w:firstLineChars="200"/>
        <w:rPr>
          <w:rFonts w:hint="eastAsia" w:ascii="仿宋_GB2312" w:eastAsia="仿宋_GB2312" w:cs="Times New Roman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回答：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若干措施主要内容为政策</w:t>
      </w:r>
      <w:r>
        <w:rPr>
          <w:rFonts w:hint="eastAsia" w:ascii="仿宋_GB2312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支持领域和标准。对以下</w:t>
      </w:r>
      <w:r>
        <w:rPr>
          <w:rFonts w:hint="eastAsia" w:ascii="仿宋_GB2312" w:eastAsia="仿宋_GB2312"/>
          <w:color w:val="000000" w:themeColor="text1"/>
          <w:sz w:val="32"/>
          <w:szCs w:val="32"/>
          <w:u w:val="none"/>
          <w:lang w:val="en-US" w:eastAsia="zh-CN"/>
          <w14:textFill>
            <w14:solidFill>
              <w14:schemeClr w14:val="tx1"/>
            </w14:solidFill>
          </w14:textFill>
        </w:rPr>
        <w:t>11</w:t>
      </w:r>
      <w:r>
        <w:rPr>
          <w:rFonts w:hint="eastAsia" w:ascii="仿宋_GB2312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项内容按照相关标准给予支持：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对入选区级“产业赋能创新中心”的企业，给予20万元一次性奖励。</w:t>
      </w:r>
      <w:r>
        <w:rPr>
          <w:rFonts w:hint="eastAsia" w:ascii="仿宋_GB2312" w:hAnsi="仿宋_GB2312" w:eastAsia="仿宋_GB2312" w:cs="仿宋_GB2312"/>
          <w:sz w:val="32"/>
          <w:szCs w:val="40"/>
        </w:rPr>
        <w:t>对获得“上海市产业赋能创新中心”称号的企业</w:t>
      </w:r>
      <w:r>
        <w:rPr>
          <w:rFonts w:hint="eastAsia" w:ascii="仿宋_GB2312" w:hAnsi="仿宋_GB2312" w:eastAsia="仿宋_GB2312" w:cs="仿宋_GB2312"/>
          <w:sz w:val="32"/>
          <w:szCs w:val="40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给予最高100万元一次性奖励。</w:t>
      </w:r>
      <w:r>
        <w:rPr>
          <w:rFonts w:hint="eastAsia" w:ascii="仿宋_GB2312" w:hAnsi="仿宋_GB2312" w:eastAsia="仿宋_GB2312" w:cs="仿宋_GB2312"/>
          <w:sz w:val="32"/>
          <w:szCs w:val="40"/>
        </w:rPr>
        <w:t>对服务型制造模式创新应用的项目，按照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不超过核定项目总投入的20%给予资金支持，最高可达500万元；对获得“闵行区总集成总承包标杆企业”称号的，给予20万元一次性奖励</w:t>
      </w:r>
      <w:r>
        <w:rPr>
          <w:rFonts w:hint="eastAsia" w:ascii="仿宋_GB2312" w:hAnsi="仿宋_GB2312" w:eastAsia="仿宋_GB2312" w:cs="仿宋_GB2312"/>
          <w:sz w:val="32"/>
          <w:szCs w:val="40"/>
        </w:rPr>
        <w:t>。</w:t>
      </w:r>
      <w:r>
        <w:rPr>
          <w:rFonts w:hint="eastAsia" w:ascii="仿宋_GB2312" w:hAnsi="Calibri" w:eastAsia="仿宋_GB2312" w:cs="Arial"/>
          <w:sz w:val="32"/>
          <w:szCs w:val="32"/>
          <w:highlight w:val="none"/>
          <w:lang w:val="en-US" w:eastAsia="zh-CN"/>
        </w:rPr>
        <w:t>对总集成总承包能力提升项目，</w:t>
      </w:r>
      <w:r>
        <w:rPr>
          <w:rFonts w:hint="eastAsia" w:ascii="仿宋_GB2312" w:hAnsi="Calibri" w:eastAsia="仿宋_GB2312" w:cs="Arial"/>
          <w:sz w:val="32"/>
          <w:szCs w:val="32"/>
          <w:lang w:val="en-US" w:eastAsia="zh-CN"/>
        </w:rPr>
        <w:t>按照不超过核定项目总投入的20%给予资金支持，最高可达500万</w:t>
      </w:r>
      <w:r>
        <w:rPr>
          <w:rFonts w:hint="eastAsia" w:ascii="仿宋_GB2312" w:eastAsia="仿宋_GB2312" w:cs="Arial"/>
          <w:sz w:val="32"/>
          <w:szCs w:val="32"/>
          <w:lang w:val="en-US"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40"/>
          <w:lang w:val="en-US" w:eastAsia="zh-CN"/>
        </w:rPr>
        <w:t>对通过CNAS认可的检验检测认证机构给予10万元一次性奖励。对主导或实质性参与制定国家标准、行业标准及地方标准的企业分别给予40万、20万、20万元的资金奖励。对新建的重点优势产业领域检验检测平台，按照不超过核定项目总投资的20%给予资金支持，最高可达500万元；</w:t>
      </w:r>
      <w:r>
        <w:rPr>
          <w:rFonts w:hint="eastAsia" w:ascii="仿宋_GB2312" w:hAnsi="Calibri" w:eastAsia="仿宋_GB2312" w:cs="Arial"/>
          <w:sz w:val="32"/>
          <w:szCs w:val="32"/>
          <w:lang w:val="en-US" w:eastAsia="zh-CN"/>
        </w:rPr>
        <w:t>对获得国际组织认可资质的机构，最高给予20万元的资金奖励。对成功实施“一测多证”的，给予不超过合同金额30%的资金奖励，最高不超过25万元。对主导或实质性参与制定相关国际标准的单位给予最高</w:t>
      </w:r>
      <w:r>
        <w:rPr>
          <w:rFonts w:hint="eastAsia" w:ascii="仿宋_GB2312" w:eastAsia="仿宋_GB2312" w:cs="Arial"/>
          <w:sz w:val="32"/>
          <w:szCs w:val="32"/>
          <w:lang w:val="en-US" w:eastAsia="zh-CN"/>
        </w:rPr>
        <w:t>100</w:t>
      </w:r>
      <w:r>
        <w:rPr>
          <w:rFonts w:hint="eastAsia" w:ascii="仿宋_GB2312" w:hAnsi="Calibri" w:eastAsia="仿宋_GB2312" w:cs="Arial"/>
          <w:sz w:val="32"/>
          <w:szCs w:val="32"/>
          <w:lang w:val="en-US" w:eastAsia="zh-CN"/>
        </w:rPr>
        <w:t>万元的一次性资金奖励</w:t>
      </w:r>
      <w:r>
        <w:rPr>
          <w:rFonts w:hint="eastAsia" w:ascii="仿宋_GB2312" w:eastAsia="仿宋_GB2312" w:cs="Arial"/>
          <w:sz w:val="32"/>
          <w:szCs w:val="32"/>
          <w:lang w:val="en-US" w:eastAsia="zh-CN"/>
        </w:rPr>
        <w:t>；</w:t>
      </w:r>
      <w:r>
        <w:rPr>
          <w:rFonts w:hint="eastAsia" w:ascii="仿宋_GB2312" w:hAnsi="Calibri" w:eastAsia="仿宋_GB2312" w:cs="Arial"/>
          <w:sz w:val="32"/>
          <w:szCs w:val="32"/>
          <w:lang w:val="en-US" w:eastAsia="zh-CN"/>
        </w:rPr>
        <w:t>对获得“上海市产业互联网示范平台”称号的企业给予最高2</w:t>
      </w:r>
      <w:r>
        <w:rPr>
          <w:rFonts w:hint="eastAsia" w:ascii="仿宋_GB2312" w:eastAsia="仿宋_GB2312" w:cs="Arial"/>
          <w:sz w:val="32"/>
          <w:szCs w:val="32"/>
          <w:lang w:val="en-US" w:eastAsia="zh-CN"/>
        </w:rPr>
        <w:t>5</w:t>
      </w:r>
      <w:r>
        <w:rPr>
          <w:rFonts w:hint="eastAsia" w:ascii="仿宋_GB2312" w:hAnsi="Calibri" w:eastAsia="仿宋_GB2312" w:cs="Arial"/>
          <w:sz w:val="32"/>
          <w:szCs w:val="32"/>
          <w:lang w:val="en-US" w:eastAsia="zh-CN"/>
        </w:rPr>
        <w:t>万元的一次性资金奖励。对提供一站式整体解决方案的</w:t>
      </w:r>
      <w:r>
        <w:rPr>
          <w:rFonts w:hint="eastAsia" w:ascii="仿宋_GB2312" w:eastAsia="仿宋_GB2312" w:cs="Arial"/>
          <w:sz w:val="32"/>
          <w:szCs w:val="32"/>
          <w:lang w:val="en-US" w:eastAsia="zh-CN"/>
        </w:rPr>
        <w:t>产业互联网平台</w:t>
      </w:r>
      <w:r>
        <w:rPr>
          <w:rFonts w:hint="eastAsia" w:ascii="仿宋_GB2312" w:hAnsi="Calibri" w:eastAsia="仿宋_GB2312" w:cs="Arial"/>
          <w:sz w:val="32"/>
          <w:szCs w:val="32"/>
          <w:lang w:val="en-US" w:eastAsia="zh-CN"/>
        </w:rPr>
        <w:t>，按照不超过核定项目总投入的20%给予资金支持，最高可达500万元</w:t>
      </w:r>
      <w:r>
        <w:rPr>
          <w:rFonts w:hint="eastAsia" w:ascii="仿宋_GB2312" w:eastAsia="仿宋_GB2312" w:cs="Arial"/>
          <w:sz w:val="32"/>
          <w:szCs w:val="32"/>
          <w:lang w:val="en-US"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40"/>
          <w:highlight w:val="none"/>
          <w:u w:val="none"/>
        </w:rPr>
        <w:t>对获评市级以上标杆性工业互联网平台企业或“工赋链主”培育企业，最高给予</w:t>
      </w:r>
      <w:r>
        <w:rPr>
          <w:rFonts w:hint="eastAsia" w:ascii="仿宋_GB2312" w:hAnsi="仿宋_GB2312" w:eastAsia="仿宋_GB2312" w:cs="仿宋_GB2312"/>
          <w:sz w:val="32"/>
          <w:szCs w:val="40"/>
          <w:highlight w:val="none"/>
          <w:u w:val="none"/>
          <w:lang w:val="en-US" w:eastAsia="zh-CN"/>
        </w:rPr>
        <w:t>50</w:t>
      </w:r>
      <w:r>
        <w:rPr>
          <w:rFonts w:hint="eastAsia" w:ascii="仿宋_GB2312" w:hAnsi="仿宋_GB2312" w:eastAsia="仿宋_GB2312" w:cs="仿宋_GB2312"/>
          <w:sz w:val="32"/>
          <w:szCs w:val="40"/>
          <w:highlight w:val="none"/>
          <w:u w:val="none"/>
        </w:rPr>
        <w:t>万元的</w:t>
      </w:r>
      <w:r>
        <w:rPr>
          <w:rFonts w:hint="eastAsia" w:ascii="仿宋_GB2312" w:hAnsi="仿宋_GB2312" w:eastAsia="仿宋_GB2312" w:cs="仿宋_GB2312"/>
          <w:sz w:val="32"/>
          <w:szCs w:val="40"/>
          <w:highlight w:val="none"/>
          <w:u w:val="none"/>
          <w:lang w:val="en-US" w:eastAsia="zh-CN"/>
        </w:rPr>
        <w:t>一次性</w:t>
      </w:r>
      <w:r>
        <w:rPr>
          <w:rFonts w:hint="eastAsia" w:ascii="仿宋_GB2312" w:hAnsi="仿宋_GB2312" w:eastAsia="仿宋_GB2312" w:cs="仿宋_GB2312"/>
          <w:sz w:val="32"/>
          <w:szCs w:val="40"/>
          <w:highlight w:val="none"/>
          <w:u w:val="none"/>
        </w:rPr>
        <w:t>奖励。</w:t>
      </w:r>
      <w:r>
        <w:rPr>
          <w:rFonts w:hint="eastAsia" w:ascii="仿宋_GB2312" w:hAnsi="Calibri" w:eastAsia="仿宋_GB2312" w:cs="Arial"/>
          <w:sz w:val="32"/>
          <w:szCs w:val="32"/>
          <w:lang w:val="en-US" w:eastAsia="zh-CN"/>
        </w:rPr>
        <w:t>对运用新一代信息技术开展创新场景建设的</w:t>
      </w:r>
      <w:r>
        <w:rPr>
          <w:rFonts w:hint="eastAsia" w:ascii="仿宋_GB2312" w:eastAsia="仿宋_GB2312" w:cs="Arial"/>
          <w:sz w:val="32"/>
          <w:szCs w:val="32"/>
          <w:lang w:val="en-US" w:eastAsia="zh-CN"/>
        </w:rPr>
        <w:t>项目</w:t>
      </w:r>
      <w:r>
        <w:rPr>
          <w:rFonts w:hint="eastAsia" w:ascii="仿宋_GB2312" w:hAnsi="Calibri" w:eastAsia="仿宋_GB2312" w:cs="Arial"/>
          <w:sz w:val="32"/>
          <w:szCs w:val="32"/>
          <w:lang w:val="en-US" w:eastAsia="zh-CN"/>
        </w:rPr>
        <w:t>，按照不超过核定项目总投入的20%给予资金支持，最高可达500万元</w:t>
      </w:r>
      <w:r>
        <w:rPr>
          <w:rFonts w:hint="eastAsia" w:ascii="仿宋_GB2312" w:eastAsia="仿宋_GB2312" w:cs="Arial"/>
          <w:sz w:val="32"/>
          <w:szCs w:val="32"/>
          <w:lang w:val="en-US" w:eastAsia="zh-CN"/>
        </w:rPr>
        <w:t>；</w:t>
      </w:r>
      <w:r>
        <w:rPr>
          <w:rFonts w:hint="eastAsia" w:ascii="仿宋_GB2312" w:hAnsi="Calibri" w:eastAsia="仿宋_GB2312" w:cs="Arial"/>
          <w:sz w:val="32"/>
          <w:szCs w:val="32"/>
          <w:lang w:val="en-US" w:eastAsia="zh-CN"/>
        </w:rPr>
        <w:t>对集成产品数据、供应商、仓储物流等关键要素的供应链管理系统建设项目，按照不超过核定项目总投入的30%给予资金支持，最高可达250万元</w:t>
      </w:r>
      <w:r>
        <w:rPr>
          <w:rFonts w:hint="eastAsia" w:ascii="仿宋_GB2312" w:eastAsia="仿宋_GB2312" w:cs="Arial"/>
          <w:sz w:val="32"/>
          <w:szCs w:val="32"/>
          <w:lang w:val="en-US" w:eastAsia="zh-CN"/>
        </w:rPr>
        <w:t>；</w:t>
      </w:r>
      <w:r>
        <w:rPr>
          <w:rFonts w:hint="eastAsia" w:ascii="仿宋_GB2312" w:hAnsi="Calibri" w:eastAsia="仿宋_GB2312" w:cs="Arial"/>
          <w:color w:val="000000"/>
          <w:sz w:val="32"/>
          <w:szCs w:val="32"/>
          <w:lang w:val="en-US" w:eastAsia="zh-CN"/>
        </w:rPr>
        <w:t>对进行数字化转型的工业物流企业，按</w:t>
      </w:r>
      <w:r>
        <w:rPr>
          <w:rFonts w:hint="eastAsia" w:ascii="仿宋_GB2312" w:hAnsi="Calibri" w:eastAsia="仿宋_GB2312" w:cs="Arial"/>
          <w:sz w:val="32"/>
          <w:szCs w:val="32"/>
          <w:lang w:val="en-US" w:eastAsia="zh-CN"/>
        </w:rPr>
        <w:t>照不超过核定项目总投资的30%给予资金支持，最高可达250万元</w:t>
      </w:r>
      <w:r>
        <w:rPr>
          <w:rFonts w:hint="eastAsia" w:ascii="仿宋_GB2312" w:eastAsia="仿宋_GB2312" w:cs="Arial"/>
          <w:sz w:val="32"/>
          <w:szCs w:val="32"/>
          <w:lang w:val="en-US" w:eastAsia="zh-CN"/>
        </w:rPr>
        <w:t>；</w:t>
      </w:r>
      <w:r>
        <w:rPr>
          <w:rFonts w:hint="eastAsia" w:ascii="仿宋_GB2312" w:hAnsi="Calibri" w:eastAsia="仿宋_GB2312" w:cs="Arial"/>
          <w:sz w:val="32"/>
          <w:szCs w:val="32"/>
          <w:lang w:val="en-US" w:eastAsia="zh-CN"/>
        </w:rPr>
        <w:t>对获得国家级工业设计中心、市级设计创新中心称号的企业分别给予</w:t>
      </w:r>
      <w:r>
        <w:rPr>
          <w:rFonts w:hint="eastAsia" w:ascii="仿宋_GB2312" w:eastAsia="仿宋_GB2312" w:cs="Arial"/>
          <w:sz w:val="32"/>
          <w:szCs w:val="32"/>
          <w:lang w:val="en-US" w:eastAsia="zh-CN"/>
        </w:rPr>
        <w:t>50</w:t>
      </w:r>
      <w:r>
        <w:rPr>
          <w:rFonts w:hint="eastAsia" w:ascii="仿宋_GB2312" w:hAnsi="Calibri" w:eastAsia="仿宋_GB2312" w:cs="Arial"/>
          <w:sz w:val="32"/>
          <w:szCs w:val="32"/>
          <w:lang w:val="en-US" w:eastAsia="zh-CN"/>
        </w:rPr>
        <w:t>万元和</w:t>
      </w:r>
      <w:r>
        <w:rPr>
          <w:rFonts w:hint="eastAsia" w:ascii="仿宋_GB2312" w:eastAsia="仿宋_GB2312" w:cs="Arial"/>
          <w:sz w:val="32"/>
          <w:szCs w:val="32"/>
          <w:lang w:val="en-US" w:eastAsia="zh-CN"/>
        </w:rPr>
        <w:t>2</w:t>
      </w:r>
      <w:r>
        <w:rPr>
          <w:rFonts w:hint="eastAsia" w:ascii="仿宋_GB2312" w:hAnsi="Calibri" w:eastAsia="仿宋_GB2312" w:cs="Arial"/>
          <w:sz w:val="32"/>
          <w:szCs w:val="32"/>
          <w:lang w:val="en-US" w:eastAsia="zh-CN"/>
        </w:rPr>
        <w:t>0万元的一次性资金奖励</w:t>
      </w:r>
      <w:r>
        <w:rPr>
          <w:rFonts w:hint="eastAsia" w:ascii="仿宋_GB2312" w:eastAsia="仿宋_GB2312" w:cs="Arial"/>
          <w:sz w:val="32"/>
          <w:szCs w:val="32"/>
          <w:lang w:val="en-US" w:eastAsia="zh-CN"/>
        </w:rPr>
        <w:t>；</w:t>
      </w:r>
      <w:r>
        <w:rPr>
          <w:rFonts w:hint="eastAsia" w:ascii="仿宋_GB2312" w:hAnsi="Calibri" w:eastAsia="仿宋_GB2312" w:cs="Arial"/>
          <w:sz w:val="32"/>
          <w:szCs w:val="32"/>
          <w:highlight w:val="none"/>
          <w:lang w:val="en-US" w:eastAsia="zh-CN"/>
        </w:rPr>
        <w:t>对</w:t>
      </w:r>
      <w:r>
        <w:rPr>
          <w:rFonts w:hint="eastAsia" w:ascii="仿宋_GB2312" w:eastAsia="仿宋_GB2312" w:cs="Arial"/>
          <w:sz w:val="32"/>
          <w:szCs w:val="32"/>
          <w:highlight w:val="none"/>
          <w:lang w:val="en-US" w:eastAsia="zh-CN"/>
        </w:rPr>
        <w:t>保持高增长发展的</w:t>
      </w:r>
      <w:r>
        <w:rPr>
          <w:rFonts w:hint="eastAsia" w:ascii="仿宋_GB2312" w:hAnsi="Calibri" w:eastAsia="仿宋_GB2312" w:cs="Arial"/>
          <w:color w:val="000000"/>
          <w:sz w:val="32"/>
          <w:szCs w:val="32"/>
          <w:highlight w:val="none"/>
        </w:rPr>
        <w:t>生产性服务业功能区</w:t>
      </w:r>
      <w:r>
        <w:rPr>
          <w:rFonts w:hint="eastAsia" w:ascii="仿宋_GB2312" w:eastAsia="仿宋_GB2312" w:cs="Arial"/>
          <w:color w:val="000000"/>
          <w:sz w:val="32"/>
          <w:szCs w:val="32"/>
          <w:highlight w:val="none"/>
          <w:lang w:eastAsia="zh-CN"/>
        </w:rPr>
        <w:t>，经综合评定，</w:t>
      </w:r>
      <w:r>
        <w:rPr>
          <w:rFonts w:hint="eastAsia" w:ascii="仿宋_GB2312" w:hAnsi="Calibri" w:eastAsia="仿宋_GB2312" w:cs="Arial"/>
          <w:sz w:val="32"/>
          <w:szCs w:val="32"/>
          <w:highlight w:val="none"/>
          <w:lang w:val="en-US" w:eastAsia="zh-CN"/>
        </w:rPr>
        <w:t>最高给予20万元的资金奖励</w:t>
      </w:r>
      <w:r>
        <w:rPr>
          <w:rFonts w:hint="eastAsia" w:ascii="仿宋_GB2312" w:eastAsia="仿宋_GB2312" w:cs="Arial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仿宋_GB2312" w:eastAsia="仿宋_GB2312" w:cs="Times New Roman"/>
          <w:b w:val="0"/>
          <w:bCs w:val="0"/>
          <w:color w:val="000000"/>
          <w:sz w:val="32"/>
          <w:szCs w:val="32"/>
          <w:lang w:val="en-US" w:eastAsia="zh-CN"/>
        </w:rPr>
        <w:t>对新增市级生产性服务业功能区给予20万元一次性资金奖励。</w:t>
      </w:r>
    </w:p>
    <w:p w14:paraId="4A443AA5">
      <w:pPr>
        <w:adjustRightInd w:val="0"/>
        <w:snapToGrid w:val="0"/>
        <w:spacing w:line="560" w:lineRule="exac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  <w:t>3、提问：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《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eastAsia="zh-CN"/>
        </w:rPr>
        <w:t>若干措施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》的支持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  <w:t>对象需要具备哪些条件？</w:t>
      </w:r>
    </w:p>
    <w:p w14:paraId="6163D675">
      <w:pPr>
        <w:spacing w:line="560" w:lineRule="exact"/>
        <w:ind w:firstLine="643" w:firstLineChars="200"/>
        <w:rPr>
          <w:rFonts w:hint="eastAsia" w:ascii="仿宋_GB2312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回答：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支持对象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主要具备以下条件：</w:t>
      </w:r>
      <w:r>
        <w:rPr>
          <w:rFonts w:hint="eastAsia" w:ascii="仿宋_GB2312" w:eastAsia="仿宋_GB2312"/>
          <w:color w:val="000000" w:themeColor="text1"/>
          <w:sz w:val="32"/>
          <w:szCs w:val="32"/>
          <w:u w:val="none"/>
          <w:lang w:eastAsia="zh-CN"/>
          <w14:textFill>
            <w14:solidFill>
              <w14:schemeClr w14:val="tx1"/>
            </w14:solidFill>
          </w14:textFill>
        </w:rPr>
        <w:t>在本区依法设立并具有独立承担民事责任能力的单位，主要产品和服务符合本区产业发展导向，在行业内拥有较高知名度，具有较强的市场竞争力，发展前景良好，为本区经济社会发展做出较突出的贡献；具有承担项目建设开发的相应或符合相关补助或奖励条件；企业信用状况良好，三年内（自申请截止日起前两年）未发生涉税等违法违规事项。</w:t>
      </w:r>
    </w:p>
    <w:p w14:paraId="7DF1AE8E">
      <w:pPr>
        <w:adjustRightInd w:val="0"/>
        <w:snapToGrid w:val="0"/>
        <w:spacing w:line="560" w:lineRule="exac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  <w:t>4、提问：申报工业服务业政策需要递交哪些申报材料？</w:t>
      </w:r>
    </w:p>
    <w:p w14:paraId="6EAA7BF9">
      <w:p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lang w:val="en-US" w:eastAsia="zh-CN"/>
        </w:rPr>
        <w:t>回答：</w:t>
      </w: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需要递交的申报材料包括：</w:t>
      </w:r>
    </w:p>
    <w:p w14:paraId="3E441912">
      <w:pPr>
        <w:spacing w:line="560" w:lineRule="exact"/>
        <w:ind w:firstLine="640" w:firstLineChars="200"/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）闵行区工业服务业政策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申请表；</w:t>
      </w:r>
    </w:p>
    <w:p w14:paraId="171AEEC7">
      <w:pPr>
        <w:spacing w:line="560" w:lineRule="exact"/>
        <w:ind w:firstLine="640" w:firstLineChars="200"/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市场主体营业执照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eastAsia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副本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复印件；</w:t>
      </w:r>
    </w:p>
    <w:p w14:paraId="5C45ACC7">
      <w:pPr>
        <w:spacing w:line="560" w:lineRule="exact"/>
        <w:ind w:firstLine="640" w:firstLineChars="200"/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申请材料真实性承诺书； </w:t>
      </w:r>
    </w:p>
    <w:p w14:paraId="22D5AE36">
      <w:pPr>
        <w:spacing w:line="560" w:lineRule="exact"/>
        <w:ind w:firstLine="640" w:firstLineChars="200"/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）获得上海市级部门认定的标杆示范证明材料复印件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；</w:t>
      </w:r>
    </w:p>
    <w:p w14:paraId="291C30DA">
      <w:pPr>
        <w:spacing w:line="560" w:lineRule="exact"/>
        <w:ind w:firstLine="640" w:firstLineChars="200"/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获得上海市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相关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专项资金拨款证明等材料复印件；</w:t>
      </w:r>
    </w:p>
    <w:p w14:paraId="63F15CA1">
      <w:pPr>
        <w:spacing w:line="560" w:lineRule="exact"/>
        <w:ind w:firstLine="640" w:firstLineChars="200"/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）相关资质取得证明材料复印件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；</w:t>
      </w:r>
    </w:p>
    <w:p w14:paraId="4A655E14">
      <w:pPr>
        <w:spacing w:line="560" w:lineRule="exact"/>
        <w:ind w:firstLine="640" w:firstLineChars="200"/>
        <w:rPr>
          <w:rFonts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上一年度的市场主体财务审计报告复印件（B级及以上资质的会计师事务所提供）；</w:t>
      </w:r>
    </w:p>
    <w:p w14:paraId="51EA6BB2">
      <w:pPr>
        <w:spacing w:line="560" w:lineRule="exact"/>
        <w:ind w:firstLine="640" w:firstLineChars="200"/>
      </w:pP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仿宋_GB2312" w:eastAsia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eastAsia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项目申报通知要求的其他材料。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CC"/>
    <w:family w:val="roman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Microsoft YaHei UI">
    <w:altName w:val="Droid Sans Fallback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Droid Sans Fallback">
    <w:panose1 w:val="020B0502000000000001"/>
    <w:charset w:val="86"/>
    <w:family w:val="auto"/>
    <w:pitch w:val="default"/>
    <w:sig w:usb0="910002FF" w:usb1="2BDFFCFB" w:usb2="00000036" w:usb3="00000000" w:csb0="203F01FF" w:csb1="D7FF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A2B823">
    <w:pPr>
      <w:pStyle w:val="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1</w:t>
    </w:r>
    <w:r>
      <w:fldChar w:fldCharType="end"/>
    </w:r>
  </w:p>
  <w:p w14:paraId="5A0194FD"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NlM2Y1N2M5NmVlNjhlYzVlMzNiMmUzZDJiNzMxOGUifQ=="/>
  </w:docVars>
  <w:rsids>
    <w:rsidRoot w:val="00151ADF"/>
    <w:rsid w:val="000114BC"/>
    <w:rsid w:val="00151ADF"/>
    <w:rsid w:val="00157AE6"/>
    <w:rsid w:val="004C0A8B"/>
    <w:rsid w:val="005C3E60"/>
    <w:rsid w:val="006C792D"/>
    <w:rsid w:val="007505C1"/>
    <w:rsid w:val="00756045"/>
    <w:rsid w:val="008A5469"/>
    <w:rsid w:val="008E088A"/>
    <w:rsid w:val="00DA455C"/>
    <w:rsid w:val="00E97C2A"/>
    <w:rsid w:val="00EE7FE7"/>
    <w:rsid w:val="056326BB"/>
    <w:rsid w:val="09317B12"/>
    <w:rsid w:val="14D44F82"/>
    <w:rsid w:val="1C3F6401"/>
    <w:rsid w:val="1E273DFB"/>
    <w:rsid w:val="2BD33847"/>
    <w:rsid w:val="305F7D9F"/>
    <w:rsid w:val="35DB3A3B"/>
    <w:rsid w:val="367B6FB5"/>
    <w:rsid w:val="37DD31D0"/>
    <w:rsid w:val="38471845"/>
    <w:rsid w:val="3FFF1250"/>
    <w:rsid w:val="4FF24C6D"/>
    <w:rsid w:val="5C3B496D"/>
    <w:rsid w:val="614E07F3"/>
    <w:rsid w:val="63050234"/>
    <w:rsid w:val="63F54DAE"/>
    <w:rsid w:val="679C6C08"/>
    <w:rsid w:val="73FF4E40"/>
    <w:rsid w:val="7B749DF1"/>
    <w:rsid w:val="7BCA50E8"/>
    <w:rsid w:val="7BFF375C"/>
    <w:rsid w:val="7DEA6536"/>
    <w:rsid w:val="7F5D9E61"/>
    <w:rsid w:val="7FFE7C30"/>
    <w:rsid w:val="7FFFF1A1"/>
    <w:rsid w:val="DBDFDEAC"/>
    <w:rsid w:val="DF7BD7D6"/>
    <w:rsid w:val="E5EE77E8"/>
    <w:rsid w:val="E9DD8B22"/>
    <w:rsid w:val="EDF36542"/>
    <w:rsid w:val="FBFB11FF"/>
    <w:rsid w:val="FEBF576B"/>
    <w:rsid w:val="FF5E9E7C"/>
    <w:rsid w:val="FFF68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nhideWhenUsed="0" w:uiPriority="99" w:semiHidden="0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qFormat/>
    <w:uiPriority w:val="99"/>
    <w:rPr>
      <w:rFonts w:ascii="Microsoft YaHei UI" w:eastAsia="Microsoft YaHei UI"/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rPr>
      <w:rFonts w:ascii="Times New Roman" w:hAnsi="Times New Roman"/>
      <w:sz w:val="24"/>
      <w:szCs w:val="24"/>
    </w:r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1552</Words>
  <Characters>1569</Characters>
  <Lines>5</Lines>
  <Paragraphs>1</Paragraphs>
  <TotalTime>2</TotalTime>
  <ScaleCrop>false</ScaleCrop>
  <LinksUpToDate>false</LinksUpToDate>
  <CharactersWithSpaces>1570</CharactersWithSpaces>
  <Application>WPS Office_12.8.2.1115_F1E327BC-269C-435d-A152-05C5408002CA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2021-04-09T00:23:00Z</dcterms:created>
  <dc:creator>Administrator</dc:creator>
  <cp:lastModifiedBy>mhxc</cp:lastModifiedBy>
  <dcterms:modified xsi:type="dcterms:W3CDTF">2025-02-10T14:28:41Z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2052-12.8.2.1115</vt:lpwstr>
  </property>
  <property fmtid="{D5CDD505-2E9C-101B-9397-08002B2CF9AE}" pid="3" name="ICV">
    <vt:lpwstr>418A523EB2DA4E878F849448D718A2A6_12</vt:lpwstr>
  </property>
</Properties>
</file>