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240" w:rsidRDefault="007E5240">
      <w:pPr>
        <w:tabs>
          <w:tab w:val="left" w:pos="8280"/>
        </w:tabs>
        <w:spacing w:line="700" w:lineRule="exact"/>
        <w:ind w:rightChars="-180" w:right="-378"/>
        <w:jc w:val="left"/>
        <w:rPr>
          <w:rFonts w:ascii="新宋体" w:eastAsia="新宋体" w:hAnsi="新宋体"/>
          <w:b/>
          <w:color w:val="FF0000"/>
          <w:sz w:val="20"/>
          <w:szCs w:val="20"/>
        </w:rPr>
      </w:pPr>
    </w:p>
    <w:p w:rsidR="007E5240" w:rsidRDefault="00A2489D">
      <w:pPr>
        <w:tabs>
          <w:tab w:val="left" w:pos="8280"/>
        </w:tabs>
        <w:spacing w:line="700" w:lineRule="exact"/>
        <w:jc w:val="distribute"/>
        <w:rPr>
          <w:rFonts w:ascii="方正小标宋简体" w:eastAsia="方正小标宋简体" w:hAnsi="方正小标宋简体"/>
          <w:sz w:val="64"/>
          <w:szCs w:val="64"/>
        </w:rPr>
      </w:pPr>
      <w:r>
        <w:rPr>
          <w:rFonts w:ascii="方正小标宋简体" w:eastAsia="方正小标宋简体" w:hAnsi="方正小标宋简体" w:hint="eastAsia"/>
          <w:color w:val="FF0000"/>
          <w:sz w:val="64"/>
          <w:szCs w:val="64"/>
        </w:rPr>
        <w:t>上海市闵行区科学技术委员会</w:t>
      </w:r>
    </w:p>
    <w:p w:rsidR="007E5240" w:rsidRDefault="00A2489D">
      <w:pPr>
        <w:tabs>
          <w:tab w:val="left" w:pos="8100"/>
          <w:tab w:val="left" w:pos="8820"/>
        </w:tabs>
        <w:spacing w:line="580" w:lineRule="exact"/>
        <w:ind w:rightChars="38" w:right="80"/>
        <w:jc w:val="right"/>
        <w:rPr>
          <w:rFonts w:ascii="仿宋_GB2312" w:eastAsia="仿宋_GB2312" w:hAnsi="宋体"/>
          <w:sz w:val="32"/>
          <w:szCs w:val="32"/>
        </w:rPr>
      </w:pPr>
      <w:r>
        <w:rPr>
          <w:rFonts w:ascii="仿宋_GB2312" w:eastAsia="仿宋_GB2312" w:hAnsi="宋体" w:hint="eastAsia"/>
          <w:sz w:val="32"/>
          <w:szCs w:val="32"/>
        </w:rPr>
        <w:t xml:space="preserve"> </w:t>
      </w:r>
    </w:p>
    <w:p w:rsidR="007E5240" w:rsidRDefault="007E5240">
      <w:pPr>
        <w:spacing w:line="520" w:lineRule="exact"/>
        <w:ind w:rightChars="258" w:right="542"/>
        <w:rPr>
          <w:sz w:val="32"/>
        </w:rPr>
      </w:pPr>
    </w:p>
    <w:p w:rsidR="007E5240" w:rsidRDefault="00A2489D">
      <w:pPr>
        <w:pBdr>
          <w:bottom w:val="single" w:sz="12" w:space="1" w:color="FF0000"/>
        </w:pBdr>
        <w:spacing w:line="560" w:lineRule="exact"/>
        <w:jc w:val="center"/>
        <w:rPr>
          <w:rFonts w:ascii="仿宋" w:eastAsia="仿宋" w:hAnsi="仿宋"/>
          <w:sz w:val="32"/>
          <w:szCs w:val="32"/>
        </w:rPr>
      </w:pPr>
      <w:r>
        <w:rPr>
          <w:rFonts w:ascii="仿宋_GB2312" w:eastAsia="仿宋_GB2312" w:hAnsi="仿宋_GB2312" w:cs="仿宋_GB2312" w:hint="eastAsia"/>
          <w:sz w:val="32"/>
          <w:szCs w:val="32"/>
        </w:rPr>
        <w:t>闵科委〔202</w:t>
      </w:r>
      <w:r w:rsidR="000073A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E87BE9">
        <w:rPr>
          <w:rFonts w:ascii="仿宋_GB2312" w:eastAsia="仿宋_GB2312" w:hAnsi="仿宋_GB2312" w:cs="仿宋_GB2312"/>
          <w:sz w:val="32"/>
          <w:szCs w:val="32"/>
        </w:rPr>
        <w:t>2</w:t>
      </w:r>
      <w:r w:rsidR="00887141">
        <w:rPr>
          <w:rFonts w:ascii="仿宋_GB2312" w:eastAsia="仿宋_GB2312" w:hAnsi="仿宋_GB2312" w:cs="仿宋_GB2312"/>
          <w:sz w:val="32"/>
          <w:szCs w:val="32"/>
        </w:rPr>
        <w:t>7</w:t>
      </w:r>
      <w:r>
        <w:rPr>
          <w:rFonts w:ascii="仿宋_GB2312" w:eastAsia="仿宋_GB2312" w:hAnsi="仿宋_GB2312" w:cs="仿宋_GB2312" w:hint="eastAsia"/>
          <w:sz w:val="32"/>
          <w:szCs w:val="32"/>
        </w:rPr>
        <w:t>号</w:t>
      </w:r>
      <w:r>
        <w:rPr>
          <w:rFonts w:ascii="仿宋" w:eastAsia="仿宋" w:hAnsi="仿宋" w:hint="eastAsia"/>
          <w:sz w:val="32"/>
          <w:szCs w:val="32"/>
        </w:rPr>
        <w:t xml:space="preserve">                          </w:t>
      </w:r>
    </w:p>
    <w:p w:rsidR="007E5240" w:rsidRDefault="007E5240">
      <w:pPr>
        <w:tabs>
          <w:tab w:val="left" w:pos="4320"/>
        </w:tabs>
        <w:spacing w:line="460" w:lineRule="exact"/>
        <w:ind w:left="1606" w:hangingChars="400" w:hanging="1606"/>
        <w:jc w:val="center"/>
        <w:rPr>
          <w:rFonts w:ascii="黑体" w:eastAsia="黑体" w:hAnsi="宋体"/>
          <w:b/>
          <w:bCs/>
          <w:sz w:val="40"/>
          <w:szCs w:val="40"/>
        </w:rPr>
      </w:pPr>
    </w:p>
    <w:p w:rsidR="002908A3" w:rsidRDefault="00CC65E1" w:rsidP="002E3F79">
      <w:pPr>
        <w:widowControl/>
        <w:adjustRightInd w:val="0"/>
        <w:snapToGrid w:val="0"/>
        <w:spacing w:line="580" w:lineRule="exact"/>
        <w:jc w:val="center"/>
        <w:rPr>
          <w:rFonts w:ascii="方正小标宋简体" w:eastAsia="方正小标宋简体" w:hAnsi="方正小标宋简体" w:cs="方正小标宋简体"/>
          <w:sz w:val="44"/>
          <w:szCs w:val="44"/>
          <w:lang w:bidi="ar"/>
        </w:rPr>
      </w:pPr>
      <w:r w:rsidRPr="00CC65E1">
        <w:rPr>
          <w:rFonts w:ascii="方正小标宋简体" w:eastAsia="方正小标宋简体" w:hAnsi="方正小标宋简体" w:cs="方正小标宋简体" w:hint="eastAsia"/>
          <w:sz w:val="44"/>
          <w:szCs w:val="44"/>
          <w:lang w:bidi="ar"/>
        </w:rPr>
        <w:t>关于印发《2025年闵行区科委重大行政</w:t>
      </w:r>
    </w:p>
    <w:p w:rsidR="00CC65E1" w:rsidRPr="00CC65E1" w:rsidRDefault="00CC65E1" w:rsidP="002E3F79">
      <w:pPr>
        <w:widowControl/>
        <w:adjustRightInd w:val="0"/>
        <w:snapToGrid w:val="0"/>
        <w:spacing w:line="580" w:lineRule="exact"/>
        <w:jc w:val="center"/>
        <w:rPr>
          <w:rFonts w:ascii="方正小标宋简体" w:eastAsia="方正小标宋简体" w:hAnsi="方正小标宋简体" w:cs="方正小标宋简体" w:hint="eastAsia"/>
          <w:sz w:val="44"/>
          <w:szCs w:val="44"/>
          <w:lang w:bidi="ar"/>
        </w:rPr>
      </w:pPr>
      <w:bookmarkStart w:id="0" w:name="_GoBack"/>
      <w:bookmarkEnd w:id="0"/>
      <w:r w:rsidRPr="00CC65E1">
        <w:rPr>
          <w:rFonts w:ascii="方正小标宋简体" w:eastAsia="方正小标宋简体" w:hAnsi="方正小标宋简体" w:cs="方正小标宋简体" w:hint="eastAsia"/>
          <w:sz w:val="44"/>
          <w:szCs w:val="44"/>
          <w:lang w:bidi="ar"/>
        </w:rPr>
        <w:t>决策事项目录》的通知</w:t>
      </w:r>
    </w:p>
    <w:p w:rsidR="00CC65E1" w:rsidRPr="00CC65E1" w:rsidRDefault="00CC65E1" w:rsidP="002E3F79">
      <w:pPr>
        <w:widowControl/>
        <w:adjustRightInd w:val="0"/>
        <w:snapToGrid w:val="0"/>
        <w:spacing w:line="580" w:lineRule="exact"/>
        <w:jc w:val="left"/>
        <w:rPr>
          <w:rFonts w:ascii="仿宋" w:eastAsia="仿宋" w:hAnsi="仿宋" w:cs="仿宋" w:hint="eastAsia"/>
          <w:sz w:val="32"/>
          <w:szCs w:val="32"/>
          <w:lang w:bidi="ar"/>
        </w:rPr>
      </w:pPr>
    </w:p>
    <w:p w:rsidR="00CC65E1" w:rsidRPr="00CC65E1" w:rsidRDefault="00CC65E1" w:rsidP="002E3F79">
      <w:pPr>
        <w:widowControl/>
        <w:adjustRightInd w:val="0"/>
        <w:snapToGrid w:val="0"/>
        <w:spacing w:line="580" w:lineRule="exact"/>
        <w:jc w:val="left"/>
        <w:rPr>
          <w:rFonts w:ascii="Calibri" w:eastAsia="宋体" w:hAnsi="Calibri" w:cs="Times New Roman"/>
          <w:szCs w:val="24"/>
        </w:rPr>
      </w:pPr>
      <w:r w:rsidRPr="00CC65E1">
        <w:rPr>
          <w:rFonts w:ascii="仿宋" w:eastAsia="仿宋" w:hAnsi="仿宋" w:cs="仿宋"/>
          <w:sz w:val="32"/>
          <w:szCs w:val="32"/>
          <w:lang w:bidi="ar"/>
        </w:rPr>
        <w:t>各</w:t>
      </w:r>
      <w:r w:rsidRPr="00CC65E1">
        <w:rPr>
          <w:rFonts w:ascii="仿宋" w:eastAsia="仿宋" w:hAnsi="仿宋" w:cs="仿宋" w:hint="eastAsia"/>
          <w:sz w:val="32"/>
          <w:szCs w:val="32"/>
          <w:lang w:bidi="ar"/>
        </w:rPr>
        <w:t>科、部、室及事业单位</w:t>
      </w:r>
      <w:r w:rsidRPr="00CC65E1">
        <w:rPr>
          <w:rFonts w:ascii="仿宋" w:eastAsia="仿宋" w:hAnsi="仿宋" w:cs="仿宋"/>
          <w:sz w:val="32"/>
          <w:szCs w:val="32"/>
          <w:lang w:bidi="ar"/>
        </w:rPr>
        <w:t>：</w:t>
      </w:r>
    </w:p>
    <w:p w:rsidR="00CC65E1" w:rsidRPr="00CC65E1" w:rsidRDefault="00CC65E1" w:rsidP="002E3F79">
      <w:pPr>
        <w:autoSpaceDE w:val="0"/>
        <w:adjustRightInd w:val="0"/>
        <w:snapToGrid w:val="0"/>
        <w:spacing w:line="580" w:lineRule="exact"/>
        <w:ind w:firstLineChars="200" w:firstLine="640"/>
        <w:rPr>
          <w:rFonts w:ascii="仿宋" w:eastAsia="仿宋" w:hAnsi="仿宋" w:cs="Times New Roman" w:hint="eastAsia"/>
          <w:sz w:val="32"/>
          <w:szCs w:val="32"/>
          <w:lang w:bidi="ar"/>
        </w:rPr>
      </w:pPr>
      <w:r w:rsidRPr="00CC65E1">
        <w:rPr>
          <w:rFonts w:ascii="仿宋" w:eastAsia="仿宋" w:hAnsi="仿宋" w:cs="仿宋" w:hint="eastAsia"/>
          <w:sz w:val="32"/>
          <w:szCs w:val="32"/>
          <w:lang w:bidi="ar"/>
        </w:rPr>
        <w:t>根据《闵行区人民政府重大行政决策事项目录管理办法》的规定及区政府相关要求，闵行区科学技术委员会（以下简称“区科委”）重大行政决策实行目录管理制度。经各科室申报、办公室初审，并报请区科委</w:t>
      </w:r>
      <w:r w:rsidRPr="00CC65E1">
        <w:rPr>
          <w:rFonts w:ascii="仿宋" w:eastAsia="仿宋" w:hAnsi="仿宋" w:cs="Times New Roman" w:hint="eastAsia"/>
          <w:sz w:val="32"/>
          <w:szCs w:val="32"/>
          <w:lang w:bidi="ar"/>
        </w:rPr>
        <w:t>行政办公会议及党组会审议通过，现予印发《2025年闵行区科委重大行政决策事项目录》，请认真组织实施，积极落实推进。具体工作通知如下：</w:t>
      </w:r>
    </w:p>
    <w:p w:rsidR="00CC65E1" w:rsidRPr="00CC65E1" w:rsidRDefault="00CC65E1" w:rsidP="002E3F79">
      <w:pPr>
        <w:autoSpaceDE w:val="0"/>
        <w:adjustRightInd w:val="0"/>
        <w:snapToGrid w:val="0"/>
        <w:spacing w:line="580" w:lineRule="exact"/>
        <w:ind w:firstLineChars="200" w:firstLine="640"/>
        <w:rPr>
          <w:rFonts w:ascii="黑体" w:eastAsia="黑体" w:hAnsi="黑体" w:cs="黑体" w:hint="eastAsia"/>
          <w:sz w:val="32"/>
          <w:szCs w:val="32"/>
          <w:lang w:bidi="ar"/>
        </w:rPr>
      </w:pPr>
      <w:r w:rsidRPr="00CC65E1">
        <w:rPr>
          <w:rFonts w:ascii="黑体" w:eastAsia="黑体" w:hAnsi="黑体" w:cs="黑体" w:hint="eastAsia"/>
          <w:sz w:val="32"/>
          <w:szCs w:val="32"/>
          <w:lang w:bidi="ar"/>
        </w:rPr>
        <w:t>一、加强组织领导</w:t>
      </w:r>
    </w:p>
    <w:p w:rsidR="00CC65E1" w:rsidRPr="00CC65E1" w:rsidRDefault="00CC65E1" w:rsidP="002E3F79">
      <w:pPr>
        <w:autoSpaceDE w:val="0"/>
        <w:adjustRightInd w:val="0"/>
        <w:snapToGrid w:val="0"/>
        <w:spacing w:line="580" w:lineRule="exact"/>
        <w:ind w:firstLineChars="200" w:firstLine="640"/>
        <w:rPr>
          <w:rFonts w:ascii="Calibri" w:eastAsia="宋体" w:hAnsi="Calibri" w:cs="Times New Roman"/>
          <w:szCs w:val="24"/>
        </w:rPr>
      </w:pPr>
      <w:r w:rsidRPr="00CC65E1">
        <w:rPr>
          <w:rFonts w:ascii="仿宋" w:eastAsia="仿宋" w:hAnsi="仿宋" w:cs="仿宋" w:hint="eastAsia"/>
          <w:sz w:val="32"/>
          <w:szCs w:val="32"/>
          <w:lang w:bidi="ar"/>
        </w:rPr>
        <w:t>各承办科室要严格按照《闵行区人民政府关于印发〈闵行区人民政府重大行政决策程序规定〉以及四项配套实施细则的通知》（闵府发〔</w:t>
      </w:r>
      <w:r w:rsidRPr="00CC65E1">
        <w:rPr>
          <w:rFonts w:ascii="仿宋" w:eastAsia="仿宋" w:hAnsi="仿宋" w:cs="Times New Roman" w:hint="eastAsia"/>
          <w:sz w:val="32"/>
          <w:szCs w:val="32"/>
          <w:lang w:bidi="ar"/>
        </w:rPr>
        <w:t>2020〕18号）等相关规定，坚持科学决策、民主决策、依法决策的原则，加强组织领导，明确职责分工，明确时间节点，确保决策事项按计划推进，提升决策的科学化、民主化、法治化水平。</w:t>
      </w:r>
    </w:p>
    <w:p w:rsidR="00CC65E1" w:rsidRPr="00CC65E1" w:rsidRDefault="00CC65E1" w:rsidP="002E3F79">
      <w:pPr>
        <w:autoSpaceDE w:val="0"/>
        <w:adjustRightInd w:val="0"/>
        <w:snapToGrid w:val="0"/>
        <w:spacing w:line="580" w:lineRule="exact"/>
        <w:ind w:firstLineChars="200" w:firstLine="640"/>
        <w:jc w:val="left"/>
        <w:rPr>
          <w:rFonts w:ascii="黑体" w:eastAsia="黑体" w:hAnsi="黑体" w:cs="黑体" w:hint="eastAsia"/>
          <w:szCs w:val="24"/>
        </w:rPr>
      </w:pPr>
      <w:r w:rsidRPr="00CC65E1">
        <w:rPr>
          <w:rFonts w:ascii="黑体" w:eastAsia="黑体" w:hAnsi="黑体" w:cs="黑体" w:hint="eastAsia"/>
          <w:sz w:val="32"/>
          <w:szCs w:val="32"/>
          <w:lang w:bidi="ar"/>
        </w:rPr>
        <w:lastRenderedPageBreak/>
        <w:t>二、规范实施程序</w:t>
      </w:r>
    </w:p>
    <w:p w:rsidR="00CC65E1" w:rsidRPr="00CC65E1" w:rsidRDefault="00CC65E1" w:rsidP="002E3F79">
      <w:pPr>
        <w:autoSpaceDE w:val="0"/>
        <w:adjustRightInd w:val="0"/>
        <w:snapToGrid w:val="0"/>
        <w:spacing w:line="580" w:lineRule="exact"/>
        <w:ind w:firstLineChars="200" w:firstLine="640"/>
        <w:jc w:val="left"/>
        <w:rPr>
          <w:rFonts w:ascii="仿宋" w:eastAsia="仿宋" w:hAnsi="仿宋" w:cs="Times New Roman" w:hint="eastAsia"/>
          <w:sz w:val="32"/>
          <w:szCs w:val="32"/>
          <w:lang w:bidi="ar"/>
        </w:rPr>
      </w:pPr>
      <w:r w:rsidRPr="00CC65E1">
        <w:rPr>
          <w:rFonts w:ascii="仿宋" w:eastAsia="仿宋" w:hAnsi="仿宋" w:cs="仿宋" w:hint="eastAsia"/>
          <w:sz w:val="32"/>
          <w:szCs w:val="32"/>
          <w:lang w:bidi="ar"/>
        </w:rPr>
        <w:t>各承办科室要按照</w:t>
      </w:r>
      <w:r w:rsidRPr="00CC65E1">
        <w:rPr>
          <w:rFonts w:ascii="仿宋" w:eastAsia="仿宋" w:hAnsi="仿宋" w:cs="Times New Roman" w:hint="eastAsia"/>
          <w:sz w:val="32"/>
          <w:szCs w:val="32"/>
          <w:lang w:bidi="ar"/>
        </w:rPr>
        <w:t>“一事项一方案”要求，进一步规范决策工作流程，严格履行公众参与、专家论证、风险评估、合法性审查等决策程序，完善决策草案。决策草案提请区科委行政办公会及党组会审议通过后，方能发布。</w:t>
      </w:r>
    </w:p>
    <w:p w:rsidR="00CC65E1" w:rsidRPr="00CC65E1" w:rsidRDefault="00CC65E1" w:rsidP="002E3F79">
      <w:pPr>
        <w:autoSpaceDE w:val="0"/>
        <w:adjustRightInd w:val="0"/>
        <w:snapToGrid w:val="0"/>
        <w:spacing w:line="580" w:lineRule="exact"/>
        <w:ind w:firstLineChars="200" w:firstLine="640"/>
        <w:jc w:val="left"/>
        <w:rPr>
          <w:rFonts w:ascii="Calibri" w:eastAsia="宋体" w:hAnsi="Calibri" w:cs="Times New Roman"/>
          <w:szCs w:val="24"/>
        </w:rPr>
      </w:pPr>
      <w:r w:rsidRPr="00CC65E1">
        <w:rPr>
          <w:rFonts w:ascii="黑体" w:eastAsia="黑体" w:hAnsi="黑体" w:cs="黑体" w:hint="eastAsia"/>
          <w:sz w:val="32"/>
          <w:szCs w:val="32"/>
          <w:lang w:bidi="ar"/>
        </w:rPr>
        <w:t>三、加强动态调整</w:t>
      </w:r>
    </w:p>
    <w:p w:rsidR="00CC65E1" w:rsidRPr="00CC65E1" w:rsidRDefault="00CC65E1" w:rsidP="002E3F79">
      <w:pPr>
        <w:spacing w:line="580" w:lineRule="exact"/>
        <w:ind w:firstLineChars="200" w:firstLine="640"/>
        <w:rPr>
          <w:rFonts w:ascii="仿宋" w:eastAsia="仿宋" w:hAnsi="仿宋" w:cs="Times New Roman"/>
          <w:sz w:val="32"/>
          <w:szCs w:val="32"/>
        </w:rPr>
      </w:pPr>
      <w:r w:rsidRPr="00CC65E1">
        <w:rPr>
          <w:rFonts w:ascii="仿宋" w:eastAsia="仿宋" w:hAnsi="仿宋" w:cs="仿宋" w:hint="eastAsia"/>
          <w:sz w:val="32"/>
          <w:szCs w:val="32"/>
          <w:lang w:bidi="ar"/>
        </w:rPr>
        <w:t>区科委决策事项目录实施动态调整制度：一是对区人大代表、区政协委员通过议案、代表书面意见以及提案等方式提出的决策建议，经区科委相关科室研究后，认为需要纳入重大行政决策的事项；二是根据上级部门工作安排或者本区实际需要，认为需要调整或新增重大行政决策的事项。对符合上述两种情况的事项，相关科室应当主动向区科委办公室进行申报，经审议同意后予以调整发布</w:t>
      </w:r>
      <w:r w:rsidRPr="00CC65E1">
        <w:rPr>
          <w:rFonts w:ascii="仿宋" w:eastAsia="仿宋" w:hAnsi="仿宋" w:cs="Times New Roman"/>
          <w:sz w:val="32"/>
          <w:szCs w:val="32"/>
        </w:rPr>
        <w:t>。</w:t>
      </w:r>
    </w:p>
    <w:p w:rsidR="00CC65E1" w:rsidRPr="00CC65E1" w:rsidRDefault="00CC65E1" w:rsidP="002E3F79">
      <w:pPr>
        <w:autoSpaceDE w:val="0"/>
        <w:adjustRightInd w:val="0"/>
        <w:snapToGrid w:val="0"/>
        <w:spacing w:line="580" w:lineRule="exact"/>
        <w:ind w:firstLineChars="200" w:firstLine="640"/>
        <w:jc w:val="left"/>
        <w:rPr>
          <w:rFonts w:ascii="仿宋" w:eastAsia="仿宋" w:hAnsi="仿宋" w:cs="仿宋" w:hint="eastAsia"/>
          <w:sz w:val="32"/>
          <w:szCs w:val="32"/>
          <w:lang w:bidi="ar"/>
        </w:rPr>
      </w:pPr>
      <w:r w:rsidRPr="00CC65E1">
        <w:rPr>
          <w:rFonts w:ascii="仿宋" w:eastAsia="仿宋" w:hAnsi="仿宋" w:cs="仿宋" w:hint="eastAsia"/>
          <w:sz w:val="32"/>
          <w:szCs w:val="32"/>
          <w:lang w:bidi="ar"/>
        </w:rPr>
        <w:t>特此通知。</w:t>
      </w:r>
    </w:p>
    <w:p w:rsidR="00CC65E1" w:rsidRPr="00CC65E1" w:rsidRDefault="00CC65E1" w:rsidP="002E3F79">
      <w:pPr>
        <w:spacing w:after="120" w:line="580" w:lineRule="exact"/>
        <w:rPr>
          <w:rFonts w:ascii="Calibri" w:eastAsia="宋体" w:hAnsi="Calibri" w:cs="Times New Roman"/>
          <w:szCs w:val="24"/>
        </w:rPr>
      </w:pPr>
    </w:p>
    <w:p w:rsidR="00CC65E1" w:rsidRPr="00CC65E1" w:rsidRDefault="00CC65E1" w:rsidP="002E3F79">
      <w:pPr>
        <w:autoSpaceDE w:val="0"/>
        <w:adjustRightInd w:val="0"/>
        <w:snapToGrid w:val="0"/>
        <w:spacing w:line="580" w:lineRule="exact"/>
        <w:ind w:firstLineChars="200" w:firstLine="640"/>
        <w:jc w:val="left"/>
        <w:rPr>
          <w:rFonts w:ascii="Calibri" w:eastAsia="宋体" w:hAnsi="Calibri" w:cs="Times New Roman"/>
          <w:szCs w:val="24"/>
        </w:rPr>
      </w:pPr>
      <w:r w:rsidRPr="00CC65E1">
        <w:rPr>
          <w:rFonts w:ascii="仿宋" w:eastAsia="仿宋" w:hAnsi="仿宋" w:cs="仿宋" w:hint="eastAsia"/>
          <w:sz w:val="32"/>
          <w:szCs w:val="32"/>
          <w:lang w:bidi="ar"/>
        </w:rPr>
        <w:t>附件：《</w:t>
      </w:r>
      <w:r w:rsidRPr="00CC65E1">
        <w:rPr>
          <w:rFonts w:ascii="仿宋" w:eastAsia="仿宋" w:hAnsi="仿宋" w:cs="Times New Roman" w:hint="eastAsia"/>
          <w:sz w:val="32"/>
          <w:szCs w:val="32"/>
          <w:lang w:bidi="ar"/>
        </w:rPr>
        <w:t>2025年闵行区科委重大行政决策事项目录》</w:t>
      </w:r>
    </w:p>
    <w:p w:rsidR="00CC65E1" w:rsidRDefault="00CC65E1" w:rsidP="002E3F79">
      <w:pPr>
        <w:widowControl/>
        <w:adjustRightInd w:val="0"/>
        <w:snapToGrid w:val="0"/>
        <w:spacing w:line="580" w:lineRule="exact"/>
        <w:jc w:val="left"/>
        <w:rPr>
          <w:rFonts w:ascii="仿宋" w:eastAsia="仿宋" w:hAnsi="仿宋" w:cs="Times New Roman"/>
          <w:sz w:val="32"/>
          <w:szCs w:val="32"/>
          <w:lang w:bidi="ar"/>
        </w:rPr>
      </w:pPr>
      <w:r w:rsidRPr="00CC65E1">
        <w:rPr>
          <w:rFonts w:ascii="仿宋" w:eastAsia="仿宋" w:hAnsi="仿宋" w:cs="Times New Roman" w:hint="eastAsia"/>
          <w:sz w:val="32"/>
          <w:szCs w:val="32"/>
          <w:lang w:bidi="ar"/>
        </w:rPr>
        <w:t xml:space="preserve"> </w:t>
      </w:r>
    </w:p>
    <w:p w:rsidR="00CC65E1" w:rsidRDefault="00CC65E1" w:rsidP="002E3F79">
      <w:pPr>
        <w:widowControl/>
        <w:adjustRightInd w:val="0"/>
        <w:snapToGrid w:val="0"/>
        <w:spacing w:line="580" w:lineRule="exact"/>
        <w:jc w:val="left"/>
        <w:rPr>
          <w:rFonts w:ascii="仿宋" w:eastAsia="仿宋" w:hAnsi="仿宋" w:cs="Times New Roman"/>
          <w:sz w:val="32"/>
          <w:szCs w:val="32"/>
          <w:lang w:bidi="ar"/>
        </w:rPr>
      </w:pPr>
    </w:p>
    <w:p w:rsidR="00CC65E1" w:rsidRPr="00CC65E1" w:rsidRDefault="00CC65E1" w:rsidP="002E3F79">
      <w:pPr>
        <w:widowControl/>
        <w:adjustRightInd w:val="0"/>
        <w:snapToGrid w:val="0"/>
        <w:spacing w:line="580" w:lineRule="exact"/>
        <w:jc w:val="left"/>
        <w:rPr>
          <w:rFonts w:ascii="Calibri" w:eastAsia="宋体" w:hAnsi="Calibri" w:cs="Times New Roman"/>
          <w:szCs w:val="24"/>
        </w:rPr>
      </w:pPr>
    </w:p>
    <w:p w:rsidR="00CC65E1" w:rsidRPr="00CC65E1" w:rsidRDefault="00CC65E1" w:rsidP="002E3F79">
      <w:pPr>
        <w:widowControl/>
        <w:adjustRightInd w:val="0"/>
        <w:snapToGrid w:val="0"/>
        <w:spacing w:line="580" w:lineRule="exact"/>
        <w:ind w:right="320"/>
        <w:jc w:val="right"/>
        <w:rPr>
          <w:rFonts w:ascii="仿宋" w:eastAsia="仿宋" w:hAnsi="仿宋" w:cs="Times New Roman" w:hint="eastAsia"/>
          <w:sz w:val="32"/>
          <w:szCs w:val="32"/>
          <w:lang w:bidi="ar"/>
        </w:rPr>
      </w:pPr>
      <w:r w:rsidRPr="00CC65E1">
        <w:rPr>
          <w:rFonts w:ascii="仿宋" w:eastAsia="仿宋" w:hAnsi="仿宋" w:cs="Times New Roman" w:hint="eastAsia"/>
          <w:sz w:val="32"/>
          <w:szCs w:val="32"/>
          <w:lang w:bidi="ar"/>
        </w:rPr>
        <w:t>闵行区科学技术委员会</w:t>
      </w:r>
    </w:p>
    <w:p w:rsidR="00F5711B" w:rsidRPr="002E3F79" w:rsidRDefault="00CC65E1" w:rsidP="002E3F79">
      <w:pPr>
        <w:widowControl/>
        <w:adjustRightInd w:val="0"/>
        <w:snapToGrid w:val="0"/>
        <w:spacing w:line="580" w:lineRule="exact"/>
        <w:ind w:right="640"/>
        <w:jc w:val="right"/>
        <w:rPr>
          <w:rFonts w:ascii="仿宋" w:eastAsia="仿宋" w:hAnsi="仿宋" w:cs="Times New Roman" w:hint="eastAsia"/>
          <w:sz w:val="32"/>
          <w:szCs w:val="32"/>
          <w:lang w:bidi="ar"/>
        </w:rPr>
      </w:pPr>
      <w:r w:rsidRPr="00CC65E1">
        <w:rPr>
          <w:rFonts w:ascii="仿宋" w:eastAsia="仿宋" w:hAnsi="仿宋" w:cs="Times New Roman" w:hint="eastAsia"/>
          <w:sz w:val="32"/>
          <w:szCs w:val="32"/>
          <w:lang w:bidi="ar"/>
        </w:rPr>
        <w:t>2025年3月</w:t>
      </w:r>
      <w:r>
        <w:rPr>
          <w:rFonts w:ascii="仿宋" w:eastAsia="仿宋" w:hAnsi="仿宋" w:cs="Times New Roman"/>
          <w:sz w:val="32"/>
          <w:szCs w:val="32"/>
          <w:lang w:bidi="ar"/>
        </w:rPr>
        <w:t>24</w:t>
      </w:r>
      <w:r w:rsidRPr="00CC65E1">
        <w:rPr>
          <w:rFonts w:ascii="仿宋" w:eastAsia="仿宋" w:hAnsi="仿宋" w:cs="Times New Roman" w:hint="eastAsia"/>
          <w:sz w:val="32"/>
          <w:szCs w:val="32"/>
          <w:lang w:bidi="ar"/>
        </w:rPr>
        <w:t>日</w:t>
      </w:r>
    </w:p>
    <w:p w:rsidR="007E5240" w:rsidRDefault="00A2489D" w:rsidP="006D645B">
      <w:pPr>
        <w:spacing w:beforeLines="50" w:before="156" w:line="520" w:lineRule="exact"/>
        <w:rPr>
          <w:rFonts w:ascii="黑体" w:eastAsia="黑体" w:hAnsi="宋体"/>
          <w:bCs/>
          <w:spacing w:val="-20"/>
          <w:sz w:val="30"/>
          <w:szCs w:val="30"/>
          <w:u w:val="single"/>
        </w:rPr>
      </w:pPr>
      <w:r>
        <w:rPr>
          <w:rFonts w:ascii="黑体" w:eastAsia="黑体" w:hAnsi="宋体" w:hint="eastAsia"/>
          <w:bCs/>
          <w:sz w:val="30"/>
          <w:szCs w:val="30"/>
          <w:u w:val="single"/>
        </w:rPr>
        <w:t>公开属性：</w:t>
      </w:r>
      <w:r w:rsidR="00816021">
        <w:rPr>
          <w:rFonts w:ascii="黑体" w:eastAsia="黑体" w:hAnsi="宋体" w:hint="eastAsia"/>
          <w:bCs/>
          <w:sz w:val="30"/>
          <w:szCs w:val="30"/>
          <w:u w:val="single"/>
        </w:rPr>
        <w:t>主动公开</w:t>
      </w:r>
      <w:r>
        <w:rPr>
          <w:rFonts w:ascii="黑体" w:eastAsia="黑体" w:hAnsi="宋体" w:hint="eastAsia"/>
          <w:bCs/>
          <w:sz w:val="30"/>
          <w:szCs w:val="30"/>
          <w:u w:val="single"/>
        </w:rPr>
        <w:t xml:space="preserve">                                           </w:t>
      </w:r>
    </w:p>
    <w:p w:rsidR="007E5240" w:rsidRDefault="00A2489D" w:rsidP="007E5240">
      <w:pPr>
        <w:spacing w:beforeLines="50" w:before="156" w:line="240" w:lineRule="exact"/>
        <w:rPr>
          <w:rFonts w:ascii="仿宋" w:eastAsia="仿宋" w:hAnsi="仿宋" w:cs="仿宋"/>
          <w:sz w:val="30"/>
          <w:szCs w:val="30"/>
          <w:u w:val="single"/>
        </w:rPr>
      </w:pPr>
      <w:r>
        <w:rPr>
          <w:rFonts w:ascii="仿宋_GB2312" w:eastAsia="仿宋_GB2312" w:hAnsi="宋体" w:hint="eastAsia"/>
          <w:sz w:val="30"/>
          <w:szCs w:val="30"/>
          <w:u w:val="single"/>
        </w:rPr>
        <w:t xml:space="preserve">  </w:t>
      </w:r>
      <w:r>
        <w:rPr>
          <w:rFonts w:ascii="仿宋_GB2312" w:eastAsia="仿宋_GB2312" w:hAnsi="仿宋_GB2312" w:cs="仿宋_GB2312" w:hint="eastAsia"/>
          <w:sz w:val="30"/>
          <w:szCs w:val="30"/>
          <w:u w:val="single"/>
        </w:rPr>
        <w:t>闵行区科学技术委员会</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w:t>
      </w:r>
      <w:r w:rsidR="006D645B">
        <w:rPr>
          <w:rFonts w:ascii="仿宋_GB2312" w:eastAsia="仿宋_GB2312" w:hAnsi="仿宋_GB2312" w:cs="仿宋_GB2312"/>
          <w:spacing w:val="-20"/>
          <w:sz w:val="30"/>
          <w:szCs w:val="30"/>
          <w:u w:val="single"/>
        </w:rPr>
        <w:t xml:space="preserve">         </w:t>
      </w:r>
      <w:r>
        <w:rPr>
          <w:rFonts w:ascii="仿宋_GB2312" w:eastAsia="仿宋_GB2312" w:hAnsi="仿宋_GB2312" w:cs="仿宋_GB2312" w:hint="eastAsia"/>
          <w:spacing w:val="-20"/>
          <w:sz w:val="30"/>
          <w:szCs w:val="30"/>
          <w:u w:val="single"/>
        </w:rPr>
        <w:t xml:space="preserve"> 202</w:t>
      </w:r>
      <w:r w:rsidR="00ED38AF">
        <w:rPr>
          <w:rFonts w:ascii="仿宋_GB2312" w:eastAsia="仿宋_GB2312" w:hAnsi="仿宋_GB2312" w:cs="仿宋_GB2312" w:hint="eastAsia"/>
          <w:spacing w:val="-20"/>
          <w:sz w:val="30"/>
          <w:szCs w:val="30"/>
          <w:u w:val="single"/>
        </w:rPr>
        <w:t>5</w:t>
      </w:r>
      <w:r>
        <w:rPr>
          <w:rFonts w:ascii="仿宋_GB2312" w:eastAsia="仿宋_GB2312" w:hAnsi="仿宋_GB2312" w:cs="仿宋_GB2312" w:hint="eastAsia"/>
          <w:sz w:val="30"/>
          <w:szCs w:val="30"/>
          <w:u w:val="single"/>
        </w:rPr>
        <w:t>年</w:t>
      </w:r>
      <w:r w:rsidR="00F5711B">
        <w:rPr>
          <w:rFonts w:ascii="仿宋_GB2312" w:eastAsia="仿宋_GB2312" w:hAnsi="仿宋_GB2312" w:cs="仿宋_GB2312"/>
          <w:sz w:val="30"/>
          <w:szCs w:val="30"/>
          <w:u w:val="single"/>
        </w:rPr>
        <w:t>3</w:t>
      </w:r>
      <w:r>
        <w:rPr>
          <w:rFonts w:ascii="仿宋_GB2312" w:eastAsia="仿宋_GB2312" w:hAnsi="仿宋_GB2312" w:cs="仿宋_GB2312" w:hint="eastAsia"/>
          <w:sz w:val="30"/>
          <w:szCs w:val="30"/>
          <w:u w:val="single"/>
        </w:rPr>
        <w:t>月</w:t>
      </w:r>
      <w:r w:rsidR="00CC65E1">
        <w:rPr>
          <w:rFonts w:ascii="仿宋_GB2312" w:eastAsia="仿宋_GB2312" w:hAnsi="仿宋_GB2312" w:cs="仿宋_GB2312"/>
          <w:sz w:val="30"/>
          <w:szCs w:val="30"/>
          <w:u w:val="single"/>
        </w:rPr>
        <w:t>24</w:t>
      </w:r>
      <w:r>
        <w:rPr>
          <w:rFonts w:ascii="仿宋_GB2312" w:eastAsia="仿宋_GB2312" w:hAnsi="仿宋_GB2312" w:cs="仿宋_GB2312" w:hint="eastAsia"/>
          <w:sz w:val="30"/>
          <w:szCs w:val="30"/>
          <w:u w:val="single"/>
        </w:rPr>
        <w:t>日印</w:t>
      </w:r>
      <w:r>
        <w:rPr>
          <w:rFonts w:ascii="仿宋" w:eastAsia="仿宋" w:hAnsi="仿宋" w:cs="仿宋" w:hint="eastAsia"/>
          <w:sz w:val="30"/>
          <w:szCs w:val="30"/>
          <w:u w:val="single"/>
        </w:rPr>
        <w:t>发</w:t>
      </w:r>
    </w:p>
    <w:p w:rsidR="00CC65E1" w:rsidRDefault="00CC65E1" w:rsidP="00CC65E1">
      <w:pPr>
        <w:widowControl/>
        <w:adjustRightInd w:val="0"/>
        <w:snapToGrid w:val="0"/>
        <w:spacing w:line="560" w:lineRule="exact"/>
        <w:rPr>
          <w:rFonts w:ascii="黑体" w:eastAsia="黑体" w:hAnsi="黑体" w:cs="Times New Roman" w:hint="eastAsia"/>
          <w:sz w:val="28"/>
          <w:szCs w:val="32"/>
          <w:lang w:bidi="ar"/>
        </w:rPr>
      </w:pPr>
      <w:r w:rsidRPr="00CC65E1">
        <w:rPr>
          <w:rFonts w:ascii="黑体" w:eastAsia="黑体" w:hAnsi="黑体" w:cs="Times New Roman" w:hint="eastAsia"/>
          <w:sz w:val="28"/>
          <w:szCs w:val="32"/>
          <w:lang w:bidi="ar"/>
        </w:rPr>
        <w:lastRenderedPageBreak/>
        <w:t>附件</w:t>
      </w:r>
    </w:p>
    <w:p w:rsidR="00CC65E1" w:rsidRDefault="00CC65E1" w:rsidP="00CC65E1">
      <w:pPr>
        <w:widowControl/>
        <w:adjustRightInd w:val="0"/>
        <w:snapToGrid w:val="0"/>
        <w:spacing w:line="560" w:lineRule="exact"/>
        <w:rPr>
          <w:rFonts w:ascii="黑体" w:eastAsia="黑体" w:hAnsi="黑体" w:cs="Times New Roman"/>
          <w:sz w:val="28"/>
          <w:szCs w:val="32"/>
          <w:lang w:bidi="ar"/>
        </w:rPr>
      </w:pPr>
    </w:p>
    <w:p w:rsidR="00CC65E1" w:rsidRDefault="00CC65E1" w:rsidP="00CC65E1">
      <w:pPr>
        <w:widowControl/>
        <w:adjustRightInd w:val="0"/>
        <w:snapToGrid w:val="0"/>
        <w:spacing w:line="560" w:lineRule="exact"/>
        <w:jc w:val="center"/>
        <w:rPr>
          <w:rFonts w:ascii="方正小标宋简体" w:eastAsia="方正小标宋简体" w:hAnsi="方正小标宋简体" w:cs="方正小标宋简体"/>
          <w:sz w:val="44"/>
          <w:szCs w:val="44"/>
          <w:lang w:bidi="ar"/>
        </w:rPr>
      </w:pPr>
      <w:r w:rsidRPr="00CC65E1">
        <w:rPr>
          <w:rFonts w:ascii="方正小标宋简体" w:eastAsia="方正小标宋简体" w:hAnsi="方正小标宋简体" w:cs="方正小标宋简体" w:hint="eastAsia"/>
          <w:sz w:val="44"/>
          <w:szCs w:val="44"/>
          <w:lang w:bidi="ar"/>
        </w:rPr>
        <w:t>2025年闵行区科委重大行政决策事项目录</w:t>
      </w:r>
    </w:p>
    <w:p w:rsidR="00CC65E1" w:rsidRPr="00CC65E1" w:rsidRDefault="00CC65E1" w:rsidP="00CC65E1">
      <w:pPr>
        <w:widowControl/>
        <w:adjustRightInd w:val="0"/>
        <w:snapToGrid w:val="0"/>
        <w:spacing w:line="560" w:lineRule="exact"/>
        <w:rPr>
          <w:rFonts w:ascii="黑体" w:eastAsia="黑体" w:hAnsi="黑体" w:cs="Times New Roman" w:hint="eastAsia"/>
          <w:sz w:val="28"/>
          <w:szCs w:val="32"/>
          <w:lang w:bidi="ar"/>
        </w:rPr>
      </w:pPr>
    </w:p>
    <w:tbl>
      <w:tblPr>
        <w:tblStyle w:val="10"/>
        <w:tblW w:w="5000" w:type="pct"/>
        <w:tblInd w:w="0" w:type="dxa"/>
        <w:tblLook w:val="0000" w:firstRow="0" w:lastRow="0" w:firstColumn="0" w:lastColumn="0" w:noHBand="0" w:noVBand="0"/>
      </w:tblPr>
      <w:tblGrid>
        <w:gridCol w:w="958"/>
        <w:gridCol w:w="4818"/>
        <w:gridCol w:w="1845"/>
        <w:gridCol w:w="1439"/>
      </w:tblGrid>
      <w:tr w:rsidR="00CC65E1" w:rsidRPr="00CC65E1" w:rsidTr="00CC65E1">
        <w:trPr>
          <w:trHeight w:val="1018"/>
        </w:trPr>
        <w:tc>
          <w:tcPr>
            <w:tcW w:w="529" w:type="pct"/>
            <w:vAlign w:val="center"/>
          </w:tcPr>
          <w:p w:rsidR="00CC65E1" w:rsidRPr="00CC65E1" w:rsidRDefault="00CC65E1" w:rsidP="00CC65E1">
            <w:pPr>
              <w:spacing w:line="400" w:lineRule="exact"/>
              <w:jc w:val="center"/>
              <w:rPr>
                <w:rFonts w:ascii="仿宋" w:eastAsia="仿宋" w:hAnsi="仿宋" w:cs="仿宋" w:hint="eastAsia"/>
                <w:b/>
                <w:bCs/>
                <w:sz w:val="28"/>
                <w:szCs w:val="32"/>
              </w:rPr>
            </w:pPr>
            <w:r w:rsidRPr="00CC65E1">
              <w:rPr>
                <w:rFonts w:ascii="仿宋" w:eastAsia="仿宋" w:hAnsi="仿宋" w:cs="仿宋" w:hint="eastAsia"/>
                <w:b/>
                <w:bCs/>
                <w:sz w:val="28"/>
                <w:szCs w:val="32"/>
              </w:rPr>
              <w:t>序号</w:t>
            </w:r>
          </w:p>
        </w:tc>
        <w:tc>
          <w:tcPr>
            <w:tcW w:w="2659" w:type="pct"/>
            <w:vAlign w:val="center"/>
          </w:tcPr>
          <w:p w:rsidR="00CC65E1" w:rsidRPr="00CC65E1" w:rsidRDefault="00CC65E1" w:rsidP="00CC65E1">
            <w:pPr>
              <w:spacing w:line="400" w:lineRule="exact"/>
              <w:jc w:val="center"/>
              <w:rPr>
                <w:rFonts w:ascii="仿宋" w:eastAsia="仿宋" w:hAnsi="仿宋" w:cs="仿宋" w:hint="eastAsia"/>
                <w:b/>
                <w:bCs/>
                <w:sz w:val="28"/>
                <w:szCs w:val="32"/>
              </w:rPr>
            </w:pPr>
            <w:r w:rsidRPr="00CC65E1">
              <w:rPr>
                <w:rFonts w:ascii="仿宋" w:eastAsia="仿宋" w:hAnsi="仿宋" w:cs="仿宋" w:hint="eastAsia"/>
                <w:b/>
                <w:bCs/>
                <w:sz w:val="28"/>
                <w:szCs w:val="32"/>
              </w:rPr>
              <w:t>决策事项名称</w:t>
            </w:r>
          </w:p>
        </w:tc>
        <w:tc>
          <w:tcPr>
            <w:tcW w:w="1018" w:type="pct"/>
            <w:vAlign w:val="center"/>
          </w:tcPr>
          <w:p w:rsidR="00CC65E1" w:rsidRPr="00CC65E1" w:rsidRDefault="00CC65E1" w:rsidP="00CC65E1">
            <w:pPr>
              <w:spacing w:line="400" w:lineRule="exact"/>
              <w:jc w:val="center"/>
              <w:rPr>
                <w:rFonts w:ascii="仿宋" w:eastAsia="仿宋" w:hAnsi="仿宋" w:cs="仿宋" w:hint="eastAsia"/>
                <w:b/>
                <w:bCs/>
                <w:sz w:val="28"/>
                <w:szCs w:val="32"/>
              </w:rPr>
            </w:pPr>
            <w:r w:rsidRPr="00CC65E1">
              <w:rPr>
                <w:rFonts w:ascii="仿宋" w:eastAsia="仿宋" w:hAnsi="仿宋" w:cs="仿宋" w:hint="eastAsia"/>
                <w:b/>
                <w:bCs/>
                <w:sz w:val="28"/>
                <w:szCs w:val="32"/>
              </w:rPr>
              <w:t>承办</w:t>
            </w:r>
          </w:p>
          <w:p w:rsidR="00CC65E1" w:rsidRPr="00CC65E1" w:rsidRDefault="00CC65E1" w:rsidP="00CC65E1">
            <w:pPr>
              <w:spacing w:line="400" w:lineRule="exact"/>
              <w:jc w:val="center"/>
              <w:rPr>
                <w:rFonts w:ascii="仿宋" w:eastAsia="仿宋" w:hAnsi="仿宋" w:cs="仿宋" w:hint="eastAsia"/>
                <w:b/>
                <w:bCs/>
                <w:sz w:val="28"/>
                <w:szCs w:val="32"/>
              </w:rPr>
            </w:pPr>
            <w:r w:rsidRPr="00CC65E1">
              <w:rPr>
                <w:rFonts w:ascii="仿宋" w:eastAsia="仿宋" w:hAnsi="仿宋" w:cs="仿宋" w:hint="eastAsia"/>
                <w:b/>
                <w:bCs/>
                <w:sz w:val="28"/>
                <w:szCs w:val="32"/>
              </w:rPr>
              <w:t>科室</w:t>
            </w:r>
          </w:p>
        </w:tc>
        <w:tc>
          <w:tcPr>
            <w:tcW w:w="794" w:type="pct"/>
            <w:vAlign w:val="center"/>
          </w:tcPr>
          <w:p w:rsidR="00CC65E1" w:rsidRPr="00CC65E1" w:rsidRDefault="00CC65E1" w:rsidP="00CC65E1">
            <w:pPr>
              <w:spacing w:line="400" w:lineRule="exact"/>
              <w:jc w:val="center"/>
              <w:rPr>
                <w:rFonts w:ascii="仿宋" w:eastAsia="仿宋" w:hAnsi="仿宋" w:cs="仿宋" w:hint="eastAsia"/>
                <w:b/>
                <w:bCs/>
                <w:sz w:val="28"/>
                <w:szCs w:val="32"/>
              </w:rPr>
            </w:pPr>
            <w:r w:rsidRPr="00CC65E1">
              <w:rPr>
                <w:rFonts w:ascii="仿宋" w:eastAsia="仿宋" w:hAnsi="仿宋" w:cs="仿宋" w:hint="eastAsia"/>
                <w:b/>
                <w:bCs/>
                <w:sz w:val="28"/>
                <w:szCs w:val="32"/>
              </w:rPr>
              <w:t>计划完成节点</w:t>
            </w:r>
          </w:p>
        </w:tc>
      </w:tr>
      <w:tr w:rsidR="00CC65E1" w:rsidRPr="00CC65E1" w:rsidTr="00CC65E1">
        <w:tc>
          <w:tcPr>
            <w:tcW w:w="529"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1</w:t>
            </w:r>
          </w:p>
        </w:tc>
        <w:tc>
          <w:tcPr>
            <w:tcW w:w="2659"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制定《闵行区关于新一轮促进生物医药产业高质量发展的若干意见的操作细则》</w:t>
            </w:r>
          </w:p>
        </w:tc>
        <w:tc>
          <w:tcPr>
            <w:tcW w:w="1018"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生物医药科</w:t>
            </w:r>
          </w:p>
        </w:tc>
        <w:tc>
          <w:tcPr>
            <w:tcW w:w="794" w:type="pct"/>
            <w:vAlign w:val="center"/>
          </w:tcPr>
          <w:p w:rsidR="00CC65E1" w:rsidRPr="00CC65E1" w:rsidRDefault="00CC65E1" w:rsidP="00CC65E1">
            <w:pPr>
              <w:spacing w:line="400" w:lineRule="exact"/>
              <w:jc w:val="center"/>
              <w:rPr>
                <w:rFonts w:ascii="仿宋" w:eastAsia="仿宋" w:hAnsi="仿宋" w:cs="仿宋"/>
                <w:sz w:val="28"/>
                <w:szCs w:val="32"/>
              </w:rPr>
            </w:pPr>
            <w:r w:rsidRPr="00CC65E1">
              <w:rPr>
                <w:rFonts w:ascii="仿宋" w:eastAsia="仿宋" w:hAnsi="仿宋" w:cs="仿宋" w:hint="eastAsia"/>
                <w:sz w:val="28"/>
                <w:szCs w:val="32"/>
              </w:rPr>
              <w:t>第一季度</w:t>
            </w:r>
          </w:p>
        </w:tc>
      </w:tr>
      <w:tr w:rsidR="00CC65E1" w:rsidRPr="00CC65E1" w:rsidTr="00CC65E1">
        <w:tc>
          <w:tcPr>
            <w:tcW w:w="529" w:type="pct"/>
            <w:vAlign w:val="center"/>
          </w:tcPr>
          <w:p w:rsidR="00CC65E1" w:rsidRPr="00CC65E1" w:rsidRDefault="00CC65E1" w:rsidP="00CC65E1">
            <w:pPr>
              <w:spacing w:line="400" w:lineRule="exact"/>
              <w:jc w:val="center"/>
              <w:rPr>
                <w:rFonts w:ascii="仿宋" w:eastAsia="仿宋" w:hAnsi="仿宋" w:cs="仿宋"/>
                <w:sz w:val="28"/>
                <w:szCs w:val="32"/>
              </w:rPr>
            </w:pPr>
            <w:r w:rsidRPr="00CC65E1">
              <w:rPr>
                <w:rFonts w:ascii="仿宋" w:eastAsia="仿宋" w:hAnsi="仿宋" w:cs="仿宋" w:hint="eastAsia"/>
                <w:sz w:val="28"/>
                <w:szCs w:val="32"/>
              </w:rPr>
              <w:t>2</w:t>
            </w:r>
          </w:p>
        </w:tc>
        <w:tc>
          <w:tcPr>
            <w:tcW w:w="2659"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修订《闵行区自然科学研究课题专项资金管理办法》</w:t>
            </w:r>
          </w:p>
        </w:tc>
        <w:tc>
          <w:tcPr>
            <w:tcW w:w="1018"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生物医药科</w:t>
            </w:r>
          </w:p>
        </w:tc>
        <w:tc>
          <w:tcPr>
            <w:tcW w:w="794"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第四季度</w:t>
            </w:r>
          </w:p>
        </w:tc>
      </w:tr>
      <w:tr w:rsidR="00CC65E1" w:rsidRPr="00CC65E1" w:rsidTr="00CC65E1">
        <w:trPr>
          <w:trHeight w:val="738"/>
        </w:trPr>
        <w:tc>
          <w:tcPr>
            <w:tcW w:w="529" w:type="pct"/>
            <w:vAlign w:val="center"/>
          </w:tcPr>
          <w:p w:rsidR="00CC65E1" w:rsidRPr="00CC65E1" w:rsidRDefault="00CC65E1" w:rsidP="00CC65E1">
            <w:pPr>
              <w:spacing w:line="400" w:lineRule="exact"/>
              <w:jc w:val="center"/>
              <w:rPr>
                <w:rFonts w:ascii="仿宋" w:eastAsia="仿宋" w:hAnsi="仿宋" w:cs="仿宋"/>
                <w:sz w:val="28"/>
                <w:szCs w:val="32"/>
              </w:rPr>
            </w:pPr>
            <w:r w:rsidRPr="00CC65E1">
              <w:rPr>
                <w:rFonts w:ascii="仿宋" w:eastAsia="仿宋" w:hAnsi="仿宋" w:cs="仿宋" w:hint="eastAsia"/>
                <w:sz w:val="28"/>
                <w:szCs w:val="32"/>
              </w:rPr>
              <w:t>3</w:t>
            </w:r>
          </w:p>
        </w:tc>
        <w:tc>
          <w:tcPr>
            <w:tcW w:w="2659" w:type="pct"/>
            <w:vAlign w:val="center"/>
          </w:tcPr>
          <w:p w:rsidR="00CC65E1" w:rsidRPr="00CC65E1" w:rsidRDefault="00CC65E1" w:rsidP="00CC65E1">
            <w:pPr>
              <w:spacing w:line="400" w:lineRule="exact"/>
              <w:jc w:val="center"/>
              <w:rPr>
                <w:rFonts w:ascii="仿宋" w:eastAsia="仿宋" w:hAnsi="仿宋" w:cs="仿宋"/>
                <w:sz w:val="28"/>
                <w:szCs w:val="32"/>
              </w:rPr>
            </w:pPr>
            <w:r w:rsidRPr="00CC65E1">
              <w:rPr>
                <w:rFonts w:ascii="仿宋" w:eastAsia="仿宋" w:hAnsi="仿宋" w:cs="仿宋" w:hint="eastAsia"/>
                <w:sz w:val="28"/>
                <w:szCs w:val="32"/>
              </w:rPr>
              <w:t>修订《闵行区科技项目管理办法》</w:t>
            </w:r>
          </w:p>
        </w:tc>
        <w:tc>
          <w:tcPr>
            <w:tcW w:w="1018" w:type="pct"/>
            <w:vAlign w:val="center"/>
          </w:tcPr>
          <w:p w:rsidR="00CC65E1" w:rsidRPr="00CC65E1" w:rsidRDefault="00CC65E1" w:rsidP="00CC65E1">
            <w:pPr>
              <w:spacing w:line="400" w:lineRule="exact"/>
              <w:jc w:val="center"/>
              <w:rPr>
                <w:rFonts w:ascii="仿宋" w:eastAsia="仿宋" w:hAnsi="仿宋" w:cs="仿宋" w:hint="eastAsia"/>
                <w:sz w:val="28"/>
                <w:szCs w:val="32"/>
              </w:rPr>
            </w:pPr>
            <w:r w:rsidRPr="00CC65E1">
              <w:rPr>
                <w:rFonts w:ascii="仿宋" w:eastAsia="仿宋" w:hAnsi="仿宋" w:cs="仿宋" w:hint="eastAsia"/>
                <w:sz w:val="28"/>
                <w:szCs w:val="32"/>
              </w:rPr>
              <w:t>科技服务科</w:t>
            </w:r>
          </w:p>
        </w:tc>
        <w:tc>
          <w:tcPr>
            <w:tcW w:w="794" w:type="pct"/>
            <w:vAlign w:val="center"/>
          </w:tcPr>
          <w:p w:rsidR="00CC65E1" w:rsidRPr="00CC65E1" w:rsidRDefault="00CC65E1" w:rsidP="00CC65E1">
            <w:pPr>
              <w:spacing w:line="400" w:lineRule="exact"/>
              <w:jc w:val="center"/>
              <w:rPr>
                <w:rFonts w:ascii="仿宋" w:eastAsia="仿宋" w:hAnsi="仿宋" w:cs="仿宋"/>
                <w:sz w:val="28"/>
                <w:szCs w:val="32"/>
              </w:rPr>
            </w:pPr>
            <w:r w:rsidRPr="00CC65E1">
              <w:rPr>
                <w:rFonts w:ascii="仿宋" w:eastAsia="仿宋" w:hAnsi="仿宋" w:cs="仿宋" w:hint="eastAsia"/>
                <w:sz w:val="28"/>
                <w:szCs w:val="32"/>
              </w:rPr>
              <w:t>第四季度</w:t>
            </w:r>
          </w:p>
        </w:tc>
      </w:tr>
    </w:tbl>
    <w:p w:rsidR="00CC65E1" w:rsidRPr="00CC65E1" w:rsidRDefault="00CC65E1" w:rsidP="00CC65E1">
      <w:pPr>
        <w:spacing w:line="560" w:lineRule="exact"/>
        <w:rPr>
          <w:rFonts w:ascii="Calibri" w:eastAsia="宋体" w:hAnsi="Calibri" w:cs="Times New Roman"/>
          <w:szCs w:val="24"/>
        </w:rPr>
      </w:pPr>
    </w:p>
    <w:p w:rsidR="00CC65E1" w:rsidRDefault="00CC65E1" w:rsidP="007E5240">
      <w:pPr>
        <w:spacing w:beforeLines="50" w:before="156" w:line="240" w:lineRule="exact"/>
        <w:rPr>
          <w:rFonts w:ascii="仿宋" w:eastAsia="仿宋" w:hAnsi="仿宋" w:cs="仿宋" w:hint="eastAsia"/>
          <w:sz w:val="30"/>
          <w:szCs w:val="30"/>
          <w:u w:val="single"/>
        </w:rPr>
      </w:pPr>
    </w:p>
    <w:sectPr w:rsidR="00CC65E1">
      <w:footerReference w:type="default" r:id="rId7"/>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72" w:rsidRDefault="00100C72" w:rsidP="006D645B">
      <w:r>
        <w:separator/>
      </w:r>
    </w:p>
  </w:endnote>
  <w:endnote w:type="continuationSeparator" w:id="0">
    <w:p w:rsidR="00100C72" w:rsidRDefault="00100C72" w:rsidP="006D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035028"/>
      <w:docPartObj>
        <w:docPartGallery w:val="Page Numbers (Bottom of Page)"/>
        <w:docPartUnique/>
      </w:docPartObj>
    </w:sdtPr>
    <w:sdtEndPr/>
    <w:sdtContent>
      <w:p w:rsidR="008A6487" w:rsidRDefault="008A6487">
        <w:pPr>
          <w:pStyle w:val="ab"/>
          <w:jc w:val="center"/>
        </w:pPr>
        <w:r>
          <w:fldChar w:fldCharType="begin"/>
        </w:r>
        <w:r>
          <w:instrText>PAGE   \* MERGEFORMAT</w:instrText>
        </w:r>
        <w:r>
          <w:fldChar w:fldCharType="separate"/>
        </w:r>
        <w:r w:rsidR="002908A3" w:rsidRPr="002908A3">
          <w:rPr>
            <w:noProof/>
            <w:lang w:val="zh-CN"/>
          </w:rPr>
          <w:t>3</w:t>
        </w:r>
        <w:r>
          <w:fldChar w:fldCharType="end"/>
        </w:r>
      </w:p>
    </w:sdtContent>
  </w:sdt>
  <w:p w:rsidR="008A6487" w:rsidRDefault="008A64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72" w:rsidRDefault="00100C72" w:rsidP="006D645B">
      <w:r>
        <w:separator/>
      </w:r>
    </w:p>
  </w:footnote>
  <w:footnote w:type="continuationSeparator" w:id="0">
    <w:p w:rsidR="00100C72" w:rsidRDefault="00100C72" w:rsidP="006D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D769"/>
    <w:multiLevelType w:val="singleLevel"/>
    <w:tmpl w:val="7BEBD76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F91"/>
    <w:rsid w:val="9F7B7F5A"/>
    <w:rsid w:val="A27F11D3"/>
    <w:rsid w:val="ABFC0CB1"/>
    <w:rsid w:val="B9FF7938"/>
    <w:rsid w:val="BF77C0E1"/>
    <w:rsid w:val="BFB3CDAB"/>
    <w:rsid w:val="C7FB6EEC"/>
    <w:rsid w:val="DB5FD5A3"/>
    <w:rsid w:val="DCE7AE56"/>
    <w:rsid w:val="DEFB4409"/>
    <w:rsid w:val="DFEFF0F0"/>
    <w:rsid w:val="E3BE5F0F"/>
    <w:rsid w:val="E6D7E004"/>
    <w:rsid w:val="E6FA2581"/>
    <w:rsid w:val="EFBF0221"/>
    <w:rsid w:val="F26F5C95"/>
    <w:rsid w:val="F37F179F"/>
    <w:rsid w:val="F6FBCC80"/>
    <w:rsid w:val="F7FA804A"/>
    <w:rsid w:val="FA7F5C24"/>
    <w:rsid w:val="FF770502"/>
    <w:rsid w:val="FF7D304F"/>
    <w:rsid w:val="FF7EF471"/>
    <w:rsid w:val="FFFF44CE"/>
    <w:rsid w:val="00004E32"/>
    <w:rsid w:val="000073A5"/>
    <w:rsid w:val="0001197A"/>
    <w:rsid w:val="00017510"/>
    <w:rsid w:val="000244A6"/>
    <w:rsid w:val="00025094"/>
    <w:rsid w:val="00027B91"/>
    <w:rsid w:val="000312AC"/>
    <w:rsid w:val="00035208"/>
    <w:rsid w:val="0003713A"/>
    <w:rsid w:val="00037A08"/>
    <w:rsid w:val="0004543B"/>
    <w:rsid w:val="00057777"/>
    <w:rsid w:val="000660E3"/>
    <w:rsid w:val="00077E59"/>
    <w:rsid w:val="00081AC8"/>
    <w:rsid w:val="00096E05"/>
    <w:rsid w:val="00096F47"/>
    <w:rsid w:val="000B6AC6"/>
    <w:rsid w:val="000C0FA5"/>
    <w:rsid w:val="000C2E81"/>
    <w:rsid w:val="000D24F5"/>
    <w:rsid w:val="000D64C4"/>
    <w:rsid w:val="000D7C5E"/>
    <w:rsid w:val="000F0BDA"/>
    <w:rsid w:val="000F4F0A"/>
    <w:rsid w:val="000F639A"/>
    <w:rsid w:val="00100C72"/>
    <w:rsid w:val="00106800"/>
    <w:rsid w:val="00107FDD"/>
    <w:rsid w:val="00114B96"/>
    <w:rsid w:val="00120D9E"/>
    <w:rsid w:val="00122CAC"/>
    <w:rsid w:val="001240CC"/>
    <w:rsid w:val="00126508"/>
    <w:rsid w:val="00130F8A"/>
    <w:rsid w:val="00137E15"/>
    <w:rsid w:val="001457EB"/>
    <w:rsid w:val="00156113"/>
    <w:rsid w:val="001653D4"/>
    <w:rsid w:val="00166F3E"/>
    <w:rsid w:val="00167191"/>
    <w:rsid w:val="00174CC1"/>
    <w:rsid w:val="00175594"/>
    <w:rsid w:val="00187CCE"/>
    <w:rsid w:val="00190657"/>
    <w:rsid w:val="0019516C"/>
    <w:rsid w:val="001C5540"/>
    <w:rsid w:val="001C7670"/>
    <w:rsid w:val="001D6A48"/>
    <w:rsid w:val="001E58B2"/>
    <w:rsid w:val="001F3580"/>
    <w:rsid w:val="001F383F"/>
    <w:rsid w:val="001F66A6"/>
    <w:rsid w:val="001F6C1C"/>
    <w:rsid w:val="0020761A"/>
    <w:rsid w:val="00211A30"/>
    <w:rsid w:val="002124DD"/>
    <w:rsid w:val="00212928"/>
    <w:rsid w:val="002223DE"/>
    <w:rsid w:val="0024242C"/>
    <w:rsid w:val="00245E39"/>
    <w:rsid w:val="00263114"/>
    <w:rsid w:val="002643FB"/>
    <w:rsid w:val="00272F24"/>
    <w:rsid w:val="00274C56"/>
    <w:rsid w:val="0028123D"/>
    <w:rsid w:val="00284E23"/>
    <w:rsid w:val="0028745A"/>
    <w:rsid w:val="002908A3"/>
    <w:rsid w:val="002964AC"/>
    <w:rsid w:val="002A5564"/>
    <w:rsid w:val="002B28DA"/>
    <w:rsid w:val="002B2CC0"/>
    <w:rsid w:val="002B732A"/>
    <w:rsid w:val="002D58E1"/>
    <w:rsid w:val="002E3F79"/>
    <w:rsid w:val="002E6DF1"/>
    <w:rsid w:val="002E79A7"/>
    <w:rsid w:val="002F153A"/>
    <w:rsid w:val="002F1AE5"/>
    <w:rsid w:val="002F2EE2"/>
    <w:rsid w:val="00303BDD"/>
    <w:rsid w:val="003108E2"/>
    <w:rsid w:val="00312B25"/>
    <w:rsid w:val="00313021"/>
    <w:rsid w:val="00317289"/>
    <w:rsid w:val="0033197C"/>
    <w:rsid w:val="0033466D"/>
    <w:rsid w:val="00344820"/>
    <w:rsid w:val="00351D1B"/>
    <w:rsid w:val="003712FD"/>
    <w:rsid w:val="00374943"/>
    <w:rsid w:val="003759F4"/>
    <w:rsid w:val="00381D4D"/>
    <w:rsid w:val="00387A8F"/>
    <w:rsid w:val="00392B2B"/>
    <w:rsid w:val="003A70B6"/>
    <w:rsid w:val="003B2775"/>
    <w:rsid w:val="003B584C"/>
    <w:rsid w:val="003C073D"/>
    <w:rsid w:val="003C0D75"/>
    <w:rsid w:val="003D03DB"/>
    <w:rsid w:val="003D1A90"/>
    <w:rsid w:val="003D7615"/>
    <w:rsid w:val="003F0D08"/>
    <w:rsid w:val="0040018F"/>
    <w:rsid w:val="0040249C"/>
    <w:rsid w:val="004028B6"/>
    <w:rsid w:val="004116AE"/>
    <w:rsid w:val="00413022"/>
    <w:rsid w:val="00415997"/>
    <w:rsid w:val="00421803"/>
    <w:rsid w:val="00424A84"/>
    <w:rsid w:val="00445789"/>
    <w:rsid w:val="0044609C"/>
    <w:rsid w:val="004546AE"/>
    <w:rsid w:val="004573F8"/>
    <w:rsid w:val="00470846"/>
    <w:rsid w:val="00486365"/>
    <w:rsid w:val="00490C5A"/>
    <w:rsid w:val="004A600C"/>
    <w:rsid w:val="004A65ED"/>
    <w:rsid w:val="004B6F8D"/>
    <w:rsid w:val="004C1EAA"/>
    <w:rsid w:val="004C7A7E"/>
    <w:rsid w:val="004C7E11"/>
    <w:rsid w:val="004D023B"/>
    <w:rsid w:val="004E2C48"/>
    <w:rsid w:val="004F21AF"/>
    <w:rsid w:val="00503853"/>
    <w:rsid w:val="0050757A"/>
    <w:rsid w:val="005079E2"/>
    <w:rsid w:val="0051149B"/>
    <w:rsid w:val="00530818"/>
    <w:rsid w:val="0053408F"/>
    <w:rsid w:val="00535B72"/>
    <w:rsid w:val="00541F9F"/>
    <w:rsid w:val="0054352E"/>
    <w:rsid w:val="005436B1"/>
    <w:rsid w:val="005438C7"/>
    <w:rsid w:val="005617F7"/>
    <w:rsid w:val="00563E48"/>
    <w:rsid w:val="00565F5B"/>
    <w:rsid w:val="00571FB7"/>
    <w:rsid w:val="00573B16"/>
    <w:rsid w:val="005810F0"/>
    <w:rsid w:val="00581F16"/>
    <w:rsid w:val="005A27AA"/>
    <w:rsid w:val="005A563E"/>
    <w:rsid w:val="005C3824"/>
    <w:rsid w:val="005C554B"/>
    <w:rsid w:val="005C679A"/>
    <w:rsid w:val="005D25F8"/>
    <w:rsid w:val="005D42D6"/>
    <w:rsid w:val="005E17C0"/>
    <w:rsid w:val="005E2625"/>
    <w:rsid w:val="005E3C1D"/>
    <w:rsid w:val="005E3C4B"/>
    <w:rsid w:val="005F2EFB"/>
    <w:rsid w:val="006039EC"/>
    <w:rsid w:val="0061522F"/>
    <w:rsid w:val="0062656E"/>
    <w:rsid w:val="00627FFC"/>
    <w:rsid w:val="006407DD"/>
    <w:rsid w:val="00642613"/>
    <w:rsid w:val="0064718E"/>
    <w:rsid w:val="00657FB3"/>
    <w:rsid w:val="00661496"/>
    <w:rsid w:val="00662135"/>
    <w:rsid w:val="00673C82"/>
    <w:rsid w:val="00680D86"/>
    <w:rsid w:val="00686252"/>
    <w:rsid w:val="00690FEF"/>
    <w:rsid w:val="006A2951"/>
    <w:rsid w:val="006A459D"/>
    <w:rsid w:val="006A4726"/>
    <w:rsid w:val="006B2716"/>
    <w:rsid w:val="006B73EB"/>
    <w:rsid w:val="006C418B"/>
    <w:rsid w:val="006D645B"/>
    <w:rsid w:val="006D7252"/>
    <w:rsid w:val="006E0AD4"/>
    <w:rsid w:val="006E1FB8"/>
    <w:rsid w:val="006F0F86"/>
    <w:rsid w:val="006F1341"/>
    <w:rsid w:val="006F4784"/>
    <w:rsid w:val="006F7049"/>
    <w:rsid w:val="00706C37"/>
    <w:rsid w:val="00727BF3"/>
    <w:rsid w:val="00734DCB"/>
    <w:rsid w:val="00742527"/>
    <w:rsid w:val="007460A1"/>
    <w:rsid w:val="00754C93"/>
    <w:rsid w:val="00783C4D"/>
    <w:rsid w:val="00795C17"/>
    <w:rsid w:val="00795DAC"/>
    <w:rsid w:val="0079703A"/>
    <w:rsid w:val="007B7C3C"/>
    <w:rsid w:val="007C63A0"/>
    <w:rsid w:val="007D01EE"/>
    <w:rsid w:val="007D1DC6"/>
    <w:rsid w:val="007D2A6D"/>
    <w:rsid w:val="007E3EBC"/>
    <w:rsid w:val="007E5240"/>
    <w:rsid w:val="007F6F10"/>
    <w:rsid w:val="00816021"/>
    <w:rsid w:val="0082712F"/>
    <w:rsid w:val="00835635"/>
    <w:rsid w:val="00850E8C"/>
    <w:rsid w:val="00852571"/>
    <w:rsid w:val="00857F52"/>
    <w:rsid w:val="00863855"/>
    <w:rsid w:val="00880A32"/>
    <w:rsid w:val="00880FEE"/>
    <w:rsid w:val="00883FA3"/>
    <w:rsid w:val="00887141"/>
    <w:rsid w:val="00892F99"/>
    <w:rsid w:val="00895632"/>
    <w:rsid w:val="008A6487"/>
    <w:rsid w:val="008A7CDA"/>
    <w:rsid w:val="008B4FEA"/>
    <w:rsid w:val="008C0DFD"/>
    <w:rsid w:val="008C19DD"/>
    <w:rsid w:val="008C2708"/>
    <w:rsid w:val="008C738A"/>
    <w:rsid w:val="008D2C38"/>
    <w:rsid w:val="008D4DD7"/>
    <w:rsid w:val="008F4F0A"/>
    <w:rsid w:val="00903828"/>
    <w:rsid w:val="00905F84"/>
    <w:rsid w:val="0091587B"/>
    <w:rsid w:val="009213F0"/>
    <w:rsid w:val="009241A8"/>
    <w:rsid w:val="00933F4A"/>
    <w:rsid w:val="0093553B"/>
    <w:rsid w:val="0094365B"/>
    <w:rsid w:val="00953EDB"/>
    <w:rsid w:val="009571C0"/>
    <w:rsid w:val="00957A1A"/>
    <w:rsid w:val="0096151C"/>
    <w:rsid w:val="009646D3"/>
    <w:rsid w:val="00966415"/>
    <w:rsid w:val="00971CCB"/>
    <w:rsid w:val="0097243C"/>
    <w:rsid w:val="00976CC8"/>
    <w:rsid w:val="00982CB4"/>
    <w:rsid w:val="00992235"/>
    <w:rsid w:val="009932F3"/>
    <w:rsid w:val="00993304"/>
    <w:rsid w:val="00995DCD"/>
    <w:rsid w:val="0099776B"/>
    <w:rsid w:val="009B56D1"/>
    <w:rsid w:val="009B79E8"/>
    <w:rsid w:val="009C5B03"/>
    <w:rsid w:val="009D10B3"/>
    <w:rsid w:val="009D2A7D"/>
    <w:rsid w:val="009D51DD"/>
    <w:rsid w:val="009E4AED"/>
    <w:rsid w:val="009E701F"/>
    <w:rsid w:val="009F6652"/>
    <w:rsid w:val="00A00868"/>
    <w:rsid w:val="00A01F4A"/>
    <w:rsid w:val="00A01F8A"/>
    <w:rsid w:val="00A0524F"/>
    <w:rsid w:val="00A111D1"/>
    <w:rsid w:val="00A150C3"/>
    <w:rsid w:val="00A20BE5"/>
    <w:rsid w:val="00A225F1"/>
    <w:rsid w:val="00A2489D"/>
    <w:rsid w:val="00A301AE"/>
    <w:rsid w:val="00A35CD2"/>
    <w:rsid w:val="00A46404"/>
    <w:rsid w:val="00A47F10"/>
    <w:rsid w:val="00A50143"/>
    <w:rsid w:val="00A52BC6"/>
    <w:rsid w:val="00A540B8"/>
    <w:rsid w:val="00A67B75"/>
    <w:rsid w:val="00A81031"/>
    <w:rsid w:val="00A81EC2"/>
    <w:rsid w:val="00A860E0"/>
    <w:rsid w:val="00A92E5B"/>
    <w:rsid w:val="00A95E4A"/>
    <w:rsid w:val="00AA3677"/>
    <w:rsid w:val="00AA3D8E"/>
    <w:rsid w:val="00AA5DE0"/>
    <w:rsid w:val="00AB3DCE"/>
    <w:rsid w:val="00AB51A8"/>
    <w:rsid w:val="00AB7423"/>
    <w:rsid w:val="00AC0060"/>
    <w:rsid w:val="00AC5D74"/>
    <w:rsid w:val="00AC668B"/>
    <w:rsid w:val="00AE04DE"/>
    <w:rsid w:val="00AE1586"/>
    <w:rsid w:val="00B22DFC"/>
    <w:rsid w:val="00B26ABB"/>
    <w:rsid w:val="00B36F1F"/>
    <w:rsid w:val="00B4097D"/>
    <w:rsid w:val="00B40A4C"/>
    <w:rsid w:val="00B53DA8"/>
    <w:rsid w:val="00B56568"/>
    <w:rsid w:val="00B57FA3"/>
    <w:rsid w:val="00B6188D"/>
    <w:rsid w:val="00B64A94"/>
    <w:rsid w:val="00B711FB"/>
    <w:rsid w:val="00B768FB"/>
    <w:rsid w:val="00B77062"/>
    <w:rsid w:val="00B804CB"/>
    <w:rsid w:val="00B81C43"/>
    <w:rsid w:val="00B8242C"/>
    <w:rsid w:val="00B86057"/>
    <w:rsid w:val="00BA28A6"/>
    <w:rsid w:val="00BB331C"/>
    <w:rsid w:val="00BB3CFE"/>
    <w:rsid w:val="00BC0FEB"/>
    <w:rsid w:val="00BD2AD0"/>
    <w:rsid w:val="00BD4364"/>
    <w:rsid w:val="00BD4DA7"/>
    <w:rsid w:val="00BE03E9"/>
    <w:rsid w:val="00BE7BBC"/>
    <w:rsid w:val="00BF0B34"/>
    <w:rsid w:val="00BF4839"/>
    <w:rsid w:val="00C007E2"/>
    <w:rsid w:val="00C03186"/>
    <w:rsid w:val="00C06DCC"/>
    <w:rsid w:val="00C2034A"/>
    <w:rsid w:val="00C2112E"/>
    <w:rsid w:val="00C24F91"/>
    <w:rsid w:val="00C251D3"/>
    <w:rsid w:val="00C3285D"/>
    <w:rsid w:val="00C33643"/>
    <w:rsid w:val="00C3791F"/>
    <w:rsid w:val="00C44F31"/>
    <w:rsid w:val="00C4771E"/>
    <w:rsid w:val="00C61C07"/>
    <w:rsid w:val="00C6617D"/>
    <w:rsid w:val="00C728A9"/>
    <w:rsid w:val="00C74BA5"/>
    <w:rsid w:val="00C82ED5"/>
    <w:rsid w:val="00C97223"/>
    <w:rsid w:val="00CA11EF"/>
    <w:rsid w:val="00CA3657"/>
    <w:rsid w:val="00CB5C4A"/>
    <w:rsid w:val="00CC1605"/>
    <w:rsid w:val="00CC3E7B"/>
    <w:rsid w:val="00CC65E1"/>
    <w:rsid w:val="00CD389D"/>
    <w:rsid w:val="00CD46A7"/>
    <w:rsid w:val="00CE28E3"/>
    <w:rsid w:val="00D025C0"/>
    <w:rsid w:val="00D04F9D"/>
    <w:rsid w:val="00D15B63"/>
    <w:rsid w:val="00D3729E"/>
    <w:rsid w:val="00D4247F"/>
    <w:rsid w:val="00D66282"/>
    <w:rsid w:val="00D70868"/>
    <w:rsid w:val="00D749E0"/>
    <w:rsid w:val="00D84041"/>
    <w:rsid w:val="00D87146"/>
    <w:rsid w:val="00D874D2"/>
    <w:rsid w:val="00D9105D"/>
    <w:rsid w:val="00D95749"/>
    <w:rsid w:val="00DA0FAC"/>
    <w:rsid w:val="00DA1579"/>
    <w:rsid w:val="00DA6887"/>
    <w:rsid w:val="00DA701F"/>
    <w:rsid w:val="00DB4ABB"/>
    <w:rsid w:val="00DC0E35"/>
    <w:rsid w:val="00DC368E"/>
    <w:rsid w:val="00DD59FC"/>
    <w:rsid w:val="00DE0EFC"/>
    <w:rsid w:val="00DF12AB"/>
    <w:rsid w:val="00E067D0"/>
    <w:rsid w:val="00E1223F"/>
    <w:rsid w:val="00E20C3D"/>
    <w:rsid w:val="00E33719"/>
    <w:rsid w:val="00E33721"/>
    <w:rsid w:val="00E37EF1"/>
    <w:rsid w:val="00E40AAD"/>
    <w:rsid w:val="00E4505C"/>
    <w:rsid w:val="00E455CA"/>
    <w:rsid w:val="00E459B3"/>
    <w:rsid w:val="00E46A37"/>
    <w:rsid w:val="00E56BE4"/>
    <w:rsid w:val="00E62379"/>
    <w:rsid w:val="00E65D17"/>
    <w:rsid w:val="00E70AFF"/>
    <w:rsid w:val="00E87BE9"/>
    <w:rsid w:val="00EA3272"/>
    <w:rsid w:val="00EB48DA"/>
    <w:rsid w:val="00EB49F8"/>
    <w:rsid w:val="00EC0A1C"/>
    <w:rsid w:val="00ED38AF"/>
    <w:rsid w:val="00ED4DF3"/>
    <w:rsid w:val="00EE13E8"/>
    <w:rsid w:val="00EE18BB"/>
    <w:rsid w:val="00EF35C8"/>
    <w:rsid w:val="00EF5678"/>
    <w:rsid w:val="00EF6318"/>
    <w:rsid w:val="00F01DBD"/>
    <w:rsid w:val="00F07FE1"/>
    <w:rsid w:val="00F1516B"/>
    <w:rsid w:val="00F16520"/>
    <w:rsid w:val="00F2619F"/>
    <w:rsid w:val="00F321DB"/>
    <w:rsid w:val="00F52823"/>
    <w:rsid w:val="00F53174"/>
    <w:rsid w:val="00F53240"/>
    <w:rsid w:val="00F54E57"/>
    <w:rsid w:val="00F5562E"/>
    <w:rsid w:val="00F568A5"/>
    <w:rsid w:val="00F5711B"/>
    <w:rsid w:val="00F63546"/>
    <w:rsid w:val="00F676DE"/>
    <w:rsid w:val="00F7436B"/>
    <w:rsid w:val="00F82142"/>
    <w:rsid w:val="00F8542D"/>
    <w:rsid w:val="00F90FA9"/>
    <w:rsid w:val="00F931F0"/>
    <w:rsid w:val="00F95015"/>
    <w:rsid w:val="00F95A1D"/>
    <w:rsid w:val="00FA3073"/>
    <w:rsid w:val="00FA6301"/>
    <w:rsid w:val="00FB429F"/>
    <w:rsid w:val="00FC18A0"/>
    <w:rsid w:val="00FC2448"/>
    <w:rsid w:val="00FC476A"/>
    <w:rsid w:val="00FC48AC"/>
    <w:rsid w:val="00FC64D0"/>
    <w:rsid w:val="00FF1133"/>
    <w:rsid w:val="00FF4584"/>
    <w:rsid w:val="00FF78C7"/>
    <w:rsid w:val="1BFC418A"/>
    <w:rsid w:val="1E737BEE"/>
    <w:rsid w:val="2FF1B524"/>
    <w:rsid w:val="3E4D0775"/>
    <w:rsid w:val="3F5E45F7"/>
    <w:rsid w:val="3FD617BE"/>
    <w:rsid w:val="56DF46FD"/>
    <w:rsid w:val="5FF7DE6E"/>
    <w:rsid w:val="6CFC6CFF"/>
    <w:rsid w:val="7B5F37D8"/>
    <w:rsid w:val="7DBFFD2C"/>
    <w:rsid w:val="7ECF0877"/>
    <w:rsid w:val="7F77996B"/>
    <w:rsid w:val="7FBFC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92B2"/>
  <w15:docId w15:val="{290E7328-53DD-4F3F-ADE0-EBAC70B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20"/>
    </w:pPr>
    <w:rPr>
      <w:rFonts w:ascii="Times New Roman" w:eastAsia="宋体" w:hAnsi="Times New Roman" w:cs="Times New Roman"/>
      <w:sz w:val="32"/>
      <w:szCs w:val="24"/>
    </w:rPr>
  </w:style>
  <w:style w:type="paragraph" w:styleId="a5">
    <w:name w:val="Plain Text"/>
    <w:basedOn w:val="a"/>
    <w:link w:val="a6"/>
    <w:uiPriority w:val="99"/>
    <w:unhideWhenUsed/>
    <w:qFormat/>
    <w:pPr>
      <w:widowControl/>
      <w:spacing w:line="180" w:lineRule="atLeast"/>
      <w:jc w:val="left"/>
    </w:pPr>
    <w:rPr>
      <w:rFonts w:ascii="宋体" w:eastAsia="宋体" w:hAnsi="Courier New" w:cs="Courier New"/>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宋体" w:hAnsi="宋体" w:cs="Times New Roman" w:hint="eastAsia"/>
      <w:kern w:val="0"/>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uiPriority w:val="99"/>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纯文本 字符"/>
    <w:basedOn w:val="a0"/>
    <w:link w:val="a5"/>
    <w:uiPriority w:val="99"/>
    <w:qFormat/>
    <w:rPr>
      <w:rFonts w:ascii="宋体" w:eastAsia="宋体" w:hAnsi="Courier New" w:cs="Courier New"/>
      <w:szCs w:val="21"/>
    </w:rPr>
  </w:style>
  <w:style w:type="character" w:customStyle="1" w:styleId="a8">
    <w:name w:val="日期 字符"/>
    <w:basedOn w:val="a0"/>
    <w:link w:val="a7"/>
    <w:uiPriority w:val="99"/>
    <w:semiHidden/>
    <w:qFormat/>
  </w:style>
  <w:style w:type="character" w:customStyle="1" w:styleId="a4">
    <w:name w:val="正文文本缩进 字符"/>
    <w:basedOn w:val="a0"/>
    <w:link w:val="a3"/>
    <w:qFormat/>
    <w:rPr>
      <w:rFonts w:ascii="Times New Roman" w:eastAsia="宋体" w:hAnsi="Times New Roman" w:cs="Times New Roman"/>
      <w:sz w:val="32"/>
      <w:szCs w:val="24"/>
    </w:rPr>
  </w:style>
  <w:style w:type="character" w:customStyle="1" w:styleId="normalchar1char1">
    <w:name w:val="normal____char1__char1"/>
    <w:qFormat/>
    <w:rPr>
      <w:rFonts w:ascii="Arial" w:hAnsi="Arial" w:cs="Arial" w:hint="default"/>
      <w:sz w:val="20"/>
      <w:szCs w:val="20"/>
    </w:rPr>
  </w:style>
  <w:style w:type="character" w:customStyle="1" w:styleId="dash6b636587char1">
    <w:name w:val="dash6b63_6587__char1"/>
    <w:basedOn w:val="a0"/>
    <w:qFormat/>
    <w:rPr>
      <w:rFonts w:ascii="Calibri" w:hAnsi="Calibri" w:cs="Calibri" w:hint="default"/>
      <w:sz w:val="20"/>
      <w:szCs w:val="20"/>
      <w:u w:val="none"/>
    </w:rPr>
  </w:style>
  <w:style w:type="paragraph" w:customStyle="1" w:styleId="dash6b636587">
    <w:name w:val="dash6b63_6587"/>
    <w:basedOn w:val="a"/>
    <w:qFormat/>
    <w:pPr>
      <w:widowControl/>
    </w:pPr>
    <w:rPr>
      <w:rFonts w:ascii="Times New Roman" w:eastAsia="宋体" w:hAnsi="Times New Roman" w:cs="Times New Roman"/>
      <w:kern w:val="0"/>
      <w:sz w:val="20"/>
      <w:szCs w:val="20"/>
    </w:rPr>
  </w:style>
  <w:style w:type="paragraph" w:customStyle="1" w:styleId="1">
    <w:name w:val="样式1"/>
    <w:basedOn w:val="a"/>
    <w:qFormat/>
    <w:pPr>
      <w:snapToGrid w:val="0"/>
      <w:spacing w:line="360" w:lineRule="auto"/>
      <w:ind w:firstLineChars="200" w:firstLine="200"/>
    </w:pPr>
    <w:rPr>
      <w:rFonts w:ascii="Times New Roman" w:eastAsia="仿宋_GB2312" w:hAnsi="Times New Roman" w:cs="Times New Roman"/>
      <w:sz w:val="28"/>
      <w:szCs w:val="20"/>
    </w:rPr>
  </w:style>
  <w:style w:type="paragraph" w:customStyle="1" w:styleId="New">
    <w:name w:val="正文 New"/>
    <w:qFormat/>
    <w:pPr>
      <w:widowControl w:val="0"/>
      <w:jc w:val="both"/>
    </w:pPr>
    <w:rPr>
      <w:rFonts w:ascii="Times New Roman" w:eastAsia="仿宋_GB2312" w:hAnsi="Times New Roman" w:cs="Times New Roman"/>
      <w:kern w:val="2"/>
      <w:sz w:val="30"/>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styleId="af4">
    <w:name w:val="Body Text"/>
    <w:basedOn w:val="a"/>
    <w:link w:val="af5"/>
    <w:uiPriority w:val="99"/>
    <w:semiHidden/>
    <w:unhideWhenUsed/>
    <w:rsid w:val="00E87BE9"/>
    <w:pPr>
      <w:spacing w:after="120"/>
    </w:pPr>
  </w:style>
  <w:style w:type="character" w:customStyle="1" w:styleId="af5">
    <w:name w:val="正文文本 字符"/>
    <w:basedOn w:val="a0"/>
    <w:link w:val="af4"/>
    <w:uiPriority w:val="99"/>
    <w:semiHidden/>
    <w:rsid w:val="00E87BE9"/>
    <w:rPr>
      <w:kern w:val="2"/>
      <w:sz w:val="21"/>
      <w:szCs w:val="22"/>
    </w:rPr>
  </w:style>
  <w:style w:type="table" w:customStyle="1" w:styleId="10">
    <w:name w:val="网格型1"/>
    <w:basedOn w:val="a1"/>
    <w:next w:val="af0"/>
    <w:qFormat/>
    <w:rsid w:val="00CC65E1"/>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156</Words>
  <Characters>894</Characters>
  <Application>Microsoft Office Word</Application>
  <DocSecurity>0</DocSecurity>
  <Lines>7</Lines>
  <Paragraphs>2</Paragraphs>
  <ScaleCrop>false</ScaleCrop>
  <Company>P R C</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罗宇</dc:creator>
  <cp:lastModifiedBy>mhxc</cp:lastModifiedBy>
  <cp:revision>107</cp:revision>
  <cp:lastPrinted>2018-01-26T22:47:00Z</cp:lastPrinted>
  <dcterms:created xsi:type="dcterms:W3CDTF">2020-02-20T23:09:00Z</dcterms:created>
  <dcterms:modified xsi:type="dcterms:W3CDTF">2025-03-24T06:57:00Z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CDC30C57274161278B6C93652E034040</vt:lpwstr>
  </property>
</Properties>
</file>