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2AF4CB9">
      <w:pPr>
        <w:jc w:val="center"/>
        <w:rPr>
          <w:rFonts w:ascii="方正小标宋简体" w:eastAsia="方正小标宋简体"/>
          <w:color w:val="FF0000"/>
          <w:sz w:val="60"/>
          <w:szCs w:val="60"/>
        </w:rPr>
      </w:pPr>
      <w:r>
        <w:rPr>
          <w:rFonts w:hint="eastAsia" w:ascii="方正小标宋简体" w:eastAsia="方正小标宋简体"/>
          <w:color w:val="FF0000"/>
          <w:sz w:val="60"/>
          <w:szCs w:val="60"/>
        </w:rPr>
        <w:t>上海市闵行区生态环境局</w:t>
      </w:r>
    </w:p>
    <w:p w14:paraId="50C6E78F">
      <w:pPr>
        <w:jc w:val="center"/>
        <w:rPr>
          <w:rFonts w:ascii="方正小标宋简体" w:eastAsia="方正小标宋简体"/>
          <w:color w:val="FF0000"/>
          <w:sz w:val="32"/>
          <w:szCs w:val="32"/>
        </w:rPr>
      </w:pPr>
    </w:p>
    <w:p w14:paraId="41D83953">
      <w:pPr>
        <w:jc w:val="center"/>
        <w:rPr>
          <w:rFonts w:ascii="方正小标宋简体" w:eastAsia="方正小标宋简体"/>
          <w:color w:val="FF0000"/>
          <w:sz w:val="32"/>
          <w:szCs w:val="32"/>
        </w:rPr>
      </w:pPr>
    </w:p>
    <w:p w14:paraId="7AF508C5">
      <w:pPr>
        <w:tabs>
          <w:tab w:val="left" w:pos="6300"/>
        </w:tabs>
        <w:snapToGrid w:val="0"/>
        <w:ind w:right="560" w:firstLine="160" w:firstLineChars="50"/>
        <w:jc w:val="center"/>
        <w:rPr>
          <w:rFonts w:hint="default" w:ascii="楷体" w:hAnsi="楷体" w:eastAsia="仿宋"/>
          <w:b/>
          <w:color w:val="000000"/>
          <w:szCs w:val="21"/>
          <w:lang w:val="en-US" w:eastAsia="zh-CN"/>
        </w:rPr>
      </w:pPr>
      <w:r>
        <w:rPr>
          <w:rFonts w:hint="eastAsia" w:ascii="仿宋" w:hAnsi="仿宋" w:eastAsia="仿宋"/>
          <w:color w:val="000000"/>
          <w:sz w:val="32"/>
          <w:szCs w:val="32"/>
        </w:rPr>
        <w:t>闵环</w:t>
      </w:r>
      <w:r>
        <w:rPr>
          <w:rFonts w:hint="eastAsia" w:ascii="仿宋" w:hAnsi="仿宋" w:eastAsia="仿宋"/>
          <w:color w:val="000000"/>
          <w:sz w:val="32"/>
          <w:szCs w:val="32"/>
          <w:lang w:val="en-US" w:eastAsia="zh-CN"/>
        </w:rPr>
        <w:t>执</w:t>
      </w:r>
      <w:r>
        <w:rPr>
          <w:rFonts w:hint="eastAsia" w:ascii="仿宋" w:hAnsi="仿宋" w:eastAsia="仿宋"/>
          <w:color w:val="000000"/>
          <w:sz w:val="32"/>
          <w:szCs w:val="32"/>
        </w:rPr>
        <w:t>〔20</w:t>
      </w:r>
      <w:r>
        <w:rPr>
          <w:rFonts w:ascii="仿宋" w:hAnsi="仿宋" w:eastAsia="仿宋"/>
          <w:color w:val="000000"/>
          <w:sz w:val="32"/>
          <w:szCs w:val="32"/>
        </w:rPr>
        <w:t>2</w:t>
      </w:r>
      <w:r>
        <w:rPr>
          <w:rFonts w:hint="eastAsia" w:ascii="仿宋" w:hAnsi="仿宋" w:eastAsia="仿宋"/>
          <w:color w:val="000000"/>
          <w:sz w:val="32"/>
          <w:szCs w:val="32"/>
          <w:lang w:val="en-US" w:eastAsia="zh-CN"/>
        </w:rPr>
        <w:t>5</w:t>
      </w:r>
      <w:r>
        <w:rPr>
          <w:rFonts w:hint="eastAsia" w:ascii="仿宋" w:hAnsi="仿宋" w:eastAsia="仿宋"/>
          <w:color w:val="000000"/>
          <w:sz w:val="32"/>
          <w:szCs w:val="32"/>
        </w:rPr>
        <w:t>〕</w:t>
      </w:r>
      <w:r>
        <w:rPr>
          <w:rFonts w:hint="eastAsia" w:ascii="仿宋" w:hAnsi="仿宋" w:eastAsia="仿宋"/>
          <w:sz w:val="32"/>
          <w:szCs w:val="32"/>
          <w:highlight w:val="none"/>
          <w:lang w:val="en-US" w:eastAsia="zh-CN"/>
        </w:rPr>
        <w:t>2</w:t>
      </w:r>
      <w:r>
        <w:rPr>
          <w:rFonts w:hint="eastAsia" w:ascii="仿宋" w:hAnsi="仿宋" w:eastAsia="仿宋"/>
          <w:color w:val="000000"/>
          <w:sz w:val="32"/>
          <w:szCs w:val="32"/>
        </w:rPr>
        <w:t xml:space="preserve">号 </w:t>
      </w:r>
      <w:r>
        <w:rPr>
          <w:rFonts w:hint="eastAsia" w:ascii="仿宋" w:hAnsi="仿宋" w:eastAsia="仿宋"/>
          <w:b/>
          <w:color w:val="000000"/>
          <w:sz w:val="18"/>
          <w:szCs w:val="18"/>
        </w:rPr>
        <w:t xml:space="preserve">                        </w:t>
      </w:r>
      <w:r>
        <w:rPr>
          <w:rFonts w:hint="eastAsia" w:ascii="方正小标宋简体" w:eastAsia="方正小标宋简体"/>
          <w:color w:val="000000"/>
          <w:sz w:val="32"/>
          <w:szCs w:val="32"/>
        </w:rPr>
        <w:t xml:space="preserve"> </w:t>
      </w:r>
      <w:r>
        <w:rPr>
          <w:rFonts w:hint="eastAsia" w:ascii="仿宋" w:hAnsi="仿宋" w:eastAsia="仿宋"/>
          <w:color w:val="000000"/>
          <w:sz w:val="32"/>
          <w:szCs w:val="32"/>
        </w:rPr>
        <w:t xml:space="preserve">   签发人：</w:t>
      </w:r>
      <w:r>
        <w:rPr>
          <w:rFonts w:hint="eastAsia" w:ascii="仿宋" w:hAnsi="仿宋" w:eastAsia="仿宋"/>
          <w:color w:val="000000"/>
          <w:sz w:val="32"/>
          <w:szCs w:val="32"/>
          <w:lang w:val="en-US" w:eastAsia="zh-CN"/>
        </w:rPr>
        <w:t>张峰</w:t>
      </w:r>
    </w:p>
    <w:p w14:paraId="1CD6434F">
      <w:pPr>
        <w:tabs>
          <w:tab w:val="left" w:pos="6300"/>
        </w:tabs>
        <w:snapToGrid w:val="0"/>
        <w:ind w:right="560" w:firstLine="160" w:firstLineChars="50"/>
        <w:jc w:val="center"/>
        <w:rPr>
          <w:rFonts w:ascii="方正小标宋简体" w:hAnsi="楷体" w:eastAsia="方正小标宋简体"/>
          <w:color w:val="000000"/>
          <w:sz w:val="32"/>
          <w:szCs w:val="32"/>
        </w:rPr>
      </w:pPr>
      <w:r>
        <w:rPr>
          <w:rFonts w:ascii="方正小标宋简体" w:eastAsia="方正小标宋简体"/>
          <w:color w:val="FF0000"/>
          <w:sz w:val="32"/>
          <w:szCs w:val="32"/>
        </w:rPr>
        <mc:AlternateContent>
          <mc:Choice Requires="wps">
            <w:drawing>
              <wp:anchor distT="0" distB="0" distL="114300" distR="114300" simplePos="0" relativeHeight="251659264" behindDoc="0" locked="0" layoutInCell="1" allowOverlap="1">
                <wp:simplePos x="0" y="0"/>
                <wp:positionH relativeFrom="column">
                  <wp:posOffset>106045</wp:posOffset>
                </wp:positionH>
                <wp:positionV relativeFrom="paragraph">
                  <wp:posOffset>64770</wp:posOffset>
                </wp:positionV>
                <wp:extent cx="5571490" cy="0"/>
                <wp:effectExtent l="0" t="9525" r="3810" b="15875"/>
                <wp:wrapNone/>
                <wp:docPr id="1" name="直接连接符 1"/>
                <wp:cNvGraphicFramePr/>
                <a:graphic xmlns:a="http://schemas.openxmlformats.org/drawingml/2006/main">
                  <a:graphicData uri="http://schemas.microsoft.com/office/word/2010/wordprocessingShape">
                    <wps:wsp>
                      <wps:cNvCnPr>
                        <a:cxnSpLocks noChangeShapeType="1"/>
                      </wps:cNvCnPr>
                      <wps:spPr bwMode="auto">
                        <a:xfrm flipV="1">
                          <a:off x="0" y="0"/>
                          <a:ext cx="5571490" cy="0"/>
                        </a:xfrm>
                        <a:prstGeom prst="line">
                          <a:avLst/>
                        </a:prstGeom>
                        <a:noFill/>
                        <a:ln w="19050">
                          <a:solidFill>
                            <a:srgbClr val="FF0000"/>
                          </a:solidFill>
                          <a:round/>
                        </a:ln>
                      </wps:spPr>
                      <wps:bodyPr/>
                    </wps:wsp>
                  </a:graphicData>
                </a:graphic>
              </wp:anchor>
            </w:drawing>
          </mc:Choice>
          <mc:Fallback>
            <w:pict>
              <v:line id="_x0000_s1026" o:spid="_x0000_s1026" o:spt="20" style="position:absolute;left:0pt;flip:y;margin-left:8.35pt;margin-top:5.1pt;height:0pt;width:438.7pt;z-index:251659264;mso-width-relative:page;mso-height-relative:page;" filled="f" stroked="t" coordsize="21600,21600" o:gfxdata="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q&#10;6abk1gAAAAgBAAAPAAAAAAAAAAEAIAAAACIAAABkcnMvZG93bnJldi54bWxQSwECFAAUAAAACACH&#10;TuJA2p7Nee0BAAC1AwAADgAAAAAAAAABACAAAAAlAQAAZHJzL2Uyb0RvYy54bWxQSwUGAAAAAAYA&#10;BgBZAQAAhAUAAAAA&#10;">
                <v:fill on="f" focussize="0,0"/>
                <v:stroke weight="1.5pt" color="#FF0000" joinstyle="round"/>
                <v:imagedata o:title=""/>
                <o:lock v:ext="edit" aspectratio="f"/>
              </v:line>
            </w:pict>
          </mc:Fallback>
        </mc:AlternateContent>
      </w:r>
    </w:p>
    <w:p w14:paraId="4003B4D7">
      <w:pPr>
        <w:tabs>
          <w:tab w:val="left" w:pos="6300"/>
        </w:tabs>
        <w:snapToGrid w:val="0"/>
        <w:ind w:right="560" w:firstLine="220" w:firstLineChars="50"/>
        <w:jc w:val="center"/>
        <w:rPr>
          <w:rFonts w:ascii="方正小标宋简体" w:hAnsi="楷体" w:eastAsia="方正小标宋简体"/>
          <w:color w:val="000000"/>
          <w:sz w:val="44"/>
          <w:szCs w:val="44"/>
        </w:rPr>
      </w:pPr>
    </w:p>
    <w:p w14:paraId="73D77E23">
      <w:pPr>
        <w:tabs>
          <w:tab w:val="left" w:pos="6300"/>
        </w:tabs>
        <w:snapToGrid w:val="0"/>
        <w:jc w:val="center"/>
        <w:rPr>
          <w:rFonts w:hint="eastAsia" w:ascii="方正小标宋简体" w:hAnsi="楷体" w:eastAsia="方正小标宋简体"/>
          <w:color w:val="000000"/>
          <w:spacing w:val="-2"/>
          <w:sz w:val="44"/>
          <w:szCs w:val="44"/>
          <w:lang w:eastAsia="zh-CN"/>
        </w:rPr>
      </w:pPr>
      <w:r>
        <w:rPr>
          <w:rFonts w:hint="eastAsia" w:ascii="方正小标宋简体" w:hAnsi="楷体" w:eastAsia="方正小标宋简体"/>
          <w:color w:val="000000"/>
          <w:spacing w:val="-2"/>
          <w:sz w:val="44"/>
          <w:szCs w:val="44"/>
          <w:lang w:val="en-US" w:eastAsia="zh-CN"/>
        </w:rPr>
        <w:t>闵行区生态环境</w:t>
      </w:r>
      <w:bookmarkStart w:id="0" w:name="_GoBack"/>
      <w:bookmarkEnd w:id="0"/>
      <w:r>
        <w:rPr>
          <w:rFonts w:hint="eastAsia" w:ascii="方正小标宋简体" w:hAnsi="楷体" w:eastAsia="方正小标宋简体"/>
          <w:color w:val="000000"/>
          <w:spacing w:val="-2"/>
          <w:sz w:val="44"/>
          <w:szCs w:val="44"/>
          <w:lang w:val="en-US" w:eastAsia="zh-CN"/>
        </w:rPr>
        <w:t>局关于印发</w:t>
      </w:r>
      <w:r>
        <w:rPr>
          <w:rFonts w:hint="eastAsia" w:ascii="方正小标宋简体" w:hAnsi="楷体" w:eastAsia="方正小标宋简体"/>
          <w:color w:val="000000"/>
          <w:spacing w:val="-2"/>
          <w:sz w:val="44"/>
          <w:szCs w:val="44"/>
        </w:rPr>
        <w:t>《</w:t>
      </w:r>
      <w:r>
        <w:rPr>
          <w:rFonts w:hint="eastAsia" w:ascii="方正小标宋简体" w:hAnsi="楷体" w:eastAsia="方正小标宋简体"/>
          <w:color w:val="000000"/>
          <w:spacing w:val="-2"/>
          <w:sz w:val="44"/>
          <w:szCs w:val="44"/>
          <w:lang w:val="en-US" w:eastAsia="zh-CN"/>
        </w:rPr>
        <w:t>闵行区生态环境局规范涉企行政检查实施方案</w:t>
      </w:r>
      <w:r>
        <w:rPr>
          <w:rFonts w:hint="eastAsia" w:ascii="方正小标宋简体" w:hAnsi="楷体" w:eastAsia="方正小标宋简体"/>
          <w:color w:val="000000"/>
          <w:spacing w:val="-2"/>
          <w:sz w:val="44"/>
          <w:szCs w:val="44"/>
        </w:rPr>
        <w:t>》的</w:t>
      </w:r>
      <w:r>
        <w:rPr>
          <w:rFonts w:hint="eastAsia" w:ascii="方正小标宋简体" w:hAnsi="楷体" w:eastAsia="方正小标宋简体"/>
          <w:color w:val="000000"/>
          <w:spacing w:val="-2"/>
          <w:sz w:val="44"/>
          <w:szCs w:val="44"/>
          <w:lang w:val="en-US" w:eastAsia="zh-CN"/>
        </w:rPr>
        <w:t>通知</w:t>
      </w:r>
    </w:p>
    <w:p w14:paraId="559A5BD1">
      <w:pPr>
        <w:jc w:val="right"/>
        <w:rPr>
          <w:rFonts w:ascii="仿宋_GB2312" w:eastAsia="仿宋_GB2312"/>
          <w:sz w:val="30"/>
          <w:szCs w:val="30"/>
        </w:rPr>
      </w:pPr>
    </w:p>
    <w:p w14:paraId="45B6E764">
      <w:pPr>
        <w:rPr>
          <w:rFonts w:ascii="仿宋" w:hAnsi="仿宋" w:eastAsia="仿宋"/>
          <w:sz w:val="32"/>
          <w:szCs w:val="32"/>
        </w:rPr>
      </w:pPr>
      <w:r>
        <w:rPr>
          <w:rFonts w:hint="eastAsia" w:ascii="仿宋" w:hAnsi="仿宋" w:eastAsia="仿宋"/>
          <w:sz w:val="32"/>
          <w:szCs w:val="32"/>
          <w:lang w:val="en-US" w:eastAsia="zh-CN"/>
        </w:rPr>
        <w:t>局各科室、局属各单位</w:t>
      </w:r>
      <w:r>
        <w:rPr>
          <w:rFonts w:hint="eastAsia" w:ascii="仿宋" w:hAnsi="仿宋" w:eastAsia="仿宋"/>
          <w:sz w:val="32"/>
          <w:szCs w:val="32"/>
        </w:rPr>
        <w:t>：</w:t>
      </w:r>
    </w:p>
    <w:p w14:paraId="1D82CF88">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我局制定了《闵行区生态环境局规范涉企行政检查实施方案》，现予印发，请认真遵照执行。</w:t>
      </w:r>
    </w:p>
    <w:p w14:paraId="71DDAD21">
      <w:pPr>
        <w:rPr>
          <w:rFonts w:ascii="仿宋" w:hAnsi="仿宋" w:eastAsia="仿宋"/>
          <w:sz w:val="32"/>
          <w:szCs w:val="32"/>
        </w:rPr>
      </w:pPr>
    </w:p>
    <w:p w14:paraId="700B8818">
      <w:pPr>
        <w:ind w:left="1385" w:leftChars="50" w:hanging="1280" w:hangingChars="400"/>
        <w:jc w:val="right"/>
        <w:rPr>
          <w:rFonts w:ascii="仿宋" w:hAnsi="仿宋" w:eastAsia="仿宋"/>
          <w:sz w:val="32"/>
          <w:szCs w:val="32"/>
        </w:rPr>
      </w:pPr>
      <w:r>
        <w:rPr>
          <w:rFonts w:hint="eastAsia" w:ascii="仿宋" w:hAnsi="仿宋" w:eastAsia="仿宋"/>
          <w:sz w:val="32"/>
          <w:szCs w:val="32"/>
        </w:rPr>
        <w:t>闵行区</w:t>
      </w:r>
      <w:r>
        <w:rPr>
          <w:rFonts w:ascii="仿宋" w:hAnsi="仿宋" w:eastAsia="仿宋"/>
          <w:sz w:val="32"/>
          <w:szCs w:val="32"/>
        </w:rPr>
        <w:t>生态环境局</w:t>
      </w:r>
    </w:p>
    <w:p w14:paraId="24A7E443">
      <w:pPr>
        <w:ind w:left="1385" w:leftChars="50" w:hanging="1280" w:hangingChars="400"/>
        <w:jc w:val="right"/>
        <w:rPr>
          <w:rFonts w:ascii="仿宋" w:hAnsi="仿宋" w:eastAsia="仿宋"/>
          <w:sz w:val="32"/>
          <w:szCs w:val="32"/>
          <w:highlight w:val="none"/>
        </w:rPr>
      </w:pPr>
      <w:r>
        <w:rPr>
          <w:rFonts w:hint="eastAsia" w:ascii="仿宋" w:hAnsi="仿宋" w:eastAsia="仿宋"/>
          <w:sz w:val="32"/>
          <w:szCs w:val="32"/>
          <w:highlight w:val="none"/>
        </w:rPr>
        <w:t>202</w:t>
      </w:r>
      <w:r>
        <w:rPr>
          <w:rFonts w:hint="eastAsia" w:ascii="仿宋" w:hAnsi="仿宋" w:eastAsia="仿宋"/>
          <w:sz w:val="32"/>
          <w:szCs w:val="32"/>
          <w:highlight w:val="none"/>
          <w:lang w:val="en-US" w:eastAsia="zh-CN"/>
        </w:rPr>
        <w:t>5</w:t>
      </w:r>
      <w:r>
        <w:rPr>
          <w:rFonts w:hint="eastAsia" w:ascii="仿宋" w:hAnsi="仿宋" w:eastAsia="仿宋"/>
          <w:sz w:val="32"/>
          <w:szCs w:val="32"/>
          <w:highlight w:val="none"/>
        </w:rPr>
        <w:t>年</w:t>
      </w:r>
      <w:r>
        <w:rPr>
          <w:rFonts w:hint="eastAsia" w:ascii="仿宋" w:hAnsi="仿宋" w:eastAsia="仿宋"/>
          <w:sz w:val="32"/>
          <w:szCs w:val="32"/>
          <w:highlight w:val="none"/>
          <w:lang w:val="en-US" w:eastAsia="zh-CN"/>
        </w:rPr>
        <w:t>3</w:t>
      </w:r>
      <w:r>
        <w:rPr>
          <w:rFonts w:hint="eastAsia" w:ascii="仿宋" w:hAnsi="仿宋" w:eastAsia="仿宋"/>
          <w:sz w:val="32"/>
          <w:szCs w:val="32"/>
          <w:highlight w:val="none"/>
        </w:rPr>
        <w:t>月</w:t>
      </w:r>
      <w:r>
        <w:rPr>
          <w:rFonts w:hint="eastAsia" w:ascii="仿宋" w:hAnsi="仿宋" w:eastAsia="仿宋"/>
          <w:sz w:val="32"/>
          <w:szCs w:val="32"/>
          <w:highlight w:val="none"/>
          <w:lang w:val="en-US" w:eastAsia="zh-CN"/>
        </w:rPr>
        <w:t>21</w:t>
      </w:r>
      <w:r>
        <w:rPr>
          <w:rFonts w:hint="eastAsia" w:ascii="仿宋" w:hAnsi="仿宋" w:eastAsia="仿宋"/>
          <w:sz w:val="32"/>
          <w:szCs w:val="32"/>
          <w:highlight w:val="none"/>
        </w:rPr>
        <w:t>日</w:t>
      </w:r>
    </w:p>
    <w:p w14:paraId="41101ED3">
      <w:pPr>
        <w:rPr>
          <w:rFonts w:ascii="方正小标宋简体" w:hAnsi="楷体" w:eastAsia="方正小标宋简体"/>
          <w:color w:val="000000"/>
          <w:sz w:val="28"/>
          <w:szCs w:val="28"/>
        </w:rPr>
      </w:pPr>
      <w:r>
        <w:rPr>
          <w:rFonts w:ascii="方正小标宋简体" w:hAnsi="楷体" w:eastAsia="方正小标宋简体"/>
          <w:color w:val="000000"/>
          <w:sz w:val="28"/>
          <w:szCs w:val="28"/>
        </w:rPr>
        <w:br w:type="page"/>
      </w:r>
    </w:p>
    <w:p w14:paraId="0EF01710">
      <w:pPr>
        <w:tabs>
          <w:tab w:val="left" w:pos="6300"/>
        </w:tabs>
        <w:snapToGrid w:val="0"/>
        <w:jc w:val="center"/>
        <w:rPr>
          <w:rFonts w:ascii="方正小标宋简体" w:hAnsi="楷体" w:eastAsia="方正小标宋简体"/>
          <w:color w:val="000000"/>
          <w:spacing w:val="-2"/>
          <w:sz w:val="28"/>
          <w:szCs w:val="28"/>
        </w:rPr>
      </w:pPr>
    </w:p>
    <w:p w14:paraId="0F0CBE95">
      <w:pPr>
        <w:tabs>
          <w:tab w:val="left" w:pos="6300"/>
        </w:tabs>
        <w:snapToGrid w:val="0"/>
        <w:jc w:val="center"/>
        <w:rPr>
          <w:rFonts w:ascii="方正小标宋简体" w:hAnsi="楷体" w:eastAsia="方正小标宋简体"/>
          <w:color w:val="000000"/>
          <w:spacing w:val="-2"/>
          <w:sz w:val="44"/>
          <w:szCs w:val="44"/>
        </w:rPr>
      </w:pPr>
      <w:r>
        <w:rPr>
          <w:rFonts w:hint="eastAsia" w:ascii="方正小标宋简体" w:hAnsi="楷体" w:eastAsia="方正小标宋简体"/>
          <w:color w:val="000000"/>
          <w:spacing w:val="-2"/>
          <w:sz w:val="44"/>
          <w:szCs w:val="44"/>
        </w:rPr>
        <w:t>闵行区生态环境局规范涉企行政检查实施方案</w:t>
      </w:r>
    </w:p>
    <w:p w14:paraId="70707431">
      <w:pPr>
        <w:ind w:firstLine="640" w:firstLineChars="200"/>
        <w:rPr>
          <w:rFonts w:ascii="仿宋" w:hAnsi="仿宋" w:eastAsia="仿宋" w:cs="仿宋_GB2312"/>
          <w:color w:val="000000" w:themeColor="text1"/>
          <w:sz w:val="32"/>
          <w:szCs w:val="32"/>
          <w14:textFill>
            <w14:solidFill>
              <w14:schemeClr w14:val="tx1"/>
            </w14:solidFill>
          </w14:textFill>
        </w:rPr>
      </w:pPr>
    </w:p>
    <w:p w14:paraId="36018F72">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为贯彻落实党中央、国务院和市、区关于规范涉企行政检查的决策部署，进一步规范生态环境涉企行政检查行为，切实减轻企业负担，促进严格规范公正文明执法，营造良好营商环境，根据上海市和闵行区规范涉企行政检查相关文件精神、市生态环境局涉企行政检查实施方案，结合本区实际，制定本实施方案。</w:t>
      </w:r>
    </w:p>
    <w:p w14:paraId="63D38297">
      <w:pPr>
        <w:ind w:firstLine="616" w:firstLineChars="200"/>
        <w:rPr>
          <w:rFonts w:ascii="黑体" w:hAnsi="黑体" w:eastAsia="黑体" w:cs="黑体"/>
          <w:color w:val="000000" w:themeColor="text1"/>
          <w:spacing w:val="-6"/>
          <w:sz w:val="32"/>
          <w:szCs w:val="32"/>
          <w14:textFill>
            <w14:solidFill>
              <w14:schemeClr w14:val="tx1"/>
            </w14:solidFill>
          </w14:textFill>
        </w:rPr>
      </w:pPr>
      <w:r>
        <w:rPr>
          <w:rFonts w:hint="eastAsia" w:ascii="黑体" w:hAnsi="黑体" w:eastAsia="黑体" w:cs="黑体"/>
          <w:color w:val="000000" w:themeColor="text1"/>
          <w:spacing w:val="-6"/>
          <w:sz w:val="32"/>
          <w:szCs w:val="32"/>
          <w14:textFill>
            <w14:solidFill>
              <w14:schemeClr w14:val="tx1"/>
            </w14:solidFill>
          </w14:textFill>
        </w:rPr>
        <w:t>一、工作目标</w:t>
      </w:r>
    </w:p>
    <w:p w14:paraId="5CBD54A7">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聚焦涉企行政检查中存在</w:t>
      </w:r>
      <w:r>
        <w:rPr>
          <w:rFonts w:hint="eastAsia" w:ascii="仿宋" w:hAnsi="仿宋" w:eastAsia="仿宋" w:cs="仿宋_GB2312"/>
          <w:sz w:val="32"/>
          <w:szCs w:val="32"/>
        </w:rPr>
        <w:t>的“随意检查、重复检查、多头检查”等问题，以提升企业感受度为导向，落实检查事项“双透明”，检查规范“双认可”，检查方式“双随机”的工作要求，</w:t>
      </w:r>
      <w:r>
        <w:rPr>
          <w:rFonts w:hint="eastAsia" w:ascii="仿宋" w:hAnsi="仿宋" w:eastAsia="仿宋" w:cs="仿宋_GB2312"/>
          <w:color w:val="000000" w:themeColor="text1"/>
          <w:sz w:val="32"/>
          <w:szCs w:val="32"/>
          <w14:textFill>
            <w14:solidFill>
              <w14:schemeClr w14:val="tx1"/>
            </w14:solidFill>
          </w14:textFill>
        </w:rPr>
        <w:t>进一步明确“谁来查”“检查谁”“查什么”“怎么查”，加强依法行政，优化形成依法、规范、精准、高效的涉企行政检查工作机制，在严守安全底线、实现有效监管的基础上，减少现场检查对象、检查频次、检查内容和检查对企影响，提高有计划检查运用率、非现场检查率、跨部门联合检查率和问题发现率。用2-3年时间，实现区生态环境局涉企行政检查数量下降，行政检查质效提升。</w:t>
      </w:r>
    </w:p>
    <w:p w14:paraId="795AF754">
      <w:pPr>
        <w:ind w:firstLine="616" w:firstLineChars="200"/>
        <w:rPr>
          <w:rFonts w:ascii="黑体" w:hAnsi="黑体" w:eastAsia="黑体" w:cs="黑体"/>
          <w:color w:val="000000" w:themeColor="text1"/>
          <w:spacing w:val="-6"/>
          <w:sz w:val="32"/>
          <w:szCs w:val="32"/>
          <w14:textFill>
            <w14:solidFill>
              <w14:schemeClr w14:val="tx1"/>
            </w14:solidFill>
          </w14:textFill>
        </w:rPr>
      </w:pPr>
      <w:r>
        <w:rPr>
          <w:rFonts w:hint="eastAsia" w:ascii="黑体" w:hAnsi="黑体" w:eastAsia="黑体" w:cs="黑体"/>
          <w:color w:val="000000" w:themeColor="text1"/>
          <w:spacing w:val="-6"/>
          <w:sz w:val="32"/>
          <w:szCs w:val="32"/>
          <w14:textFill>
            <w14:solidFill>
              <w14:schemeClr w14:val="tx1"/>
            </w14:solidFill>
          </w14:textFill>
        </w:rPr>
        <w:t>二、检查主体和适用范围</w:t>
      </w:r>
    </w:p>
    <w:p w14:paraId="64E45537">
      <w:pPr>
        <w:ind w:firstLine="640" w:firstLineChars="200"/>
        <w:rPr>
          <w:rFonts w:ascii="楷体" w:hAnsi="楷体" w:eastAsia="楷体" w:cs="楷体"/>
          <w:color w:val="000000" w:themeColor="text1"/>
          <w:sz w:val="32"/>
          <w:szCs w:val="32"/>
          <w14:textFill>
            <w14:solidFill>
              <w14:schemeClr w14:val="tx1"/>
            </w14:solidFill>
          </w14:textFill>
        </w:rPr>
      </w:pPr>
      <w:r>
        <w:rPr>
          <w:rFonts w:hint="eastAsia" w:ascii="楷体" w:hAnsi="楷体" w:eastAsia="楷体" w:cs="楷体"/>
          <w:color w:val="000000" w:themeColor="text1"/>
          <w:sz w:val="32"/>
          <w:szCs w:val="32"/>
          <w14:textFill>
            <w14:solidFill>
              <w14:schemeClr w14:val="tx1"/>
            </w14:solidFill>
          </w14:textFill>
        </w:rPr>
        <w:t>（一）检查主体</w:t>
      </w:r>
    </w:p>
    <w:p w14:paraId="6ACA10FC">
      <w:pPr>
        <w:ind w:firstLine="640" w:firstLineChars="200"/>
        <w:rPr>
          <w:rFonts w:ascii="仿宋" w:hAnsi="仿宋" w:eastAsia="仿宋" w:cs="仿宋_GB2312"/>
          <w:sz w:val="32"/>
          <w:szCs w:val="32"/>
        </w:rPr>
      </w:pPr>
      <w:r>
        <w:rPr>
          <w:rFonts w:hint="eastAsia" w:ascii="仿宋" w:hAnsi="仿宋" w:eastAsia="仿宋" w:cs="仿宋_GB2312"/>
          <w:color w:val="000000" w:themeColor="text1"/>
          <w:sz w:val="32"/>
          <w:szCs w:val="32"/>
          <w14:textFill>
            <w14:solidFill>
              <w14:schemeClr w14:val="tx1"/>
            </w14:solidFill>
          </w14:textFill>
        </w:rPr>
        <w:t>区生态</w:t>
      </w:r>
      <w:r>
        <w:rPr>
          <w:rFonts w:hint="eastAsia" w:ascii="仿宋" w:hAnsi="仿宋" w:eastAsia="仿宋" w:cs="仿宋_GB2312"/>
          <w:sz w:val="32"/>
          <w:szCs w:val="32"/>
        </w:rPr>
        <w:t>环境局及执法大队是本方案所指涉企行政检查的主体，在法定职责范围内或者委托范围内实施行政检查。根据工作需要，可以邀请第三方专业机构或行业专家对行政检查予以协助。行政检查主体应根据“谁使用、谁管理、谁负责”原则，严格落实对行政检查辅助人员的监督管理责任；第三方专业机构或行业专家不得以协助行政检查为名，自行开展行政检查相关现场工作。</w:t>
      </w:r>
    </w:p>
    <w:p w14:paraId="54426457">
      <w:pPr>
        <w:ind w:firstLine="640" w:firstLineChars="200"/>
        <w:rPr>
          <w:rFonts w:ascii="楷体" w:hAnsi="楷体" w:eastAsia="楷体" w:cs="楷体"/>
          <w:sz w:val="32"/>
          <w:szCs w:val="32"/>
        </w:rPr>
      </w:pPr>
      <w:r>
        <w:rPr>
          <w:rFonts w:hint="eastAsia" w:ascii="楷体" w:hAnsi="楷体" w:eastAsia="楷体" w:cs="楷体"/>
          <w:sz w:val="32"/>
          <w:szCs w:val="32"/>
        </w:rPr>
        <w:t>（二）适用范围</w:t>
      </w:r>
    </w:p>
    <w:p w14:paraId="30B603CC">
      <w:pPr>
        <w:ind w:firstLine="640" w:firstLineChars="200"/>
        <w:rPr>
          <w:rFonts w:ascii="仿宋" w:hAnsi="仿宋" w:eastAsia="仿宋" w:cs="仿宋_GB2312"/>
          <w:color w:val="000000" w:themeColor="text1"/>
          <w:sz w:val="32"/>
          <w:szCs w:val="32"/>
          <w14:textFill>
            <w14:solidFill>
              <w14:schemeClr w14:val="tx1"/>
            </w14:solidFill>
          </w14:textFill>
        </w:rPr>
      </w:pPr>
      <w:r>
        <w:rPr>
          <w:rFonts w:ascii="仿宋" w:hAnsi="仿宋" w:eastAsia="仿宋" w:cs="仿宋_GB2312"/>
          <w:sz w:val="32"/>
          <w:szCs w:val="32"/>
        </w:rPr>
        <w:t>本实施方案所指涉企行政检查是指</w:t>
      </w:r>
      <w:r>
        <w:rPr>
          <w:rFonts w:hint="eastAsia" w:ascii="仿宋" w:hAnsi="仿宋" w:eastAsia="仿宋" w:cs="仿宋_GB2312"/>
          <w:sz w:val="32"/>
          <w:szCs w:val="32"/>
        </w:rPr>
        <w:t>区生态环境局及执法大队</w:t>
      </w:r>
      <w:r>
        <w:rPr>
          <w:rFonts w:ascii="仿宋" w:hAnsi="仿宋" w:eastAsia="仿宋" w:cs="仿宋_GB2312"/>
          <w:color w:val="000000" w:themeColor="text1"/>
          <w:sz w:val="32"/>
          <w:szCs w:val="32"/>
          <w14:textFill>
            <w14:solidFill>
              <w14:schemeClr w14:val="tx1"/>
            </w14:solidFill>
          </w14:textFill>
        </w:rPr>
        <w:t>依照法定职权，对经营主体（包括法人、非法人组织和个体工商户等，以下统称“检查对象”）遵守生态环境保护法律、法规、规章和执行行政决定的情况进行强制性了解、核查的行为。</w:t>
      </w:r>
      <w:r>
        <w:rPr>
          <w:rFonts w:hint="eastAsia" w:ascii="仿宋" w:hAnsi="仿宋" w:eastAsia="仿宋" w:cs="仿宋_GB2312"/>
          <w:color w:val="000000" w:themeColor="text1"/>
          <w:sz w:val="32"/>
          <w:szCs w:val="32"/>
          <w14:textFill>
            <w14:solidFill>
              <w14:schemeClr w14:val="tx1"/>
            </w14:solidFill>
          </w14:textFill>
        </w:rPr>
        <w:t>区生态环境局涉企行政检查主要包括生态环境监督检查和执法检查。实施方式分为有计划行政检查和触发式行政检查。有计划行政检查是指日常检查、专项检查和其它有检查计划的行政检查；触发式行政检查是指因投诉举报、转办交办、非现场检查发现环境问题线索引发的行政检查。</w:t>
      </w:r>
    </w:p>
    <w:p w14:paraId="4A3DF78F">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对以下检查行为暂不纳入本次规范涉企行政检查的范围：（1）行政处罚立案后的现场检查、整改复查等行为；（2）按保密规定开展的涉密检查行为；（3）对外省市经营主体在本市管辖范围内开展经营活动的检查行为；（4）对无照经营者的检查行为。</w:t>
      </w:r>
    </w:p>
    <w:p w14:paraId="27C2A008">
      <w:pPr>
        <w:ind w:firstLine="616" w:firstLineChars="200"/>
        <w:rPr>
          <w:rFonts w:ascii="黑体" w:hAnsi="黑体" w:eastAsia="黑体" w:cs="黑体"/>
          <w:color w:val="000000" w:themeColor="text1"/>
          <w:spacing w:val="-6"/>
          <w:sz w:val="32"/>
          <w:szCs w:val="32"/>
          <w14:textFill>
            <w14:solidFill>
              <w14:schemeClr w14:val="tx1"/>
            </w14:solidFill>
          </w14:textFill>
        </w:rPr>
      </w:pPr>
      <w:r>
        <w:rPr>
          <w:rFonts w:hint="eastAsia" w:ascii="黑体" w:hAnsi="黑体" w:eastAsia="黑体" w:cs="黑体"/>
          <w:color w:val="000000" w:themeColor="text1"/>
          <w:spacing w:val="-6"/>
          <w:sz w:val="32"/>
          <w:szCs w:val="32"/>
          <w14:textFill>
            <w14:solidFill>
              <w14:schemeClr w14:val="tx1"/>
            </w14:solidFill>
          </w14:textFill>
        </w:rPr>
        <w:t>三、检查事项和检查对象</w:t>
      </w:r>
    </w:p>
    <w:p w14:paraId="22FEE3E5">
      <w:pPr>
        <w:ind w:firstLine="640" w:firstLineChars="200"/>
        <w:rPr>
          <w:rFonts w:ascii="楷体" w:hAnsi="楷体" w:eastAsia="楷体" w:cs="楷体"/>
          <w:color w:val="000000" w:themeColor="text1"/>
          <w:sz w:val="32"/>
          <w:szCs w:val="32"/>
          <w14:textFill>
            <w14:solidFill>
              <w14:schemeClr w14:val="tx1"/>
            </w14:solidFill>
          </w14:textFill>
        </w:rPr>
      </w:pPr>
      <w:r>
        <w:rPr>
          <w:rFonts w:hint="eastAsia" w:ascii="楷体" w:hAnsi="楷体" w:eastAsia="楷体" w:cs="楷体"/>
          <w:color w:val="000000" w:themeColor="text1"/>
          <w:sz w:val="32"/>
          <w:szCs w:val="32"/>
          <w14:textFill>
            <w14:solidFill>
              <w14:schemeClr w14:val="tx1"/>
            </w14:solidFill>
          </w14:textFill>
        </w:rPr>
        <w:t>（一）检查事项</w:t>
      </w:r>
    </w:p>
    <w:p w14:paraId="1EB97727">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严格落实权责清单制度，以权责清单为基础开展生态环境涉企行政检查工作。在全市统一综合执法系统中认领市生态环境部门备案的生态环境涉企行政检查事项，对未经认领的检查事项，不得开展行政检查。因法律、法规、规章变化，需要申请临时检查事项的，及时汇报市级生态环境部门。对市生态环境部门列入“无事不扰”检查事项清单的低风险检查事项，除上级部署、收到违法线索和法律、法规、规章有明确规定的外，原则上不主动开展现场检查。</w:t>
      </w:r>
    </w:p>
    <w:p w14:paraId="508F5EA4">
      <w:pPr>
        <w:ind w:firstLine="640" w:firstLineChars="200"/>
        <w:rPr>
          <w:rFonts w:ascii="楷体" w:hAnsi="楷体" w:eastAsia="楷体" w:cs="楷体"/>
          <w:color w:val="000000" w:themeColor="text1"/>
          <w:sz w:val="32"/>
          <w:szCs w:val="32"/>
          <w14:textFill>
            <w14:solidFill>
              <w14:schemeClr w14:val="tx1"/>
            </w14:solidFill>
          </w14:textFill>
        </w:rPr>
      </w:pPr>
      <w:r>
        <w:rPr>
          <w:rFonts w:hint="eastAsia" w:ascii="楷体" w:hAnsi="楷体" w:eastAsia="楷体" w:cs="楷体"/>
          <w:color w:val="000000" w:themeColor="text1"/>
          <w:sz w:val="32"/>
          <w:szCs w:val="32"/>
          <w14:textFill>
            <w14:solidFill>
              <w14:schemeClr w14:val="tx1"/>
            </w14:solidFill>
          </w14:textFill>
        </w:rPr>
        <w:t>（二）检查对象</w:t>
      </w:r>
    </w:p>
    <w:p w14:paraId="437C8518">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依托市生态环境部门以固定污染源综合监管系统及国家核技术利用辐射安全管理系统为基础，结合环境影响评价机构、社会生态环境监测机构、土壤污染风险管控和修复地块从业单位等第三方服务机构名录，建立的与行政检查事项相对应的生态环境行政检查对象库开展涉企行政检查工作，并按照“谁主管、谁负责”的原则，依据区生态环境部门监管职</w:t>
      </w:r>
      <w:r>
        <w:rPr>
          <w:rFonts w:hint="eastAsia" w:ascii="仿宋" w:hAnsi="仿宋" w:eastAsia="仿宋" w:cs="仿宋_GB2312"/>
          <w:sz w:val="32"/>
          <w:szCs w:val="32"/>
        </w:rPr>
        <w:t>责，协同市生态</w:t>
      </w:r>
      <w:r>
        <w:rPr>
          <w:rFonts w:hint="eastAsia" w:ascii="仿宋" w:hAnsi="仿宋" w:eastAsia="仿宋" w:cs="仿宋_GB2312"/>
          <w:color w:val="000000" w:themeColor="text1"/>
          <w:sz w:val="32"/>
          <w:szCs w:val="32"/>
          <w14:textFill>
            <w14:solidFill>
              <w14:schemeClr w14:val="tx1"/>
            </w14:solidFill>
          </w14:textFill>
        </w:rPr>
        <w:t>环境部门共同开展检查对象库中检查对象的动态更新和标签管理工作。</w:t>
      </w:r>
    </w:p>
    <w:p w14:paraId="7FB6AA9F">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对检查对象按照ABCD四个等级开展分类监管检查，对列入“无感监管”清单的A级检查对象，除上级部署、投诉举报等，原则上不主动开展现场检查；对B级检查对象按照5%的比例开展“双随机、一公开”的抽查；C级检查对象提高“双随机、一公开”的抽查比例，按照20%的要求抽查；D级检查对象在随机抽查任务中按照100%比例开展检查。对上述分级中被列入《上海市环境监管重点单位名录》内的，以及有其他特殊监管要求的检查对象，按照相应管理要求组织检查。对于暂未开展信用评价的检查对象，按其隶属的专项检查方案组织行政检查。涉及核技术利用单位的，按相关管理要求实施。</w:t>
      </w:r>
    </w:p>
    <w:p w14:paraId="1758A9E3">
      <w:pPr>
        <w:ind w:firstLine="616" w:firstLineChars="200"/>
        <w:rPr>
          <w:rFonts w:ascii="黑体" w:hAnsi="黑体" w:eastAsia="黑体" w:cs="黑体"/>
          <w:color w:val="000000" w:themeColor="text1"/>
          <w:spacing w:val="-6"/>
          <w:sz w:val="32"/>
          <w:szCs w:val="32"/>
          <w14:textFill>
            <w14:solidFill>
              <w14:schemeClr w14:val="tx1"/>
            </w14:solidFill>
          </w14:textFill>
        </w:rPr>
      </w:pPr>
      <w:r>
        <w:rPr>
          <w:rFonts w:hint="eastAsia" w:ascii="黑体" w:hAnsi="黑体" w:eastAsia="黑体" w:cs="黑体"/>
          <w:color w:val="000000" w:themeColor="text1"/>
          <w:spacing w:val="-6"/>
          <w:sz w:val="32"/>
          <w:szCs w:val="32"/>
          <w14:textFill>
            <w14:solidFill>
              <w14:schemeClr w14:val="tx1"/>
            </w14:solidFill>
          </w14:textFill>
        </w:rPr>
        <w:t>四、规范实施有计划行政检查</w:t>
      </w:r>
    </w:p>
    <w:p w14:paraId="12D78175">
      <w:pPr>
        <w:ind w:firstLine="640" w:firstLineChars="200"/>
        <w:rPr>
          <w:rFonts w:ascii="楷体" w:hAnsi="楷体" w:eastAsia="楷体" w:cs="楷体"/>
          <w:color w:val="000000" w:themeColor="text1"/>
          <w:sz w:val="32"/>
          <w:szCs w:val="32"/>
          <w14:textFill>
            <w14:solidFill>
              <w14:schemeClr w14:val="tx1"/>
            </w14:solidFill>
          </w14:textFill>
        </w:rPr>
      </w:pPr>
      <w:r>
        <w:rPr>
          <w:rFonts w:hint="eastAsia" w:ascii="楷体" w:hAnsi="楷体" w:eastAsia="楷体" w:cs="楷体"/>
          <w:color w:val="000000" w:themeColor="text1"/>
          <w:sz w:val="32"/>
          <w:szCs w:val="32"/>
          <w14:textFill>
            <w14:solidFill>
              <w14:schemeClr w14:val="tx1"/>
            </w14:solidFill>
          </w14:textFill>
        </w:rPr>
        <w:t>（一）行政检查计划编制和备案</w:t>
      </w:r>
    </w:p>
    <w:p w14:paraId="0E81D500">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除触发式检查外，有计划行政检查均应制定行政检查计划。区生态环境局应在市级行政检查计划基础上，结合本区实际，围绕贯彻落实生态环境部、市委市政府和区委区政府决策部署，服务保障生态环境年度重点工作，坚持问题导向，有效减少涉企行政检查数量，科学谋划和编制年度行政检查计划，于每年2月底前向市生态环境局和区司法行政部门备案，并于每年3月底前向社会公布。</w:t>
      </w:r>
    </w:p>
    <w:p w14:paraId="22C9DF8A">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根据年度行政检查计划和月度工作需要，进一步细化月度行政检查计划，并于上一月25日前报全市统一综合执法系统备案。无上级部署或其他触发检查情况，月度行政检查计划不得安排年度行政检查计划外任务，切实提高有计划检查的运用率。</w:t>
      </w:r>
    </w:p>
    <w:p w14:paraId="3616B9E9">
      <w:pPr>
        <w:ind w:firstLine="640" w:firstLineChars="200"/>
        <w:rPr>
          <w:rFonts w:ascii="楷体" w:hAnsi="楷体" w:eastAsia="楷体" w:cs="楷体"/>
          <w:color w:val="000000" w:themeColor="text1"/>
          <w:sz w:val="32"/>
          <w:szCs w:val="32"/>
          <w14:textFill>
            <w14:solidFill>
              <w14:schemeClr w14:val="tx1"/>
            </w14:solidFill>
          </w14:textFill>
        </w:rPr>
      </w:pPr>
      <w:r>
        <w:rPr>
          <w:rFonts w:hint="eastAsia" w:ascii="楷体" w:hAnsi="楷体" w:eastAsia="楷体" w:cs="楷体"/>
          <w:color w:val="000000" w:themeColor="text1"/>
          <w:sz w:val="32"/>
          <w:szCs w:val="32"/>
          <w14:textFill>
            <w14:solidFill>
              <w14:schemeClr w14:val="tx1"/>
            </w14:solidFill>
          </w14:textFill>
        </w:rPr>
        <w:t>（二）行政检查计划统筹</w:t>
      </w:r>
    </w:p>
    <w:p w14:paraId="386F80B5">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要落实“综合查一次”要求，开展以排污许可为核心的综合式行政检查，实现一码进门“一查清”，完成全流程、全要素、全环节检查；监督检查和执法检查对同一检查对象计划内任务，原则上每年只查一次；触发式行政检查可以与检查计划任务统筹实施的，应当合并开展现场检查，有效减少入企检查次数。对于同一检查对象的同一事项，在一个年度内，已经完成检查的，不再重复组织检查。对同一检查对象市或区均有检查计划任务的，应通过月度检查计划撮合，及时协商后由一方独立检查，或开展联合检查。</w:t>
      </w:r>
    </w:p>
    <w:p w14:paraId="09B65F3A">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针对区生态环境局牵头的跨部门联合检查任务，应制定联合检查计划，通过全市统一综合执法系统申领“检查码”开展联合检查，落实“应协同，尽协同”原则，切实提高跨部门联合检查率。</w:t>
      </w:r>
    </w:p>
    <w:p w14:paraId="300C1F43">
      <w:pPr>
        <w:ind w:firstLine="616" w:firstLineChars="200"/>
        <w:rPr>
          <w:rFonts w:ascii="黑体" w:hAnsi="黑体" w:eastAsia="黑体" w:cs="黑体"/>
          <w:color w:val="000000" w:themeColor="text1"/>
          <w:spacing w:val="-6"/>
          <w:sz w:val="32"/>
          <w:szCs w:val="32"/>
          <w14:textFill>
            <w14:solidFill>
              <w14:schemeClr w14:val="tx1"/>
            </w14:solidFill>
          </w14:textFill>
        </w:rPr>
      </w:pPr>
      <w:r>
        <w:rPr>
          <w:rFonts w:hint="eastAsia" w:ascii="黑体" w:hAnsi="黑体" w:eastAsia="黑体" w:cs="黑体"/>
          <w:color w:val="000000" w:themeColor="text1"/>
          <w:spacing w:val="-6"/>
          <w:sz w:val="32"/>
          <w:szCs w:val="32"/>
          <w14:textFill>
            <w14:solidFill>
              <w14:schemeClr w14:val="tx1"/>
            </w14:solidFill>
          </w14:textFill>
        </w:rPr>
        <w:t>五、规范行政检查行为</w:t>
      </w:r>
    </w:p>
    <w:p w14:paraId="39ACEF19">
      <w:pPr>
        <w:ind w:firstLine="640" w:firstLineChars="200"/>
        <w:rPr>
          <w:rFonts w:ascii="楷体" w:hAnsi="楷体" w:eastAsia="楷体" w:cs="楷体"/>
          <w:color w:val="000000" w:themeColor="text1"/>
          <w:sz w:val="32"/>
          <w:szCs w:val="32"/>
          <w14:textFill>
            <w14:solidFill>
              <w14:schemeClr w14:val="tx1"/>
            </w14:solidFill>
          </w14:textFill>
        </w:rPr>
      </w:pPr>
      <w:r>
        <w:rPr>
          <w:rFonts w:hint="eastAsia" w:ascii="楷体" w:hAnsi="楷体" w:eastAsia="楷体" w:cs="楷体"/>
          <w:color w:val="000000" w:themeColor="text1"/>
          <w:sz w:val="32"/>
          <w:szCs w:val="32"/>
          <w14:textFill>
            <w14:solidFill>
              <w14:schemeClr w14:val="tx1"/>
            </w14:solidFill>
          </w14:textFill>
        </w:rPr>
        <w:t>（一）规范使用“检查码”</w:t>
      </w:r>
    </w:p>
    <w:p w14:paraId="2C2F5AB1">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启动现场检查前，执法检查人员通过生态环境移动执法系统，填写月度行政检查计划编码或通过触发式行政检查申领“检查码”；监督检查人员通过“随申办政务云”系统，按照规定程序和要求申领“检查码”。同一检查任务需要连续开展现场检查的，不再重复申领“检查码”。</w:t>
      </w:r>
    </w:p>
    <w:p w14:paraId="19A43D1B">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针对以下情形，行政检查人员可在现场检查后48小时内补充申领“检查码”，并补录检查行为信息：涉及生态环境安全、突发环境事件和应急事故调查等突发检查任务；涉及核实投诉举报和其他问题线索等临时任务；涉及刑事犯罪，涉嫌存在偷排、偷倒固体废物，通过暗管、渗井、渗坑、灌注或者篡改、伪造监测数据或者不正常运行污染防治设施等逃避监管方式排放污染物等紧急检查任务；涉及尚未纳入行政检查对象库的检查对象以及涉及违法行为调查中需要开展延伸检查等其他检查任务。</w:t>
      </w:r>
    </w:p>
    <w:p w14:paraId="7B41D84D">
      <w:pPr>
        <w:ind w:firstLine="640" w:firstLineChars="200"/>
        <w:rPr>
          <w:rFonts w:ascii="楷体" w:hAnsi="楷体" w:eastAsia="楷体" w:cs="楷体"/>
          <w:color w:val="000000" w:themeColor="text1"/>
          <w:sz w:val="32"/>
          <w:szCs w:val="32"/>
          <w14:textFill>
            <w14:solidFill>
              <w14:schemeClr w14:val="tx1"/>
            </w14:solidFill>
          </w14:textFill>
        </w:rPr>
      </w:pPr>
      <w:r>
        <w:rPr>
          <w:rFonts w:hint="eastAsia" w:ascii="楷体" w:hAnsi="楷体" w:eastAsia="楷体" w:cs="楷体"/>
          <w:color w:val="000000" w:themeColor="text1"/>
          <w:sz w:val="32"/>
          <w:szCs w:val="32"/>
          <w14:textFill>
            <w14:solidFill>
              <w14:schemeClr w14:val="tx1"/>
            </w14:solidFill>
          </w14:textFill>
        </w:rPr>
        <w:t>（二）优化行政检查方式</w:t>
      </w:r>
    </w:p>
    <w:p w14:paraId="343F6025">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对列入“无感监管”检查对象清单的以及对于其他通过非现场检查能达到检查目的的行政检查对象，优先安排非现场检查，切实提高非现场检查率。要充分运用环境影响评价、排污许可、在线监测等数据，通过无人机巡航、走航监测等科技手段，查找问题线索，确定检查重点，有效减少现场检查内容，切实提高问题发现率。</w:t>
      </w:r>
    </w:p>
    <w:p w14:paraId="37D302A8">
      <w:pPr>
        <w:ind w:firstLine="640" w:firstLineChars="200"/>
        <w:rPr>
          <w:rFonts w:ascii="楷体" w:hAnsi="楷体" w:eastAsia="楷体" w:cs="楷体"/>
          <w:color w:val="000000" w:themeColor="text1"/>
          <w:sz w:val="32"/>
          <w:szCs w:val="32"/>
          <w14:textFill>
            <w14:solidFill>
              <w14:schemeClr w14:val="tx1"/>
            </w14:solidFill>
          </w14:textFill>
        </w:rPr>
      </w:pPr>
      <w:r>
        <w:rPr>
          <w:rFonts w:hint="eastAsia" w:ascii="楷体" w:hAnsi="楷体" w:eastAsia="楷体" w:cs="楷体"/>
          <w:color w:val="000000" w:themeColor="text1"/>
          <w:sz w:val="32"/>
          <w:szCs w:val="32"/>
          <w14:textFill>
            <w14:solidFill>
              <w14:schemeClr w14:val="tx1"/>
            </w14:solidFill>
          </w14:textFill>
        </w:rPr>
        <w:t>（三）规范行政检查程序</w:t>
      </w:r>
    </w:p>
    <w:p w14:paraId="7E08E0BF">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行政检查由两名及以上行政检查人员依法实施。行政检查人员到达现场后，应向检查对象主动出示“检</w:t>
      </w:r>
      <w:r>
        <w:rPr>
          <w:rFonts w:hint="eastAsia" w:ascii="仿宋" w:hAnsi="仿宋" w:eastAsia="仿宋" w:cs="仿宋_GB2312"/>
          <w:sz w:val="32"/>
          <w:szCs w:val="32"/>
        </w:rPr>
        <w:t>查码”和行政检查证件，</w:t>
      </w:r>
      <w:r>
        <w:rPr>
          <w:rFonts w:hint="eastAsia" w:ascii="仿宋" w:hAnsi="仿宋" w:eastAsia="仿宋" w:cs="仿宋_GB2312"/>
          <w:color w:val="000000" w:themeColor="text1"/>
          <w:sz w:val="32"/>
          <w:szCs w:val="32"/>
          <w14:textFill>
            <w14:solidFill>
              <w14:schemeClr w14:val="tx1"/>
            </w14:solidFill>
          </w14:textFill>
        </w:rPr>
        <w:t>当面告知行政检查的依据、内容、要求、程序以及检查对象依法享有的权利和承担的义务，同时告知检查对象可通过“随申办企业云”核验行政检查事项、人员资格、评价检查行为和查询检查结果等。</w:t>
      </w:r>
    </w:p>
    <w:p w14:paraId="40BACAF2">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现场检查时应落实“严格规范公正文明”的工作要求，严格按照行政检查标准开展行政检查，严禁盲目检查和野蛮检查，不得要求企业提供与检查内容无关的材料，不得以配合检查为缘由干扰企业正常生产经营。行政检查人员应通过现场检查记录设备规范开展行政检查过程记录。</w:t>
      </w:r>
    </w:p>
    <w:p w14:paraId="44816CA6">
      <w:pPr>
        <w:ind w:firstLine="640" w:firstLineChars="200"/>
        <w:rPr>
          <w:rFonts w:ascii="楷体" w:hAnsi="楷体" w:eastAsia="楷体" w:cs="楷体"/>
          <w:color w:val="000000" w:themeColor="text1"/>
          <w:sz w:val="32"/>
          <w:szCs w:val="32"/>
          <w14:textFill>
            <w14:solidFill>
              <w14:schemeClr w14:val="tx1"/>
            </w14:solidFill>
          </w14:textFill>
        </w:rPr>
      </w:pPr>
      <w:r>
        <w:rPr>
          <w:rFonts w:hint="eastAsia" w:ascii="楷体" w:hAnsi="楷体" w:eastAsia="楷体" w:cs="楷体"/>
          <w:color w:val="000000" w:themeColor="text1"/>
          <w:sz w:val="32"/>
          <w:szCs w:val="32"/>
          <w14:textFill>
            <w14:solidFill>
              <w14:schemeClr w14:val="tx1"/>
            </w14:solidFill>
          </w14:textFill>
        </w:rPr>
        <w:t>（四）规范检查结果记录</w:t>
      </w:r>
    </w:p>
    <w:p w14:paraId="61395D90">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行政检查人员完成行政检查后，监督检查和执法检查都应通过全市统一综合执法系统或生态环境移动执法系统规范录入检查结果。记录应包括检查基本信息、检查范围、检查内容、检查过程、发现问题、取证情况等事项及检查结论。</w:t>
      </w:r>
    </w:p>
    <w:p w14:paraId="3D9349CD">
      <w:pPr>
        <w:ind w:firstLine="616" w:firstLineChars="200"/>
        <w:rPr>
          <w:rFonts w:ascii="黑体" w:hAnsi="黑体" w:eastAsia="黑体" w:cs="黑体"/>
          <w:color w:val="000000" w:themeColor="text1"/>
          <w:spacing w:val="-6"/>
          <w:sz w:val="32"/>
          <w:szCs w:val="32"/>
          <w14:textFill>
            <w14:solidFill>
              <w14:schemeClr w14:val="tx1"/>
            </w14:solidFill>
          </w14:textFill>
        </w:rPr>
      </w:pPr>
      <w:r>
        <w:rPr>
          <w:rFonts w:hint="eastAsia" w:ascii="黑体" w:hAnsi="黑体" w:eastAsia="黑体" w:cs="黑体"/>
          <w:color w:val="000000" w:themeColor="text1"/>
          <w:spacing w:val="-6"/>
          <w:sz w:val="32"/>
          <w:szCs w:val="32"/>
          <w14:textFill>
            <w14:solidFill>
              <w14:schemeClr w14:val="tx1"/>
            </w14:solidFill>
          </w14:textFill>
        </w:rPr>
        <w:t>六、保障措施</w:t>
      </w:r>
    </w:p>
    <w:p w14:paraId="1CEB784B">
      <w:pPr>
        <w:ind w:firstLine="640" w:firstLineChars="200"/>
        <w:rPr>
          <w:rFonts w:ascii="楷体" w:hAnsi="楷体" w:eastAsia="楷体" w:cs="楷体"/>
          <w:color w:val="000000" w:themeColor="text1"/>
          <w:sz w:val="32"/>
          <w:szCs w:val="32"/>
          <w14:textFill>
            <w14:solidFill>
              <w14:schemeClr w14:val="tx1"/>
            </w14:solidFill>
          </w14:textFill>
        </w:rPr>
      </w:pPr>
      <w:r>
        <w:rPr>
          <w:rFonts w:hint="eastAsia" w:ascii="楷体" w:hAnsi="楷体" w:eastAsia="楷体" w:cs="楷体"/>
          <w:color w:val="000000" w:themeColor="text1"/>
          <w:sz w:val="32"/>
          <w:szCs w:val="32"/>
          <w14:textFill>
            <w14:solidFill>
              <w14:schemeClr w14:val="tx1"/>
            </w14:solidFill>
          </w14:textFill>
        </w:rPr>
        <w:t>（一）加强组织领导</w:t>
      </w:r>
    </w:p>
    <w:p w14:paraId="2B56FB0B">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区生态环境局成立规范涉企行政检查工</w:t>
      </w:r>
      <w:r>
        <w:rPr>
          <w:rFonts w:hint="eastAsia" w:ascii="仿宋" w:hAnsi="仿宋" w:eastAsia="仿宋" w:cs="仿宋_GB2312"/>
          <w:sz w:val="32"/>
          <w:szCs w:val="32"/>
        </w:rPr>
        <w:t>作组，由主要领导任组长，分管领导具体负责，各业务部门和执法大队主要负责同志任工作组成员。执法大队会同执法监测科牵头推进具</w:t>
      </w:r>
      <w:r>
        <w:rPr>
          <w:rFonts w:hint="eastAsia" w:ascii="仿宋" w:hAnsi="仿宋" w:eastAsia="仿宋" w:cs="仿宋_GB2312"/>
          <w:color w:val="000000" w:themeColor="text1"/>
          <w:sz w:val="32"/>
          <w:szCs w:val="32"/>
          <w14:textFill>
            <w14:solidFill>
              <w14:schemeClr w14:val="tx1"/>
            </w14:solidFill>
          </w14:textFill>
        </w:rPr>
        <w:t>体工作，局各业务部门协同配合，全面推进规范涉企行政检查工作。</w:t>
      </w:r>
    </w:p>
    <w:p w14:paraId="6421716E">
      <w:pPr>
        <w:numPr>
          <w:ilvl w:val="0"/>
          <w:numId w:val="1"/>
        </w:numPr>
        <w:ind w:firstLine="640" w:firstLineChars="200"/>
        <w:rPr>
          <w:rFonts w:ascii="楷体" w:hAnsi="楷体" w:eastAsia="楷体" w:cs="楷体"/>
          <w:color w:val="000000" w:themeColor="text1"/>
          <w:sz w:val="32"/>
          <w:szCs w:val="32"/>
          <w14:textFill>
            <w14:solidFill>
              <w14:schemeClr w14:val="tx1"/>
            </w14:solidFill>
          </w14:textFill>
        </w:rPr>
      </w:pPr>
      <w:r>
        <w:rPr>
          <w:rFonts w:ascii="楷体" w:hAnsi="楷体" w:eastAsia="楷体" w:cs="楷体"/>
          <w:color w:val="000000" w:themeColor="text1"/>
          <w:sz w:val="32"/>
          <w:szCs w:val="32"/>
          <w14:textFill>
            <w14:solidFill>
              <w14:schemeClr w14:val="tx1"/>
            </w14:solidFill>
          </w14:textFill>
        </w:rPr>
        <w:t>加强能力</w:t>
      </w:r>
      <w:r>
        <w:rPr>
          <w:rFonts w:hint="eastAsia" w:ascii="楷体" w:hAnsi="楷体" w:eastAsia="楷体" w:cs="楷体"/>
          <w:color w:val="000000" w:themeColor="text1"/>
          <w:sz w:val="32"/>
          <w:szCs w:val="32"/>
          <w14:textFill>
            <w14:solidFill>
              <w14:schemeClr w14:val="tx1"/>
            </w14:solidFill>
          </w14:textFill>
        </w:rPr>
        <w:t>建设</w:t>
      </w:r>
    </w:p>
    <w:p w14:paraId="306D3838">
      <w:pPr>
        <w:ind w:firstLine="640" w:firstLineChars="200"/>
        <w:rPr>
          <w:rFonts w:ascii="仿宋" w:hAnsi="仿宋" w:eastAsia="仿宋" w:cs="仿宋_GB2312"/>
          <w:color w:val="000000" w:themeColor="text1"/>
          <w:sz w:val="32"/>
          <w:szCs w:val="32"/>
          <w14:textFill>
            <w14:solidFill>
              <w14:schemeClr w14:val="tx1"/>
            </w14:solidFill>
          </w14:textFill>
        </w:rPr>
      </w:pPr>
      <w:r>
        <w:rPr>
          <w:rFonts w:ascii="仿宋" w:hAnsi="仿宋" w:eastAsia="仿宋" w:cs="仿宋_GB2312"/>
          <w:color w:val="000000" w:themeColor="text1"/>
          <w:sz w:val="32"/>
          <w:szCs w:val="32"/>
          <w14:textFill>
            <w14:solidFill>
              <w14:schemeClr w14:val="tx1"/>
            </w14:solidFill>
          </w14:textFill>
        </w:rPr>
        <w:t>加大培训力度，通过组织理论学习、法规培训、</w:t>
      </w:r>
      <w:r>
        <w:rPr>
          <w:rFonts w:hint="eastAsia" w:ascii="仿宋" w:hAnsi="仿宋" w:eastAsia="仿宋" w:cs="仿宋_GB2312"/>
          <w:color w:val="000000" w:themeColor="text1"/>
          <w:sz w:val="32"/>
          <w:szCs w:val="32"/>
          <w14:textFill>
            <w14:solidFill>
              <w14:schemeClr w14:val="tx1"/>
            </w14:solidFill>
          </w14:textFill>
        </w:rPr>
        <w:t>实战练兵</w:t>
      </w:r>
      <w:r>
        <w:rPr>
          <w:rFonts w:ascii="仿宋" w:hAnsi="仿宋" w:eastAsia="仿宋" w:cs="仿宋_GB2312"/>
          <w:color w:val="000000" w:themeColor="text1"/>
          <w:sz w:val="32"/>
          <w:szCs w:val="32"/>
          <w14:textFill>
            <w14:solidFill>
              <w14:schemeClr w14:val="tx1"/>
            </w14:solidFill>
          </w14:textFill>
        </w:rPr>
        <w:t>等多种形式的岗位培训，全面提升行政检查人员发现问题的能力水平。加强行政检查装备建设，对照《生态环境保护综合行政执法装备标准化建设指导标准》</w:t>
      </w:r>
      <w:r>
        <w:rPr>
          <w:rFonts w:hint="eastAsia" w:ascii="仿宋" w:hAnsi="仿宋" w:eastAsia="仿宋" w:cs="仿宋_GB2312"/>
          <w:color w:val="000000" w:themeColor="text1"/>
          <w:sz w:val="32"/>
          <w:szCs w:val="32"/>
          <w14:textFill>
            <w14:solidFill>
              <w14:schemeClr w14:val="tx1"/>
            </w14:solidFill>
          </w14:textFill>
        </w:rPr>
        <w:t>优化装备配备、</w:t>
      </w:r>
      <w:r>
        <w:rPr>
          <w:rFonts w:ascii="仿宋" w:hAnsi="仿宋" w:eastAsia="仿宋" w:cs="仿宋_GB2312"/>
          <w:color w:val="000000" w:themeColor="text1"/>
          <w:sz w:val="32"/>
          <w:szCs w:val="32"/>
          <w14:textFill>
            <w14:solidFill>
              <w14:schemeClr w14:val="tx1"/>
            </w14:solidFill>
          </w14:textFill>
        </w:rPr>
        <w:t>加强装备应用，提升检查效能。</w:t>
      </w:r>
    </w:p>
    <w:p w14:paraId="354105D4">
      <w:pPr>
        <w:numPr>
          <w:ilvl w:val="0"/>
          <w:numId w:val="1"/>
        </w:numPr>
        <w:ind w:firstLine="640" w:firstLineChars="200"/>
        <w:rPr>
          <w:rFonts w:ascii="楷体" w:hAnsi="楷体" w:eastAsia="楷体" w:cs="楷体"/>
          <w:color w:val="000000" w:themeColor="text1"/>
          <w:sz w:val="32"/>
          <w:szCs w:val="32"/>
          <w14:textFill>
            <w14:solidFill>
              <w14:schemeClr w14:val="tx1"/>
            </w14:solidFill>
          </w14:textFill>
        </w:rPr>
      </w:pPr>
      <w:r>
        <w:rPr>
          <w:rFonts w:hint="eastAsia" w:ascii="楷体" w:hAnsi="楷体" w:eastAsia="楷体" w:cs="楷体"/>
          <w:color w:val="000000" w:themeColor="text1"/>
          <w:sz w:val="32"/>
          <w:szCs w:val="32"/>
          <w14:textFill>
            <w14:solidFill>
              <w14:schemeClr w14:val="tx1"/>
            </w14:solidFill>
          </w14:textFill>
        </w:rPr>
        <w:t>注重服务指导</w:t>
      </w:r>
    </w:p>
    <w:p w14:paraId="025465D4">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坚持教育与处罚相结合、服务与管理相结合，综合运用说服教育、劝导示范、指导约谈等方式，推行全过程说理式行政检查，提高行政检查说服力和公信力。局各业务部门及执法大队聚焦企业日常环境管理痛点及难点，编制生态环境不同管理领域企业合规经营指南，帮助提升生态环境自我管理能力。</w:t>
      </w:r>
    </w:p>
    <w:p w14:paraId="3FE5E50E">
      <w:pPr>
        <w:numPr>
          <w:ilvl w:val="0"/>
          <w:numId w:val="1"/>
        </w:numPr>
        <w:ind w:firstLine="640" w:firstLineChars="200"/>
        <w:rPr>
          <w:rFonts w:ascii="楷体" w:hAnsi="楷体" w:eastAsia="楷体" w:cs="楷体"/>
          <w:color w:val="000000" w:themeColor="text1"/>
          <w:sz w:val="32"/>
          <w:szCs w:val="32"/>
          <w14:textFill>
            <w14:solidFill>
              <w14:schemeClr w14:val="tx1"/>
            </w14:solidFill>
          </w14:textFill>
        </w:rPr>
      </w:pPr>
      <w:r>
        <w:rPr>
          <w:rFonts w:hint="eastAsia" w:ascii="楷体" w:hAnsi="楷体" w:eastAsia="楷体" w:cs="楷体"/>
          <w:color w:val="000000" w:themeColor="text1"/>
          <w:sz w:val="32"/>
          <w:szCs w:val="32"/>
          <w14:textFill>
            <w14:solidFill>
              <w14:schemeClr w14:val="tx1"/>
            </w14:solidFill>
          </w14:textFill>
        </w:rPr>
        <w:t>落实检查责任</w:t>
      </w:r>
    </w:p>
    <w:p w14:paraId="5BAB1163">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行政检查人员必须坚持严的要求，认真细致开展行政检查，注重检查实效。加强对行政检查行为的检查监督，杜绝出现“打卡式”“走过场”的行政检查，扭转行政检查人员“卸责式检查”的错误观念，全面规范涉企行政检查行为。</w:t>
      </w:r>
    </w:p>
    <w:p w14:paraId="7ECBF0EA">
      <w:pPr>
        <w:numPr>
          <w:ilvl w:val="0"/>
          <w:numId w:val="1"/>
        </w:numPr>
        <w:ind w:firstLine="640" w:firstLineChars="200"/>
        <w:rPr>
          <w:rFonts w:ascii="楷体" w:hAnsi="楷体" w:eastAsia="楷体" w:cs="楷体"/>
          <w:color w:val="000000" w:themeColor="text1"/>
          <w:sz w:val="32"/>
          <w:szCs w:val="32"/>
          <w14:textFill>
            <w14:solidFill>
              <w14:schemeClr w14:val="tx1"/>
            </w14:solidFill>
          </w14:textFill>
        </w:rPr>
      </w:pPr>
      <w:r>
        <w:rPr>
          <w:rFonts w:hint="eastAsia" w:ascii="楷体" w:hAnsi="楷体" w:eastAsia="楷体" w:cs="楷体"/>
          <w:color w:val="000000" w:themeColor="text1"/>
          <w:sz w:val="32"/>
          <w:szCs w:val="32"/>
          <w14:textFill>
            <w14:solidFill>
              <w14:schemeClr w14:val="tx1"/>
            </w14:solidFill>
          </w14:textFill>
        </w:rPr>
        <w:t>持续完善机制</w:t>
      </w:r>
    </w:p>
    <w:p w14:paraId="58523614">
      <w:pPr>
        <w:ind w:firstLine="640" w:firstLineChars="200"/>
        <w:rPr>
          <w:rFonts w:ascii="仿宋" w:hAnsi="仿宋" w:eastAsia="仿宋" w:cs="仿宋_GB2312"/>
          <w:color w:val="000000" w:themeColor="text1"/>
          <w:sz w:val="32"/>
          <w:szCs w:val="32"/>
          <w14:textFill>
            <w14:solidFill>
              <w14:schemeClr w14:val="tx1"/>
            </w14:solidFill>
          </w14:textFill>
        </w:rPr>
      </w:pPr>
      <w:r>
        <w:rPr>
          <w:rFonts w:hint="eastAsia" w:ascii="仿宋" w:hAnsi="仿宋" w:eastAsia="仿宋" w:cs="仿宋_GB2312"/>
          <w:color w:val="000000" w:themeColor="text1"/>
          <w:sz w:val="32"/>
          <w:szCs w:val="32"/>
          <w14:textFill>
            <w14:solidFill>
              <w14:schemeClr w14:val="tx1"/>
            </w14:solidFill>
          </w14:textFill>
        </w:rPr>
        <w:t>重点关注涉企行政检查合法性、合理性、必要性和时效性，重点对有计划检查运用情况、跨部门联合检查情况、非现场检查情况、检查问题发现情况率，以及检查计划统筹、检查任务实施等情况开展分析自查，持续完善工作机制，全面提升涉企行政检查工作效能。</w:t>
      </w:r>
    </w:p>
    <w:p w14:paraId="2151023B">
      <w:pPr>
        <w:ind w:firstLine="640" w:firstLineChars="200"/>
        <w:rPr>
          <w:rFonts w:ascii="仿宋" w:hAnsi="仿宋" w:eastAsia="仿宋" w:cs="仿宋_GB2312"/>
          <w:color w:val="000000" w:themeColor="text1"/>
          <w:sz w:val="32"/>
          <w:szCs w:val="32"/>
          <w14:textFill>
            <w14:solidFill>
              <w14:schemeClr w14:val="tx1"/>
            </w14:solidFill>
          </w14:textFill>
        </w:rPr>
      </w:pPr>
    </w:p>
    <w:p w14:paraId="11E0845E">
      <w:pPr>
        <w:ind w:firstLine="640" w:firstLineChars="200"/>
        <w:rPr>
          <w:rFonts w:ascii="仿宋" w:hAnsi="仿宋" w:eastAsia="仿宋" w:cs="仿宋_GB2312"/>
          <w:sz w:val="32"/>
          <w:szCs w:val="32"/>
        </w:rPr>
      </w:pPr>
    </w:p>
    <w:p w14:paraId="69CE16F5">
      <w:pPr>
        <w:ind w:firstLine="640" w:firstLineChars="200"/>
        <w:rPr>
          <w:rFonts w:ascii="仿宋" w:hAnsi="仿宋" w:eastAsia="仿宋" w:cs="仿宋_GB2312"/>
          <w:sz w:val="32"/>
          <w:szCs w:val="32"/>
        </w:rPr>
      </w:pPr>
    </w:p>
    <w:p w14:paraId="4C92ACC0">
      <w:pPr>
        <w:ind w:firstLine="640" w:firstLineChars="200"/>
        <w:rPr>
          <w:rFonts w:ascii="仿宋" w:hAnsi="仿宋" w:eastAsia="仿宋" w:cs="仿宋_GB2312"/>
          <w:sz w:val="32"/>
          <w:szCs w:val="32"/>
        </w:rPr>
      </w:pPr>
    </w:p>
    <w:p w14:paraId="7D5C96C9">
      <w:pPr>
        <w:ind w:firstLine="640" w:firstLineChars="200"/>
        <w:rPr>
          <w:rFonts w:ascii="仿宋" w:hAnsi="仿宋" w:eastAsia="仿宋" w:cs="仿宋_GB2312"/>
          <w:sz w:val="32"/>
          <w:szCs w:val="32"/>
        </w:rPr>
      </w:pPr>
    </w:p>
    <w:p w14:paraId="266EE31B">
      <w:pPr>
        <w:ind w:firstLine="640" w:firstLineChars="200"/>
        <w:rPr>
          <w:rFonts w:ascii="仿宋" w:hAnsi="仿宋" w:eastAsia="仿宋" w:cs="仿宋_GB2312"/>
          <w:sz w:val="32"/>
          <w:szCs w:val="32"/>
        </w:rPr>
      </w:pPr>
    </w:p>
    <w:p w14:paraId="7F904388">
      <w:pPr>
        <w:ind w:firstLine="640" w:firstLineChars="200"/>
        <w:rPr>
          <w:rFonts w:ascii="仿宋" w:hAnsi="仿宋" w:eastAsia="仿宋" w:cs="仿宋_GB2312"/>
          <w:sz w:val="32"/>
          <w:szCs w:val="32"/>
        </w:rPr>
      </w:pPr>
    </w:p>
    <w:p w14:paraId="5A842EB4">
      <w:pPr>
        <w:ind w:firstLine="640" w:firstLineChars="200"/>
        <w:rPr>
          <w:rFonts w:ascii="仿宋" w:hAnsi="仿宋" w:eastAsia="仿宋" w:cs="仿宋_GB2312"/>
          <w:sz w:val="32"/>
          <w:szCs w:val="32"/>
        </w:rPr>
      </w:pPr>
    </w:p>
    <w:p w14:paraId="5ACCCD24">
      <w:pPr>
        <w:rPr>
          <w:rFonts w:ascii="仿宋" w:hAnsi="仿宋" w:eastAsia="仿宋" w:cs="仿宋_GB2312"/>
          <w:sz w:val="32"/>
          <w:szCs w:val="32"/>
        </w:rPr>
      </w:pPr>
    </w:p>
    <w:p w14:paraId="1C001752">
      <w:pPr>
        <w:rPr>
          <w:rFonts w:ascii="仿宋" w:hAnsi="仿宋" w:eastAsia="仿宋" w:cs="仿宋_GB2312"/>
          <w:sz w:val="32"/>
          <w:szCs w:val="32"/>
        </w:rPr>
      </w:pPr>
    </w:p>
    <w:p w14:paraId="30165FDA">
      <w:pPr>
        <w:spacing w:line="600" w:lineRule="exact"/>
        <w:rPr>
          <w:rFonts w:hint="default" w:ascii="黑体" w:eastAsia="黑体"/>
          <w:color w:val="000000"/>
          <w:sz w:val="32"/>
          <w:szCs w:val="32"/>
          <w:lang w:val="en-US" w:eastAsia="zh-CN"/>
        </w:rPr>
      </w:pPr>
      <w:r>
        <w:rPr>
          <w:rFonts w:ascii="Times New Roman" w:hAnsi="Times New Roman" w:eastAsia="黑体" w:cs="Times New Roman"/>
          <w:color w:val="000000"/>
          <w:sz w:val="28"/>
          <w:szCs w:val="32"/>
        </w:rPr>
        <w:t>公开属性：</w:t>
      </w:r>
      <w:r>
        <w:rPr>
          <w:rFonts w:hint="eastAsia" w:ascii="Times New Roman" w:hAnsi="Times New Roman" w:eastAsia="黑体" w:cs="Times New Roman"/>
          <w:color w:val="000000"/>
          <w:sz w:val="28"/>
          <w:szCs w:val="32"/>
          <w:lang w:val="en-US" w:eastAsia="zh-CN"/>
        </w:rPr>
        <w:t>主动公开</w:t>
      </w:r>
    </w:p>
    <w:p w14:paraId="6A31BA37">
      <w:pPr>
        <w:pBdr>
          <w:top w:val="single" w:color="auto" w:sz="12" w:space="0"/>
          <w:bottom w:val="single" w:color="auto" w:sz="12" w:space="1"/>
          <w:between w:val="single" w:color="auto" w:sz="6" w:space="1"/>
        </w:pBdr>
        <w:ind w:right="280"/>
        <w:jc w:val="right"/>
      </w:pPr>
      <w:r>
        <w:rPr>
          <w:rFonts w:ascii="仿宋" w:hAnsi="仿宋" w:eastAsia="仿宋" w:cs="Times New Roman"/>
          <w:color w:val="000000"/>
          <w:sz w:val="28"/>
          <w:szCs w:val="28"/>
          <w:highlight w:val="none"/>
        </w:rPr>
        <w:t>闵行区</w:t>
      </w:r>
      <w:r>
        <w:rPr>
          <w:rFonts w:hint="eastAsia" w:ascii="仿宋" w:hAnsi="仿宋" w:eastAsia="仿宋" w:cs="Times New Roman"/>
          <w:color w:val="000000"/>
          <w:sz w:val="28"/>
          <w:szCs w:val="28"/>
          <w:highlight w:val="none"/>
        </w:rPr>
        <w:t>生态环境</w:t>
      </w:r>
      <w:r>
        <w:rPr>
          <w:rFonts w:ascii="仿宋" w:hAnsi="仿宋" w:eastAsia="仿宋" w:cs="Times New Roman"/>
          <w:color w:val="000000"/>
          <w:sz w:val="28"/>
          <w:szCs w:val="28"/>
          <w:highlight w:val="none"/>
        </w:rPr>
        <w:t>局办公室</w:t>
      </w:r>
      <w:r>
        <w:rPr>
          <w:rFonts w:hint="eastAsia" w:ascii="仿宋" w:hAnsi="仿宋" w:eastAsia="仿宋" w:cs="Times New Roman"/>
          <w:color w:val="000000"/>
          <w:sz w:val="28"/>
          <w:szCs w:val="28"/>
        </w:rPr>
        <w:t xml:space="preserve">                    </w:t>
      </w:r>
      <w:r>
        <w:rPr>
          <w:rFonts w:ascii="仿宋" w:hAnsi="仿宋" w:eastAsia="仿宋" w:cs="Times New Roman"/>
          <w:color w:val="000000"/>
          <w:sz w:val="28"/>
          <w:szCs w:val="28"/>
        </w:rPr>
        <w:t>202</w:t>
      </w:r>
      <w:r>
        <w:rPr>
          <w:rFonts w:hint="eastAsia" w:ascii="仿宋" w:hAnsi="仿宋" w:eastAsia="仿宋" w:cs="Times New Roman"/>
          <w:color w:val="000000"/>
          <w:sz w:val="28"/>
          <w:szCs w:val="28"/>
          <w:lang w:val="en-US" w:eastAsia="zh-CN"/>
        </w:rPr>
        <w:t>5</w:t>
      </w:r>
      <w:r>
        <w:rPr>
          <w:rFonts w:ascii="仿宋" w:hAnsi="仿宋" w:eastAsia="仿宋" w:cs="Times New Roman"/>
          <w:color w:val="000000"/>
          <w:sz w:val="28"/>
          <w:szCs w:val="28"/>
        </w:rPr>
        <w:t>年</w:t>
      </w:r>
      <w:r>
        <w:rPr>
          <w:rFonts w:hint="eastAsia" w:ascii="仿宋" w:hAnsi="仿宋" w:eastAsia="仿宋" w:cs="Times New Roman"/>
          <w:color w:val="000000"/>
          <w:sz w:val="28"/>
          <w:szCs w:val="28"/>
          <w:lang w:val="en-US" w:eastAsia="zh-CN"/>
        </w:rPr>
        <w:t>3</w:t>
      </w:r>
      <w:r>
        <w:rPr>
          <w:rFonts w:ascii="仿宋" w:hAnsi="仿宋" w:eastAsia="仿宋" w:cs="Times New Roman"/>
          <w:color w:val="000000"/>
          <w:sz w:val="28"/>
          <w:szCs w:val="28"/>
        </w:rPr>
        <w:t>月</w:t>
      </w:r>
      <w:r>
        <w:rPr>
          <w:rFonts w:hint="eastAsia" w:ascii="仿宋" w:hAnsi="仿宋" w:eastAsia="仿宋" w:cs="Times New Roman"/>
          <w:color w:val="000000"/>
          <w:sz w:val="28"/>
          <w:szCs w:val="28"/>
          <w:highlight w:val="none"/>
          <w:lang w:val="en-US" w:eastAsia="zh-CN"/>
        </w:rPr>
        <w:t>21</w:t>
      </w:r>
      <w:r>
        <w:rPr>
          <w:rFonts w:ascii="仿宋" w:hAnsi="仿宋" w:eastAsia="仿宋" w:cs="Times New Roman"/>
          <w:color w:val="000000"/>
          <w:sz w:val="28"/>
          <w:szCs w:val="28"/>
        </w:rPr>
        <w:t>日印发</w:t>
      </w:r>
    </w:p>
    <w:p w14:paraId="6D735323">
      <w:pPr>
        <w:ind w:firstLine="640" w:firstLineChars="200"/>
        <w:rPr>
          <w:rFonts w:ascii="仿宋" w:hAnsi="仿宋" w:eastAsia="仿宋" w:cs="仿宋_GB2312"/>
          <w:sz w:val="32"/>
          <w:szCs w:val="32"/>
        </w:rPr>
      </w:pPr>
    </w:p>
    <w:sectPr>
      <w:footerReference r:id="rId3" w:type="default"/>
      <w:footerReference r:id="rId4" w:type="even"/>
      <w:pgSz w:w="11906" w:h="16838"/>
      <w:pgMar w:top="2098" w:right="1349" w:bottom="1440" w:left="1349"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6102A68-CA8C-4CF4-964B-C164A86EDF1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4C909234-D559-4605-B76E-2D83D59C02D8}"/>
  </w:font>
  <w:font w:name="方正小标宋简体">
    <w:panose1 w:val="02000000000000000000"/>
    <w:charset w:val="86"/>
    <w:family w:val="auto"/>
    <w:pitch w:val="default"/>
    <w:sig w:usb0="00000001" w:usb1="08000000" w:usb2="00000000" w:usb3="00000000" w:csb0="00040000" w:csb1="00000000"/>
    <w:embedRegular r:id="rId3" w:fontKey="{012F80B7-1D7C-4E17-B107-8223826857F0}"/>
  </w:font>
  <w:font w:name="楷体">
    <w:panose1 w:val="02010609060101010101"/>
    <w:charset w:val="86"/>
    <w:family w:val="modern"/>
    <w:pitch w:val="default"/>
    <w:sig w:usb0="800002BF" w:usb1="38CF7CFA" w:usb2="00000016" w:usb3="00000000" w:csb0="00040001" w:csb1="00000000"/>
    <w:embedRegular r:id="rId4" w:fontKey="{83A02779-3C81-4DBD-8AD0-6513018A8124}"/>
  </w:font>
  <w:font w:name="仿宋">
    <w:panose1 w:val="02010609060101010101"/>
    <w:charset w:val="86"/>
    <w:family w:val="modern"/>
    <w:pitch w:val="default"/>
    <w:sig w:usb0="800002BF" w:usb1="38CF7CFA" w:usb2="00000016" w:usb3="00000000" w:csb0="00040001" w:csb1="00000000"/>
    <w:embedRegular r:id="rId5" w:fontKey="{B6AC8DB4-397B-465A-9160-D4A569A0D857}"/>
  </w:font>
  <w:font w:name="仿宋_GB2312">
    <w:panose1 w:val="02010609030101010101"/>
    <w:charset w:val="86"/>
    <w:family w:val="modern"/>
    <w:pitch w:val="default"/>
    <w:sig w:usb0="00000001" w:usb1="080E0000" w:usb2="00000000" w:usb3="00000000" w:csb0="00040000" w:csb1="00000000"/>
    <w:embedRegular r:id="rId6" w:fontKey="{CCD56225-6159-4C80-B1E0-CE7C80B5830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sz w:val="28"/>
      </w:rPr>
      <w:id w:val="1653402703"/>
    </w:sdtPr>
    <w:sdtEndPr>
      <w:rPr>
        <w:sz w:val="28"/>
      </w:rPr>
    </w:sdtEndPr>
    <w:sdtContent>
      <w:p w14:paraId="26F86451">
        <w:pPr>
          <w:pStyle w:val="4"/>
          <w:jc w:val="right"/>
          <w:rPr>
            <w:sz w:val="28"/>
          </w:rPr>
        </w:pPr>
        <w:r>
          <w:rPr>
            <w:sz w:val="28"/>
          </w:rPr>
          <w:fldChar w:fldCharType="begin"/>
        </w:r>
        <w:r>
          <w:rPr>
            <w:sz w:val="28"/>
          </w:rPr>
          <w:instrText xml:space="preserve"> PAGE   \* MERGEFORMAT </w:instrText>
        </w:r>
        <w:r>
          <w:rPr>
            <w:sz w:val="28"/>
          </w:rPr>
          <w:fldChar w:fldCharType="separate"/>
        </w:r>
        <w:r>
          <w:rPr>
            <w:sz w:val="28"/>
            <w:lang w:val="zh-CN"/>
          </w:rPr>
          <w:t>-</w:t>
        </w:r>
        <w:r>
          <w:rPr>
            <w:sz w:val="28"/>
          </w:rPr>
          <w:t xml:space="preserve"> 1 -</w:t>
        </w:r>
        <w:r>
          <w:rPr>
            <w:sz w:val="28"/>
          </w:rPr>
          <w:fldChar w:fldCharType="end"/>
        </w:r>
      </w:p>
    </w:sdtContent>
  </w:sdt>
  <w:p w14:paraId="624CA3E4">
    <w:pPr>
      <w:pStyle w:val="4"/>
      <w:rPr>
        <w:sz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88952086"/>
    </w:sdtPr>
    <w:sdtEndPr>
      <w:rPr>
        <w:sz w:val="28"/>
      </w:rPr>
    </w:sdtEndPr>
    <w:sdtContent>
      <w:p w14:paraId="355504CB">
        <w:pPr>
          <w:pStyle w:val="4"/>
          <w:rPr>
            <w:sz w:val="28"/>
          </w:rPr>
        </w:pPr>
        <w:r>
          <w:rPr>
            <w:sz w:val="28"/>
          </w:rPr>
          <w:fldChar w:fldCharType="begin"/>
        </w:r>
        <w:r>
          <w:rPr>
            <w:sz w:val="28"/>
          </w:rPr>
          <w:instrText xml:space="preserve"> PAGE   \* MERGEFORMAT </w:instrText>
        </w:r>
        <w:r>
          <w:rPr>
            <w:sz w:val="28"/>
          </w:rPr>
          <w:fldChar w:fldCharType="separate"/>
        </w:r>
        <w:r>
          <w:rPr>
            <w:sz w:val="28"/>
            <w:lang w:val="zh-CN"/>
          </w:rPr>
          <w:t>-</w:t>
        </w:r>
        <w:r>
          <w:rPr>
            <w:sz w:val="28"/>
          </w:rPr>
          <w:t xml:space="preserve"> 8 -</w:t>
        </w:r>
        <w:r>
          <w:rPr>
            <w:sz w:val="28"/>
          </w:rPr>
          <w:fldChar w:fldCharType="end"/>
        </w:r>
      </w:p>
    </w:sdtContent>
  </w:sdt>
  <w:p w14:paraId="2DD4701C">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9B28901"/>
    <w:multiLevelType w:val="singleLevel"/>
    <w:tmpl w:val="29B28901"/>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TrueTypeFonts/>
  <w:saveSubsetFonts/>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0E58"/>
    <w:rsid w:val="00004C3F"/>
    <w:rsid w:val="0001105D"/>
    <w:rsid w:val="00011918"/>
    <w:rsid w:val="00013AF0"/>
    <w:rsid w:val="00020113"/>
    <w:rsid w:val="000211EC"/>
    <w:rsid w:val="000371D6"/>
    <w:rsid w:val="00040A88"/>
    <w:rsid w:val="00043D92"/>
    <w:rsid w:val="000470E6"/>
    <w:rsid w:val="000708D6"/>
    <w:rsid w:val="000722BD"/>
    <w:rsid w:val="00073123"/>
    <w:rsid w:val="0009725B"/>
    <w:rsid w:val="000A54E4"/>
    <w:rsid w:val="000B1D75"/>
    <w:rsid w:val="000B45F9"/>
    <w:rsid w:val="000C6A56"/>
    <w:rsid w:val="000F06F6"/>
    <w:rsid w:val="00105F2A"/>
    <w:rsid w:val="001076EF"/>
    <w:rsid w:val="001149F3"/>
    <w:rsid w:val="00123DF5"/>
    <w:rsid w:val="00131C78"/>
    <w:rsid w:val="00136BC6"/>
    <w:rsid w:val="001433FD"/>
    <w:rsid w:val="001473EE"/>
    <w:rsid w:val="00154DE8"/>
    <w:rsid w:val="00167B8F"/>
    <w:rsid w:val="001808AA"/>
    <w:rsid w:val="0019507F"/>
    <w:rsid w:val="001B7169"/>
    <w:rsid w:val="001D5BF4"/>
    <w:rsid w:val="001E09F0"/>
    <w:rsid w:val="001E7A00"/>
    <w:rsid w:val="001F1F21"/>
    <w:rsid w:val="0020182E"/>
    <w:rsid w:val="00202E2E"/>
    <w:rsid w:val="00204FA2"/>
    <w:rsid w:val="0020752D"/>
    <w:rsid w:val="00215324"/>
    <w:rsid w:val="0021624B"/>
    <w:rsid w:val="00223747"/>
    <w:rsid w:val="002267F6"/>
    <w:rsid w:val="00226921"/>
    <w:rsid w:val="00236164"/>
    <w:rsid w:val="00245EB1"/>
    <w:rsid w:val="002620CB"/>
    <w:rsid w:val="0026337C"/>
    <w:rsid w:val="0028210B"/>
    <w:rsid w:val="00283844"/>
    <w:rsid w:val="00291E46"/>
    <w:rsid w:val="002A5576"/>
    <w:rsid w:val="002A6977"/>
    <w:rsid w:val="002A72A7"/>
    <w:rsid w:val="002B0534"/>
    <w:rsid w:val="002C5233"/>
    <w:rsid w:val="002C5D94"/>
    <w:rsid w:val="002E11EC"/>
    <w:rsid w:val="002F2995"/>
    <w:rsid w:val="002F60A6"/>
    <w:rsid w:val="002F6241"/>
    <w:rsid w:val="002F6636"/>
    <w:rsid w:val="00300DA5"/>
    <w:rsid w:val="00333575"/>
    <w:rsid w:val="00344EEA"/>
    <w:rsid w:val="003578DB"/>
    <w:rsid w:val="00373299"/>
    <w:rsid w:val="00375388"/>
    <w:rsid w:val="00384890"/>
    <w:rsid w:val="00387FD2"/>
    <w:rsid w:val="003C3CDC"/>
    <w:rsid w:val="003D0D64"/>
    <w:rsid w:val="003E17D5"/>
    <w:rsid w:val="003E650F"/>
    <w:rsid w:val="003E6F19"/>
    <w:rsid w:val="003F6774"/>
    <w:rsid w:val="0040728A"/>
    <w:rsid w:val="00412D87"/>
    <w:rsid w:val="00423319"/>
    <w:rsid w:val="00431231"/>
    <w:rsid w:val="004524D2"/>
    <w:rsid w:val="00463D34"/>
    <w:rsid w:val="00465D33"/>
    <w:rsid w:val="00471996"/>
    <w:rsid w:val="0047587F"/>
    <w:rsid w:val="00487240"/>
    <w:rsid w:val="004943C4"/>
    <w:rsid w:val="004A1034"/>
    <w:rsid w:val="004A4FCD"/>
    <w:rsid w:val="004A6773"/>
    <w:rsid w:val="004C16B6"/>
    <w:rsid w:val="004D3EB9"/>
    <w:rsid w:val="004D6BF3"/>
    <w:rsid w:val="004F1BD3"/>
    <w:rsid w:val="004F3FC4"/>
    <w:rsid w:val="00504AAD"/>
    <w:rsid w:val="00506539"/>
    <w:rsid w:val="00512BCE"/>
    <w:rsid w:val="00521FA4"/>
    <w:rsid w:val="00523B4D"/>
    <w:rsid w:val="0055139B"/>
    <w:rsid w:val="00553A98"/>
    <w:rsid w:val="00565BBD"/>
    <w:rsid w:val="0057582D"/>
    <w:rsid w:val="00577C7F"/>
    <w:rsid w:val="0059281D"/>
    <w:rsid w:val="00594809"/>
    <w:rsid w:val="005A1DB2"/>
    <w:rsid w:val="005A3C60"/>
    <w:rsid w:val="005A45FF"/>
    <w:rsid w:val="005B1D27"/>
    <w:rsid w:val="005C2662"/>
    <w:rsid w:val="005C6D17"/>
    <w:rsid w:val="005C7979"/>
    <w:rsid w:val="005E3BF8"/>
    <w:rsid w:val="005F3964"/>
    <w:rsid w:val="006003F2"/>
    <w:rsid w:val="0060053D"/>
    <w:rsid w:val="006157D1"/>
    <w:rsid w:val="00615924"/>
    <w:rsid w:val="00617348"/>
    <w:rsid w:val="006204A6"/>
    <w:rsid w:val="006213E3"/>
    <w:rsid w:val="0062725B"/>
    <w:rsid w:val="006324A3"/>
    <w:rsid w:val="00644EF5"/>
    <w:rsid w:val="006467C3"/>
    <w:rsid w:val="006471C9"/>
    <w:rsid w:val="00647FD4"/>
    <w:rsid w:val="00664962"/>
    <w:rsid w:val="00684AB4"/>
    <w:rsid w:val="00686AA5"/>
    <w:rsid w:val="00695398"/>
    <w:rsid w:val="00695612"/>
    <w:rsid w:val="00695C49"/>
    <w:rsid w:val="00696778"/>
    <w:rsid w:val="00697F62"/>
    <w:rsid w:val="006A125B"/>
    <w:rsid w:val="006A3509"/>
    <w:rsid w:val="006B05C1"/>
    <w:rsid w:val="006B216C"/>
    <w:rsid w:val="006B2AAD"/>
    <w:rsid w:val="006C11B2"/>
    <w:rsid w:val="006C3770"/>
    <w:rsid w:val="006C41F5"/>
    <w:rsid w:val="006D0292"/>
    <w:rsid w:val="006E1245"/>
    <w:rsid w:val="006E593B"/>
    <w:rsid w:val="006E59B4"/>
    <w:rsid w:val="006E7A2D"/>
    <w:rsid w:val="006F293B"/>
    <w:rsid w:val="006F7022"/>
    <w:rsid w:val="007007E6"/>
    <w:rsid w:val="0070229E"/>
    <w:rsid w:val="00707E0A"/>
    <w:rsid w:val="00720348"/>
    <w:rsid w:val="007334DD"/>
    <w:rsid w:val="007350A1"/>
    <w:rsid w:val="0073609A"/>
    <w:rsid w:val="00746778"/>
    <w:rsid w:val="00761717"/>
    <w:rsid w:val="0077492F"/>
    <w:rsid w:val="00780C25"/>
    <w:rsid w:val="007843BD"/>
    <w:rsid w:val="007860E5"/>
    <w:rsid w:val="007963F9"/>
    <w:rsid w:val="007A2E92"/>
    <w:rsid w:val="007B2D1F"/>
    <w:rsid w:val="007B57F3"/>
    <w:rsid w:val="007C1A74"/>
    <w:rsid w:val="007C2127"/>
    <w:rsid w:val="007C4E09"/>
    <w:rsid w:val="007C63E3"/>
    <w:rsid w:val="007C6D21"/>
    <w:rsid w:val="007D0C69"/>
    <w:rsid w:val="007D356F"/>
    <w:rsid w:val="007D4038"/>
    <w:rsid w:val="007F37F9"/>
    <w:rsid w:val="00804676"/>
    <w:rsid w:val="00807CB4"/>
    <w:rsid w:val="00811AFF"/>
    <w:rsid w:val="00813032"/>
    <w:rsid w:val="00813159"/>
    <w:rsid w:val="00816FD8"/>
    <w:rsid w:val="008272BB"/>
    <w:rsid w:val="00831BBE"/>
    <w:rsid w:val="0083503D"/>
    <w:rsid w:val="0084258B"/>
    <w:rsid w:val="00852078"/>
    <w:rsid w:val="00853C6C"/>
    <w:rsid w:val="008549A3"/>
    <w:rsid w:val="00857EA3"/>
    <w:rsid w:val="008665B6"/>
    <w:rsid w:val="00886128"/>
    <w:rsid w:val="00887365"/>
    <w:rsid w:val="008938AA"/>
    <w:rsid w:val="0089443D"/>
    <w:rsid w:val="0089570D"/>
    <w:rsid w:val="00896C67"/>
    <w:rsid w:val="008A0E8B"/>
    <w:rsid w:val="008A0FD0"/>
    <w:rsid w:val="008A160E"/>
    <w:rsid w:val="008B0064"/>
    <w:rsid w:val="008B53CD"/>
    <w:rsid w:val="008C2F9A"/>
    <w:rsid w:val="008C6EE6"/>
    <w:rsid w:val="008C7BB4"/>
    <w:rsid w:val="008D480B"/>
    <w:rsid w:val="00902B00"/>
    <w:rsid w:val="00917B67"/>
    <w:rsid w:val="0092015B"/>
    <w:rsid w:val="00920348"/>
    <w:rsid w:val="009229D4"/>
    <w:rsid w:val="0092628E"/>
    <w:rsid w:val="00932C9C"/>
    <w:rsid w:val="009540F9"/>
    <w:rsid w:val="009849DC"/>
    <w:rsid w:val="00987F3B"/>
    <w:rsid w:val="009A4B1D"/>
    <w:rsid w:val="009B0208"/>
    <w:rsid w:val="009B68AE"/>
    <w:rsid w:val="009C4341"/>
    <w:rsid w:val="009D05BA"/>
    <w:rsid w:val="009D35C6"/>
    <w:rsid w:val="009E2874"/>
    <w:rsid w:val="009E2F64"/>
    <w:rsid w:val="009F45D9"/>
    <w:rsid w:val="00A0065B"/>
    <w:rsid w:val="00A0545D"/>
    <w:rsid w:val="00A15DC0"/>
    <w:rsid w:val="00A279DA"/>
    <w:rsid w:val="00A40197"/>
    <w:rsid w:val="00A40E4F"/>
    <w:rsid w:val="00A40F44"/>
    <w:rsid w:val="00A50081"/>
    <w:rsid w:val="00A5034E"/>
    <w:rsid w:val="00A513AF"/>
    <w:rsid w:val="00A60117"/>
    <w:rsid w:val="00A80604"/>
    <w:rsid w:val="00A922FD"/>
    <w:rsid w:val="00AA05F5"/>
    <w:rsid w:val="00AA2DB7"/>
    <w:rsid w:val="00AA42CB"/>
    <w:rsid w:val="00AA5631"/>
    <w:rsid w:val="00AB17FE"/>
    <w:rsid w:val="00AB299A"/>
    <w:rsid w:val="00AC2756"/>
    <w:rsid w:val="00AC5DF8"/>
    <w:rsid w:val="00AE00A8"/>
    <w:rsid w:val="00B02AC5"/>
    <w:rsid w:val="00B27C5C"/>
    <w:rsid w:val="00B312E6"/>
    <w:rsid w:val="00B32142"/>
    <w:rsid w:val="00B35947"/>
    <w:rsid w:val="00B3729F"/>
    <w:rsid w:val="00B4141F"/>
    <w:rsid w:val="00B43066"/>
    <w:rsid w:val="00B47DD6"/>
    <w:rsid w:val="00B57369"/>
    <w:rsid w:val="00B57DE4"/>
    <w:rsid w:val="00B65C8F"/>
    <w:rsid w:val="00B77264"/>
    <w:rsid w:val="00B77978"/>
    <w:rsid w:val="00B977D2"/>
    <w:rsid w:val="00BB2126"/>
    <w:rsid w:val="00BB3CCC"/>
    <w:rsid w:val="00BB4AB5"/>
    <w:rsid w:val="00BC0D4D"/>
    <w:rsid w:val="00BC2295"/>
    <w:rsid w:val="00BD06FF"/>
    <w:rsid w:val="00BD2C74"/>
    <w:rsid w:val="00BE1859"/>
    <w:rsid w:val="00BE29D9"/>
    <w:rsid w:val="00BE38B1"/>
    <w:rsid w:val="00BE60B9"/>
    <w:rsid w:val="00BF14DA"/>
    <w:rsid w:val="00BF379D"/>
    <w:rsid w:val="00BF48B5"/>
    <w:rsid w:val="00BF558D"/>
    <w:rsid w:val="00C033AE"/>
    <w:rsid w:val="00C03BFB"/>
    <w:rsid w:val="00C04814"/>
    <w:rsid w:val="00C05FCB"/>
    <w:rsid w:val="00C1216B"/>
    <w:rsid w:val="00C259C3"/>
    <w:rsid w:val="00C278CE"/>
    <w:rsid w:val="00C31CCF"/>
    <w:rsid w:val="00C50E58"/>
    <w:rsid w:val="00C512BB"/>
    <w:rsid w:val="00C53C18"/>
    <w:rsid w:val="00C568FC"/>
    <w:rsid w:val="00C607F1"/>
    <w:rsid w:val="00C6690E"/>
    <w:rsid w:val="00C67541"/>
    <w:rsid w:val="00C76955"/>
    <w:rsid w:val="00C822F2"/>
    <w:rsid w:val="00C922B9"/>
    <w:rsid w:val="00C92903"/>
    <w:rsid w:val="00C95D59"/>
    <w:rsid w:val="00CC1162"/>
    <w:rsid w:val="00CC597C"/>
    <w:rsid w:val="00CF0D64"/>
    <w:rsid w:val="00CF156A"/>
    <w:rsid w:val="00CF1A15"/>
    <w:rsid w:val="00CF7C69"/>
    <w:rsid w:val="00D13D09"/>
    <w:rsid w:val="00D150F5"/>
    <w:rsid w:val="00D30759"/>
    <w:rsid w:val="00D33BE6"/>
    <w:rsid w:val="00D35C94"/>
    <w:rsid w:val="00D46466"/>
    <w:rsid w:val="00D65951"/>
    <w:rsid w:val="00D71391"/>
    <w:rsid w:val="00D72011"/>
    <w:rsid w:val="00D76D29"/>
    <w:rsid w:val="00D851A3"/>
    <w:rsid w:val="00D92F1F"/>
    <w:rsid w:val="00DB45B6"/>
    <w:rsid w:val="00DC1315"/>
    <w:rsid w:val="00DC3B92"/>
    <w:rsid w:val="00DC5BC5"/>
    <w:rsid w:val="00DD63C4"/>
    <w:rsid w:val="00DE0B5D"/>
    <w:rsid w:val="00DE4EA2"/>
    <w:rsid w:val="00DE5606"/>
    <w:rsid w:val="00DE5E60"/>
    <w:rsid w:val="00E00CBE"/>
    <w:rsid w:val="00E0122D"/>
    <w:rsid w:val="00E01579"/>
    <w:rsid w:val="00E10A98"/>
    <w:rsid w:val="00E26710"/>
    <w:rsid w:val="00E37639"/>
    <w:rsid w:val="00E43675"/>
    <w:rsid w:val="00E43876"/>
    <w:rsid w:val="00E45611"/>
    <w:rsid w:val="00E57269"/>
    <w:rsid w:val="00E727C0"/>
    <w:rsid w:val="00E8013E"/>
    <w:rsid w:val="00E8491F"/>
    <w:rsid w:val="00E86722"/>
    <w:rsid w:val="00EA5B4E"/>
    <w:rsid w:val="00EB6B21"/>
    <w:rsid w:val="00EC08BC"/>
    <w:rsid w:val="00ED6B00"/>
    <w:rsid w:val="00ED75CF"/>
    <w:rsid w:val="00EF4AB4"/>
    <w:rsid w:val="00EF5A40"/>
    <w:rsid w:val="00F04E79"/>
    <w:rsid w:val="00F10B34"/>
    <w:rsid w:val="00F11FF3"/>
    <w:rsid w:val="00F1323A"/>
    <w:rsid w:val="00F22FA4"/>
    <w:rsid w:val="00F355F8"/>
    <w:rsid w:val="00F36541"/>
    <w:rsid w:val="00F37C39"/>
    <w:rsid w:val="00F57B92"/>
    <w:rsid w:val="00F604EB"/>
    <w:rsid w:val="00F61E52"/>
    <w:rsid w:val="00F63058"/>
    <w:rsid w:val="00F73441"/>
    <w:rsid w:val="00F73DF4"/>
    <w:rsid w:val="00F77070"/>
    <w:rsid w:val="00F80ACB"/>
    <w:rsid w:val="00F86B8E"/>
    <w:rsid w:val="00F90706"/>
    <w:rsid w:val="00F95B1D"/>
    <w:rsid w:val="00FA645D"/>
    <w:rsid w:val="00FA6EBD"/>
    <w:rsid w:val="00FC04DF"/>
    <w:rsid w:val="00FC41EF"/>
    <w:rsid w:val="00FD049A"/>
    <w:rsid w:val="00FD5232"/>
    <w:rsid w:val="00FE1E73"/>
    <w:rsid w:val="00FE27E4"/>
    <w:rsid w:val="012A6BDB"/>
    <w:rsid w:val="01B34E22"/>
    <w:rsid w:val="02300221"/>
    <w:rsid w:val="024A0BB7"/>
    <w:rsid w:val="05393890"/>
    <w:rsid w:val="065D710A"/>
    <w:rsid w:val="07A50D69"/>
    <w:rsid w:val="09C50D77"/>
    <w:rsid w:val="0AC27E84"/>
    <w:rsid w:val="0AC41E4E"/>
    <w:rsid w:val="0AE147AE"/>
    <w:rsid w:val="0B64718D"/>
    <w:rsid w:val="0E2D3866"/>
    <w:rsid w:val="0EB6385C"/>
    <w:rsid w:val="0F822A6D"/>
    <w:rsid w:val="0FEA282E"/>
    <w:rsid w:val="11537A88"/>
    <w:rsid w:val="11544259"/>
    <w:rsid w:val="11627020"/>
    <w:rsid w:val="12EB3CF0"/>
    <w:rsid w:val="13545D39"/>
    <w:rsid w:val="136523E1"/>
    <w:rsid w:val="137B0412"/>
    <w:rsid w:val="141259D8"/>
    <w:rsid w:val="14B95E54"/>
    <w:rsid w:val="14BE009A"/>
    <w:rsid w:val="15657D89"/>
    <w:rsid w:val="156C736A"/>
    <w:rsid w:val="15DA2525"/>
    <w:rsid w:val="16C34F91"/>
    <w:rsid w:val="16E83872"/>
    <w:rsid w:val="16EB4C16"/>
    <w:rsid w:val="18A00668"/>
    <w:rsid w:val="19E43C7A"/>
    <w:rsid w:val="19F85670"/>
    <w:rsid w:val="1A2B0238"/>
    <w:rsid w:val="1AF5395E"/>
    <w:rsid w:val="1B675DC1"/>
    <w:rsid w:val="1B9B6A8A"/>
    <w:rsid w:val="1D0205B4"/>
    <w:rsid w:val="1EE33360"/>
    <w:rsid w:val="1F130856"/>
    <w:rsid w:val="1F627161"/>
    <w:rsid w:val="206C46C2"/>
    <w:rsid w:val="20C51B0E"/>
    <w:rsid w:val="212B00D9"/>
    <w:rsid w:val="215A276C"/>
    <w:rsid w:val="21701F90"/>
    <w:rsid w:val="22AF609F"/>
    <w:rsid w:val="23AA31C0"/>
    <w:rsid w:val="27165388"/>
    <w:rsid w:val="277F4CDB"/>
    <w:rsid w:val="298046FC"/>
    <w:rsid w:val="29905BE5"/>
    <w:rsid w:val="29CC1D35"/>
    <w:rsid w:val="2AD664A6"/>
    <w:rsid w:val="2BCE7FDF"/>
    <w:rsid w:val="2DCE2518"/>
    <w:rsid w:val="2DD9710F"/>
    <w:rsid w:val="2E1B7727"/>
    <w:rsid w:val="2E2A34C6"/>
    <w:rsid w:val="2F61116A"/>
    <w:rsid w:val="31014425"/>
    <w:rsid w:val="31833619"/>
    <w:rsid w:val="31A737AC"/>
    <w:rsid w:val="322A698C"/>
    <w:rsid w:val="3255145A"/>
    <w:rsid w:val="32894C60"/>
    <w:rsid w:val="333472C1"/>
    <w:rsid w:val="33C63C91"/>
    <w:rsid w:val="342502AB"/>
    <w:rsid w:val="35C10BB4"/>
    <w:rsid w:val="372E3528"/>
    <w:rsid w:val="386F66A6"/>
    <w:rsid w:val="39F03816"/>
    <w:rsid w:val="3A35391F"/>
    <w:rsid w:val="3B673FAC"/>
    <w:rsid w:val="3B94119D"/>
    <w:rsid w:val="3D2F0AF9"/>
    <w:rsid w:val="3D6A7D83"/>
    <w:rsid w:val="3DC92CFC"/>
    <w:rsid w:val="3F0E447E"/>
    <w:rsid w:val="3FDF05B5"/>
    <w:rsid w:val="3FE67B95"/>
    <w:rsid w:val="3FEC4A80"/>
    <w:rsid w:val="40752CC7"/>
    <w:rsid w:val="40D2705F"/>
    <w:rsid w:val="43B14016"/>
    <w:rsid w:val="44890AEF"/>
    <w:rsid w:val="45CE5353"/>
    <w:rsid w:val="462211FB"/>
    <w:rsid w:val="46DC75FC"/>
    <w:rsid w:val="4A1E7F2C"/>
    <w:rsid w:val="4A5676C5"/>
    <w:rsid w:val="4AA5064D"/>
    <w:rsid w:val="4AE9678B"/>
    <w:rsid w:val="4AF518F4"/>
    <w:rsid w:val="4C3C28EB"/>
    <w:rsid w:val="4C551F09"/>
    <w:rsid w:val="4CF84A64"/>
    <w:rsid w:val="4D942922"/>
    <w:rsid w:val="4DAD1CF2"/>
    <w:rsid w:val="4E557C94"/>
    <w:rsid w:val="4E686830"/>
    <w:rsid w:val="4ED92673"/>
    <w:rsid w:val="4EDA48BD"/>
    <w:rsid w:val="4EFD2805"/>
    <w:rsid w:val="51864D34"/>
    <w:rsid w:val="51984A67"/>
    <w:rsid w:val="523C53F3"/>
    <w:rsid w:val="54891BE5"/>
    <w:rsid w:val="55630EE8"/>
    <w:rsid w:val="55A21A11"/>
    <w:rsid w:val="56025F2F"/>
    <w:rsid w:val="56297DDC"/>
    <w:rsid w:val="5697353F"/>
    <w:rsid w:val="57A75A04"/>
    <w:rsid w:val="57D1518C"/>
    <w:rsid w:val="586E6522"/>
    <w:rsid w:val="59C22E50"/>
    <w:rsid w:val="5B100064"/>
    <w:rsid w:val="5DEF3C61"/>
    <w:rsid w:val="5E315E1D"/>
    <w:rsid w:val="5EC0115A"/>
    <w:rsid w:val="5ED15115"/>
    <w:rsid w:val="60C24526"/>
    <w:rsid w:val="60C459A3"/>
    <w:rsid w:val="617821BF"/>
    <w:rsid w:val="62AD7C47"/>
    <w:rsid w:val="639A641D"/>
    <w:rsid w:val="63DE27AE"/>
    <w:rsid w:val="65437311"/>
    <w:rsid w:val="6557243B"/>
    <w:rsid w:val="65B25CA0"/>
    <w:rsid w:val="66822FE3"/>
    <w:rsid w:val="66E0683D"/>
    <w:rsid w:val="67423054"/>
    <w:rsid w:val="67753429"/>
    <w:rsid w:val="67A23AF2"/>
    <w:rsid w:val="68776D2D"/>
    <w:rsid w:val="68B97345"/>
    <w:rsid w:val="69713A6A"/>
    <w:rsid w:val="6AD246EE"/>
    <w:rsid w:val="6AE368FC"/>
    <w:rsid w:val="6B0A3E88"/>
    <w:rsid w:val="6BAB7B01"/>
    <w:rsid w:val="6CEB1A97"/>
    <w:rsid w:val="6D205BE5"/>
    <w:rsid w:val="6D390A55"/>
    <w:rsid w:val="6E9D1B01"/>
    <w:rsid w:val="6F451933"/>
    <w:rsid w:val="70291255"/>
    <w:rsid w:val="704C0A9F"/>
    <w:rsid w:val="71632544"/>
    <w:rsid w:val="7207360B"/>
    <w:rsid w:val="72CB65F3"/>
    <w:rsid w:val="764364A0"/>
    <w:rsid w:val="76E9529A"/>
    <w:rsid w:val="774921DC"/>
    <w:rsid w:val="77862AE9"/>
    <w:rsid w:val="77935205"/>
    <w:rsid w:val="77AD4519"/>
    <w:rsid w:val="77B4200E"/>
    <w:rsid w:val="787D605D"/>
    <w:rsid w:val="79B019D0"/>
    <w:rsid w:val="7BF10F58"/>
    <w:rsid w:val="7D080444"/>
    <w:rsid w:val="7D172435"/>
    <w:rsid w:val="7D1D26DC"/>
    <w:rsid w:val="7D252DA4"/>
    <w:rsid w:val="7D480F11"/>
    <w:rsid w:val="7D697134"/>
    <w:rsid w:val="7EDB7BBE"/>
    <w:rsid w:val="7F985A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4"/>
    <w:semiHidden/>
    <w:unhideWhenUsed/>
    <w:qFormat/>
    <w:uiPriority w:val="99"/>
    <w:pPr>
      <w:jc w:val="left"/>
    </w:pPr>
  </w:style>
  <w:style w:type="paragraph" w:styleId="3">
    <w:name w:val="Balloon Text"/>
    <w:basedOn w:val="1"/>
    <w:link w:val="13"/>
    <w:semiHidden/>
    <w:unhideWhenUsed/>
    <w:qFormat/>
    <w:uiPriority w:val="99"/>
    <w:rPr>
      <w:sz w:val="18"/>
      <w:szCs w:val="18"/>
    </w:rPr>
  </w:style>
  <w:style w:type="paragraph" w:styleId="4">
    <w:name w:val="footer"/>
    <w:basedOn w:val="1"/>
    <w:link w:val="12"/>
    <w:unhideWhenUsed/>
    <w:qFormat/>
    <w:uiPriority w:val="99"/>
    <w:pPr>
      <w:tabs>
        <w:tab w:val="center" w:pos="4153"/>
        <w:tab w:val="right" w:pos="8306"/>
      </w:tabs>
      <w:snapToGrid w:val="0"/>
      <w:jc w:val="left"/>
    </w:pPr>
    <w:rPr>
      <w:sz w:val="18"/>
      <w:szCs w:val="18"/>
    </w:rPr>
  </w:style>
  <w:style w:type="paragraph" w:styleId="5">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5"/>
    <w:semiHidden/>
    <w:unhideWhenUsed/>
    <w:qFormat/>
    <w:uiPriority w:val="99"/>
    <w:rPr>
      <w:b/>
      <w:bCs/>
    </w:rPr>
  </w:style>
  <w:style w:type="character" w:styleId="9">
    <w:name w:val="Hyperlink"/>
    <w:basedOn w:val="8"/>
    <w:unhideWhenUsed/>
    <w:qFormat/>
    <w:uiPriority w:val="99"/>
    <w:rPr>
      <w:color w:val="0000FF" w:themeColor="hyperlink"/>
      <w:u w:val="single"/>
      <w14:textFill>
        <w14:solidFill>
          <w14:schemeClr w14:val="hlink"/>
        </w14:solidFill>
      </w14:textFill>
    </w:rPr>
  </w:style>
  <w:style w:type="character" w:styleId="10">
    <w:name w:val="annotation reference"/>
    <w:basedOn w:val="8"/>
    <w:semiHidden/>
    <w:unhideWhenUsed/>
    <w:qFormat/>
    <w:uiPriority w:val="99"/>
    <w:rPr>
      <w:sz w:val="21"/>
      <w:szCs w:val="21"/>
    </w:rPr>
  </w:style>
  <w:style w:type="character" w:customStyle="1" w:styleId="11">
    <w:name w:val="页眉 Char"/>
    <w:basedOn w:val="8"/>
    <w:link w:val="5"/>
    <w:qFormat/>
    <w:uiPriority w:val="99"/>
    <w:rPr>
      <w:sz w:val="18"/>
      <w:szCs w:val="18"/>
    </w:rPr>
  </w:style>
  <w:style w:type="character" w:customStyle="1" w:styleId="12">
    <w:name w:val="页脚 Char"/>
    <w:basedOn w:val="8"/>
    <w:link w:val="4"/>
    <w:qFormat/>
    <w:uiPriority w:val="99"/>
    <w:rPr>
      <w:sz w:val="18"/>
      <w:szCs w:val="18"/>
    </w:rPr>
  </w:style>
  <w:style w:type="character" w:customStyle="1" w:styleId="13">
    <w:name w:val="批注框文本 Char"/>
    <w:basedOn w:val="8"/>
    <w:link w:val="3"/>
    <w:semiHidden/>
    <w:qFormat/>
    <w:uiPriority w:val="99"/>
    <w:rPr>
      <w:sz w:val="18"/>
      <w:szCs w:val="18"/>
    </w:rPr>
  </w:style>
  <w:style w:type="character" w:customStyle="1" w:styleId="14">
    <w:name w:val="批注文字 Char"/>
    <w:basedOn w:val="8"/>
    <w:link w:val="2"/>
    <w:semiHidden/>
    <w:qFormat/>
    <w:uiPriority w:val="99"/>
    <w:rPr>
      <w:kern w:val="2"/>
      <w:sz w:val="21"/>
      <w:szCs w:val="22"/>
    </w:rPr>
  </w:style>
  <w:style w:type="character" w:customStyle="1" w:styleId="15">
    <w:name w:val="批注主题 Char"/>
    <w:basedOn w:val="14"/>
    <w:link w:val="6"/>
    <w:semiHidden/>
    <w:qFormat/>
    <w:uiPriority w:val="99"/>
    <w:rPr>
      <w:b/>
      <w:bCs/>
      <w:kern w:val="2"/>
      <w:sz w:val="21"/>
      <w:szCs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iTianKong.com</Company>
  <Pages>9</Pages>
  <Words>3780</Words>
  <Characters>3793</Characters>
  <Lines>27</Lines>
  <Paragraphs>7</Paragraphs>
  <TotalTime>1</TotalTime>
  <ScaleCrop>false</ScaleCrop>
  <LinksUpToDate>false</LinksUpToDate>
  <CharactersWithSpaces>3793</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2025-02-26T09:32:00Z</dcterms:created>
  <dc:creator>谢红梅</dc:creator>
  <cp:lastModifiedBy>安妮</cp:lastModifiedBy>
  <cp:lastPrinted>2025-02-26T07:21:00Z</cp:lastPrinted>
  <dcterms:modified xsi:type="dcterms:W3CDTF">2025-03-21T03:14:29Z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F9571A254CC144E787A1EB5D20268A85_12</vt:lpwstr>
  </property>
</Properties>
</file>