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156" w:beforeLines="50" w:after="156" w:afterLines="50" w:line="560" w:lineRule="exact"/>
        <w:jc w:val="center"/>
        <w:textAlignment w:val="auto"/>
        <w:rPr>
          <w:rFonts w:ascii="方正小标宋简体" w:hAnsi="方正小标宋简体" w:eastAsia="方正小标宋简体" w:cs="方正小标宋简体"/>
          <w:color w:val="auto"/>
          <w:w w:val="90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auto"/>
          <w:w w:val="90"/>
          <w:sz w:val="44"/>
          <w:szCs w:val="44"/>
          <w:highlight w:val="none"/>
        </w:rPr>
        <w:t>闵行区关于加快推进游戏产业高质量发展的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156" w:beforeLines="50" w:after="156" w:afterLines="50" w:line="560" w:lineRule="exact"/>
        <w:jc w:val="center"/>
        <w:textAlignment w:val="auto"/>
        <w:rPr>
          <w:rFonts w:ascii="方正小标宋简体" w:hAnsi="方正小标宋简体" w:eastAsia="方正小标宋简体" w:cs="方正小标宋简体"/>
          <w:color w:val="auto"/>
          <w:w w:val="90"/>
          <w:sz w:val="44"/>
          <w:szCs w:val="44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color w:val="auto"/>
          <w:w w:val="90"/>
          <w:sz w:val="44"/>
          <w:szCs w:val="44"/>
          <w:highlight w:val="none"/>
        </w:rPr>
        <w:t>专项政策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after="156" w:afterLines="50" w:line="560" w:lineRule="exact"/>
        <w:jc w:val="center"/>
        <w:textAlignment w:val="auto"/>
        <w:rPr>
          <w:rFonts w:ascii="楷体" w:hAnsi="楷体" w:eastAsia="楷体" w:cs="楷体"/>
          <w:color w:val="auto"/>
          <w:sz w:val="32"/>
          <w:szCs w:val="32"/>
          <w:highlight w:val="none"/>
        </w:rPr>
      </w:pPr>
      <w:r>
        <w:rPr>
          <w:rFonts w:hint="eastAsia" w:ascii="楷体" w:hAnsi="楷体" w:eastAsia="楷体" w:cs="楷体"/>
          <w:color w:val="auto"/>
          <w:sz w:val="32"/>
          <w:szCs w:val="32"/>
          <w:highlight w:val="none"/>
        </w:rPr>
        <w:t>（征求意见稿）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textAlignment w:val="auto"/>
        <w:rPr>
          <w:rFonts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为深入贯彻党的二十大和二十届二中、三中全会精神，更好落实《文化和旅游部关于推动数字文化产业高质量发展的意见》《国务院关于促进服务消费高质量发展的意见》《上海市贯彻落实国家文化数字化战略的实施方案》等文件部署，补齐我区游戏产业政策短板，更好服务游戏产业高质量发展，助推形成良好游戏产业生态氛围，特制定本政策意见。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1"/>
        <w:textAlignment w:val="auto"/>
        <w:rPr>
          <w:rFonts w:hAnsi="仿宋_GB2312" w:cs="仿宋_GB2312"/>
          <w:color w:val="auto"/>
          <w:szCs w:val="32"/>
          <w:highlight w:val="none"/>
        </w:rPr>
      </w:pPr>
      <w:r>
        <w:rPr>
          <w:rFonts w:hint="eastAsia" w:hAnsi="仿宋_GB2312" w:cs="仿宋_GB2312"/>
          <w:b/>
          <w:bCs/>
          <w:color w:val="auto"/>
          <w:szCs w:val="32"/>
          <w:highlight w:val="none"/>
        </w:rPr>
        <w:t>1.支持打造高质量游戏产业</w:t>
      </w:r>
      <w:bookmarkStart w:id="0" w:name="_GoBack"/>
      <w:bookmarkEnd w:id="0"/>
      <w:r>
        <w:rPr>
          <w:rFonts w:hint="eastAsia" w:hAnsi="仿宋_GB2312" w:cs="仿宋_GB2312"/>
          <w:b/>
          <w:bCs/>
          <w:color w:val="auto"/>
          <w:szCs w:val="32"/>
          <w:highlight w:val="none"/>
        </w:rPr>
        <w:t>孵化空间。</w:t>
      </w:r>
      <w:r>
        <w:rPr>
          <w:rFonts w:hint="eastAsia" w:hAnsi="仿宋_GB2312" w:cs="仿宋_GB2312"/>
          <w:color w:val="auto"/>
          <w:szCs w:val="32"/>
          <w:highlight w:val="none"/>
        </w:rPr>
        <w:t>着力推动游戏产业集聚发展，构建完善游戏产业链，助力游戏产业高质量发展。</w:t>
      </w:r>
      <w:r>
        <w:rPr>
          <w:rFonts w:hint="eastAsia"/>
          <w:color w:val="auto"/>
          <w:szCs w:val="32"/>
          <w:highlight w:val="none"/>
        </w:rPr>
        <w:t>对游戏孵化空间，建筑面积500平方米及以上、投资额100万元及以上，且入驻的游戏企业15家及以上的，按其建设总投入的50%给予补贴，上限500万元。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textAlignment w:val="auto"/>
        <w:rPr>
          <w:rFonts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</w:rPr>
        <w:t>2.提升游戏产业孵化空间服务能力。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鼓励游戏孵化空间做好产业资源对接、创业服务、创新推动、项目培育等工作，构建产业生态，激发游戏产业活力。综合参考入驻企业数量、年度营业收入、开展服务活动等指标完成情况，每年对孵化空间开展绩效评估，根据年度评估结果优秀、良好、合格，分别给予孵化空间运营机构500万元、300万元、合格100万元奖励。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textAlignment w:val="auto"/>
        <w:rPr>
          <w:rFonts w:hAnsi="仿宋_GB2312" w:cs="仿宋_GB2312"/>
          <w:color w:val="auto"/>
          <w:szCs w:val="32"/>
          <w:highlight w:val="none"/>
        </w:rPr>
      </w:pPr>
      <w:r>
        <w:rPr>
          <w:rFonts w:hint="eastAsia" w:hAnsi="仿宋_GB2312" w:cs="仿宋_GB2312"/>
          <w:b/>
          <w:bCs/>
          <w:color w:val="auto"/>
          <w:szCs w:val="32"/>
          <w:highlight w:val="none"/>
        </w:rPr>
        <w:t>3.鼓励游戏企业集聚发展。</w:t>
      </w:r>
      <w:r>
        <w:rPr>
          <w:rFonts w:hint="eastAsia" w:hAnsi="仿宋_GB2312" w:cs="仿宋_GB2312"/>
          <w:color w:val="auto"/>
          <w:szCs w:val="32"/>
          <w:highlight w:val="none"/>
        </w:rPr>
        <w:t>鼓励游戏、电竞等游戏小微企业、创业团队以及游戏发行、创意设计、版权服务等专业服务机构入驻游戏产业孵化空间。对入驻游戏产业孵化空间注册</w:t>
      </w:r>
      <w:r>
        <w:rPr>
          <w:rFonts w:hint="eastAsia" w:hAnsi="仿宋_GB2312" w:cs="仿宋_GB2312"/>
          <w:color w:val="auto"/>
          <w:szCs w:val="32"/>
          <w:highlight w:val="none"/>
          <w:lang w:eastAsia="zh-CN"/>
        </w:rPr>
        <w:t>且</w:t>
      </w:r>
      <w:r>
        <w:rPr>
          <w:rFonts w:hint="eastAsia" w:hAnsi="仿宋_GB2312" w:cs="仿宋_GB2312"/>
          <w:color w:val="auto"/>
          <w:szCs w:val="32"/>
          <w:highlight w:val="none"/>
        </w:rPr>
        <w:t>经营满一年且吸纳就业人员3人及以上的</w:t>
      </w:r>
      <w:r>
        <w:rPr>
          <w:rFonts w:hint="eastAsia" w:hAnsi="仿宋_GB2312" w:cs="仿宋_GB2312"/>
          <w:color w:val="auto"/>
          <w:szCs w:val="32"/>
          <w:highlight w:val="none"/>
          <w:lang w:eastAsia="zh-CN"/>
        </w:rPr>
        <w:t>企业</w:t>
      </w:r>
      <w:r>
        <w:rPr>
          <w:rFonts w:hint="eastAsia" w:hAnsi="仿宋_GB2312" w:cs="仿宋_GB2312"/>
          <w:color w:val="auto"/>
          <w:szCs w:val="32"/>
          <w:highlight w:val="none"/>
        </w:rPr>
        <w:t>，给予20万元一次性资金支持。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</w:rPr>
        <w:t>4.支持游戏企业加大研发投入。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鼓励利用人工智能生成内容（AIGC）、元宇宙、云计算等关键技术，赋能游戏产业新质生产力发展，提高游戏产品供给水平。对企业开展原创游戏产品研发，给予不超过研发总投入30%，上限</w:t>
      </w:r>
      <w:r>
        <w:rPr>
          <w:rFonts w:ascii="仿宋_GB2312" w:hAnsi="仿宋_GB2312" w:eastAsia="仿宋_GB2312" w:cs="仿宋_GB2312"/>
          <w:color w:val="auto"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00万元的研发补贴。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textAlignment w:val="auto"/>
        <w:rPr>
          <w:rFonts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</w:rPr>
        <w:t>5.支持游戏产品上线发行。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鼓励企业发行上线运营具有国内外影响力的原创游戏产品，提升闵行游戏产品显示度。对获得国家新闻出版署审批通过游戏版号、首次正式上线运营的游戏产品，针对每款产品分别给予游戏研发企业、游戏运营企业15万元一次性资金支持；若游戏产品研发、运营为同一家企业，则该企业可获得30万元一次性资金支持。</w:t>
      </w:r>
      <w:r>
        <w:rPr>
          <w:rFonts w:ascii="仿宋_GB2312" w:hAnsi="仿宋_GB2312" w:eastAsia="仿宋_GB2312" w:cs="仿宋_GB2312"/>
          <w:color w:val="auto"/>
          <w:sz w:val="32"/>
          <w:szCs w:val="32"/>
          <w:highlight w:val="none"/>
        </w:rPr>
        <w:t>对于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游戏</w:t>
      </w:r>
      <w:r>
        <w:rPr>
          <w:rFonts w:ascii="仿宋_GB2312" w:hAnsi="仿宋_GB2312" w:eastAsia="仿宋_GB2312" w:cs="仿宋_GB2312"/>
          <w:color w:val="auto"/>
          <w:sz w:val="32"/>
          <w:szCs w:val="32"/>
          <w:highlight w:val="none"/>
        </w:rPr>
        <w:t>企业新发行上线运营的游戏产品，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买断制游戏年营收超10万元、50万元、100万元的，</w:t>
      </w:r>
      <w:r>
        <w:rPr>
          <w:rFonts w:ascii="仿宋_GB2312" w:hAnsi="仿宋_GB2312" w:eastAsia="仿宋_GB2312" w:cs="仿宋_GB2312"/>
          <w:color w:val="auto"/>
          <w:sz w:val="32"/>
          <w:szCs w:val="32"/>
          <w:highlight w:val="none"/>
        </w:rPr>
        <w:t>按照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年度</w:t>
      </w:r>
      <w:r>
        <w:rPr>
          <w:rFonts w:ascii="仿宋_GB2312" w:hAnsi="仿宋_GB2312" w:eastAsia="仿宋_GB2312" w:cs="仿宋_GB2312"/>
          <w:color w:val="auto"/>
          <w:sz w:val="32"/>
          <w:szCs w:val="32"/>
          <w:highlight w:val="none"/>
        </w:rPr>
        <w:t>该游戏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产品</w:t>
      </w:r>
      <w:r>
        <w:rPr>
          <w:rFonts w:ascii="仿宋_GB2312" w:hAnsi="仿宋_GB2312" w:eastAsia="仿宋_GB2312" w:cs="仿宋_GB2312"/>
          <w:color w:val="auto"/>
          <w:sz w:val="32"/>
          <w:szCs w:val="32"/>
          <w:highlight w:val="none"/>
        </w:rPr>
        <w:t>收入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的50%、30%、20%</w:t>
      </w:r>
      <w:r>
        <w:rPr>
          <w:rFonts w:ascii="仿宋_GB2312" w:hAnsi="仿宋_GB2312" w:eastAsia="仿宋_GB2312" w:cs="仿宋_GB2312"/>
          <w:color w:val="auto"/>
          <w:sz w:val="32"/>
          <w:szCs w:val="32"/>
          <w:highlight w:val="none"/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给予上限100万元的奖励，</w:t>
      </w:r>
      <w:r>
        <w:rPr>
          <w:rFonts w:ascii="仿宋_GB2312" w:hAnsi="仿宋_GB2312" w:eastAsia="仿宋_GB2312" w:cs="仿宋_GB2312"/>
          <w:color w:val="auto"/>
          <w:sz w:val="32"/>
          <w:szCs w:val="32"/>
          <w:highlight w:val="none"/>
        </w:rPr>
        <w:t>单个企业每年最高奖励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200</w:t>
      </w:r>
      <w:r>
        <w:rPr>
          <w:rFonts w:ascii="仿宋_GB2312" w:hAnsi="仿宋_GB2312" w:eastAsia="仿宋_GB2312" w:cs="仿宋_GB2312"/>
          <w:color w:val="auto"/>
          <w:sz w:val="32"/>
          <w:szCs w:val="32"/>
          <w:highlight w:val="none"/>
        </w:rPr>
        <w:t>万元。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非买断游戏年新增用户数量超20万，且年营收超200万元的，按照年度该游戏产品收入的20%</w:t>
      </w:r>
      <w:r>
        <w:rPr>
          <w:rFonts w:ascii="仿宋_GB2312" w:hAnsi="仿宋_GB2312" w:eastAsia="仿宋_GB2312" w:cs="仿宋_GB2312"/>
          <w:color w:val="auto"/>
          <w:sz w:val="32"/>
          <w:szCs w:val="32"/>
          <w:highlight w:val="none"/>
        </w:rPr>
        <w:t>，给予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上限100</w:t>
      </w:r>
      <w:r>
        <w:rPr>
          <w:rFonts w:ascii="仿宋_GB2312" w:hAnsi="仿宋_GB2312" w:eastAsia="仿宋_GB2312" w:cs="仿宋_GB2312"/>
          <w:color w:val="auto"/>
          <w:sz w:val="32"/>
          <w:szCs w:val="32"/>
          <w:highlight w:val="none"/>
        </w:rPr>
        <w:t>万元奖励，单个企业每年最高奖励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200</w:t>
      </w:r>
      <w:r>
        <w:rPr>
          <w:rFonts w:ascii="仿宋_GB2312" w:hAnsi="仿宋_GB2312" w:eastAsia="仿宋_GB2312" w:cs="仿宋_GB2312"/>
          <w:color w:val="auto"/>
          <w:sz w:val="32"/>
          <w:szCs w:val="32"/>
          <w:highlight w:val="none"/>
        </w:rPr>
        <w:t>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</w:rPr>
        <w:t>6.支持游戏产品多平台发行。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对企业在Steam、Epic Games、WeGame、华为应用商店、App Store、Google Play等主流游戏平台开展游戏测试的，给予测试费用50%的补贴，单个企业每年最高补贴20万元。对企业原创游戏产品在多个平台新上线的，根据产品年度在单个平台新增下载量达到</w:t>
      </w:r>
      <w:r>
        <w:rPr>
          <w:rFonts w:ascii="仿宋_GB2312" w:hAnsi="仿宋_GB2312" w:eastAsia="仿宋_GB2312" w:cs="仿宋_GB2312"/>
          <w:color w:val="auto"/>
          <w:sz w:val="32"/>
          <w:szCs w:val="32"/>
          <w:highlight w:val="none"/>
        </w:rPr>
        <w:t>2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00万次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的，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给予每家企业每个平台10万元支持，每年支持上限50万元。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textAlignment w:val="auto"/>
        <w:rPr>
          <w:rFonts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</w:rPr>
        <w:t>7.支持参与游戏赛事活动。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鼓励企业参加“中国游戏创新大赛”“‘文创上海’游戏创新大赛”“IndiePlay中国独立游戏大赛”“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highlight w:val="none"/>
        </w:rPr>
        <w:t>CUSGA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中国大学生游戏开发大赛”“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ChinaJoy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“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weplay文化展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”“中国国际动漫游戏博览会”“日本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Bit summit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”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等行业赛事、活动。对单个游戏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参与比赛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获得市级及以上奖项的，分别给予10万元奖励，每个项目团队或每家企业每年支持上限50万元。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对企业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/团队参加国际性游戏相关活动、展会的，给予不超过展位费的50%、上限50万元的资金支持。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/>
        <w:textAlignment w:val="auto"/>
        <w:rPr>
          <w:rFonts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</w:rPr>
        <w:t>8.鼓励企业举办游戏赛事活动。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对牵头举办具有全国或全市影响力的游戏产业赛事、会展等重大活动，打响闵行游戏产业品牌的企业，按活动实际投入的50%，给予上限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0万元资金支持。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textAlignment w:val="auto"/>
        <w:rPr>
          <w:rFonts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</w:rPr>
        <w:t>9.推动产业融合发展。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鼓励游戏企业与商业、文旅、教育、医疗、体育等传统行业深度融合发展，催生全新业态，持续集聚流量，激发消费新潜能。企业进行著作权、商标、专利等自有知识产权（IP）授权商业化，通过IP赋能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eastAsia="zh-CN"/>
        </w:rPr>
        <w:t>推出新产品、新场景的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，按其IP授权收入的50%，给予上限100万元资金支持。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3" w:firstLineChars="200"/>
        <w:textAlignment w:val="auto"/>
        <w:rPr>
          <w:rFonts w:ascii="仿宋_GB2312" w:hAnsi="仿宋_GB2312" w:eastAsia="仿宋_GB2312" w:cs="仿宋_GB2312"/>
          <w:color w:val="auto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highlight w:val="none"/>
        </w:rPr>
        <w:t>10.支持游戏产品出海。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为游戏企业提供产品出海市场调研、政策咨询、渠道拓展、知识产权、金融支持、法律支持等全流程服务，帮助解决出海过程中遇到的问题。</w:t>
      </w:r>
    </w:p>
    <w:p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640" w:firstLineChars="200"/>
        <w:textAlignment w:val="auto"/>
        <w:rPr>
          <w:rFonts w:hAnsi="仿宋_GB2312" w:cs="仿宋_GB2312"/>
          <w:color w:val="FF0000"/>
          <w:szCs w:val="32"/>
          <w:highlight w:val="none"/>
        </w:rPr>
      </w:pPr>
      <w:r>
        <w:rPr>
          <w:rFonts w:hAnsi="仿宋_GB2312" w:cs="仿宋_GB2312"/>
          <w:color w:val="auto"/>
          <w:szCs w:val="32"/>
          <w:highlight w:val="none"/>
        </w:rPr>
        <w:t>本</w:t>
      </w:r>
      <w:r>
        <w:rPr>
          <w:rFonts w:hint="eastAsia" w:hAnsi="仿宋_GB2312" w:cs="仿宋_GB2312"/>
          <w:color w:val="auto"/>
          <w:szCs w:val="32"/>
          <w:highlight w:val="none"/>
        </w:rPr>
        <w:t>专项政策</w:t>
      </w:r>
      <w:r>
        <w:rPr>
          <w:rFonts w:hAnsi="仿宋_GB2312" w:cs="仿宋_GB2312"/>
          <w:color w:val="auto"/>
          <w:szCs w:val="32"/>
          <w:highlight w:val="none"/>
        </w:rPr>
        <w:t>自202</w:t>
      </w:r>
      <w:r>
        <w:rPr>
          <w:rFonts w:hint="eastAsia" w:hAnsi="仿宋_GB2312" w:cs="仿宋_GB2312"/>
          <w:color w:val="auto"/>
          <w:szCs w:val="32"/>
          <w:highlight w:val="none"/>
        </w:rPr>
        <w:t>5</w:t>
      </w:r>
      <w:r>
        <w:rPr>
          <w:rFonts w:hAnsi="仿宋_GB2312" w:cs="仿宋_GB2312"/>
          <w:color w:val="auto"/>
          <w:szCs w:val="32"/>
          <w:highlight w:val="none"/>
        </w:rPr>
        <w:t>年</w:t>
      </w:r>
      <w:r>
        <w:rPr>
          <w:rFonts w:hint="eastAsia" w:hAnsi="仿宋_GB2312" w:cs="仿宋_GB2312"/>
          <w:color w:val="auto"/>
          <w:szCs w:val="32"/>
          <w:highlight w:val="none"/>
        </w:rPr>
        <w:t>X</w:t>
      </w:r>
      <w:r>
        <w:rPr>
          <w:rFonts w:hAnsi="仿宋_GB2312" w:cs="仿宋_GB2312"/>
          <w:color w:val="auto"/>
          <w:szCs w:val="32"/>
          <w:highlight w:val="none"/>
        </w:rPr>
        <w:t>月</w:t>
      </w:r>
      <w:r>
        <w:rPr>
          <w:rFonts w:hint="eastAsia" w:hAnsi="仿宋_GB2312" w:cs="仿宋_GB2312"/>
          <w:color w:val="auto"/>
          <w:szCs w:val="32"/>
          <w:highlight w:val="none"/>
        </w:rPr>
        <w:t>X</w:t>
      </w:r>
      <w:r>
        <w:rPr>
          <w:rFonts w:hAnsi="仿宋_GB2312" w:cs="仿宋_GB2312"/>
          <w:color w:val="auto"/>
          <w:szCs w:val="32"/>
          <w:highlight w:val="none"/>
        </w:rPr>
        <w:t>起实施,有效期至202</w:t>
      </w:r>
      <w:r>
        <w:rPr>
          <w:rFonts w:hint="eastAsia" w:hAnsi="仿宋_GB2312" w:cs="仿宋_GB2312"/>
          <w:color w:val="auto"/>
          <w:szCs w:val="32"/>
          <w:highlight w:val="none"/>
        </w:rPr>
        <w:t>7</w:t>
      </w:r>
      <w:r>
        <w:rPr>
          <w:rFonts w:hAnsi="仿宋_GB2312" w:cs="仿宋_GB2312"/>
          <w:color w:val="auto"/>
          <w:szCs w:val="32"/>
          <w:highlight w:val="none"/>
        </w:rPr>
        <w:t>年</w:t>
      </w:r>
      <w:r>
        <w:rPr>
          <w:rFonts w:hint="eastAsia" w:hAnsi="仿宋_GB2312" w:cs="仿宋_GB2312"/>
          <w:color w:val="auto"/>
          <w:szCs w:val="32"/>
          <w:highlight w:val="none"/>
        </w:rPr>
        <w:t>X</w:t>
      </w:r>
      <w:r>
        <w:rPr>
          <w:rFonts w:hAnsi="仿宋_GB2312" w:cs="仿宋_GB2312"/>
          <w:color w:val="auto"/>
          <w:szCs w:val="32"/>
          <w:highlight w:val="none"/>
        </w:rPr>
        <w:t>月</w:t>
      </w:r>
      <w:r>
        <w:rPr>
          <w:rFonts w:hint="eastAsia" w:hAnsi="仿宋_GB2312" w:cs="仿宋_GB2312"/>
          <w:color w:val="auto"/>
          <w:szCs w:val="32"/>
          <w:highlight w:val="none"/>
        </w:rPr>
        <w:t>X</w:t>
      </w:r>
      <w:r>
        <w:rPr>
          <w:rFonts w:hAnsi="仿宋_GB2312" w:cs="仿宋_GB2312"/>
          <w:color w:val="auto"/>
          <w:szCs w:val="32"/>
          <w:highlight w:val="none"/>
        </w:rPr>
        <w:t>日</w:t>
      </w:r>
      <w:r>
        <w:rPr>
          <w:rFonts w:hint="eastAsia" w:hAnsi="仿宋_GB2312" w:cs="仿宋_GB2312"/>
          <w:color w:val="auto"/>
          <w:szCs w:val="32"/>
          <w:highlight w:val="none"/>
        </w:rPr>
        <w:t>，</w:t>
      </w:r>
      <w:r>
        <w:rPr>
          <w:rFonts w:hAnsi="仿宋_GB2312" w:cs="仿宋_GB2312"/>
          <w:color w:val="auto"/>
          <w:szCs w:val="32"/>
          <w:highlight w:val="none"/>
        </w:rPr>
        <w:t>由</w:t>
      </w:r>
      <w:r>
        <w:rPr>
          <w:rFonts w:hint="eastAsia" w:hAnsi="仿宋_GB2312" w:cs="仿宋_GB2312"/>
          <w:color w:val="auto"/>
          <w:szCs w:val="32"/>
          <w:highlight w:val="none"/>
        </w:rPr>
        <w:t>区商务委会同区委宣传部、区经委、区科委</w:t>
      </w:r>
      <w:r>
        <w:rPr>
          <w:rFonts w:hAnsi="仿宋_GB2312" w:cs="仿宋_GB2312"/>
          <w:color w:val="auto"/>
          <w:szCs w:val="32"/>
          <w:highlight w:val="none"/>
        </w:rPr>
        <w:t>负责解释。</w:t>
      </w:r>
      <w:r>
        <w:rPr>
          <w:rFonts w:hint="eastAsia" w:hAnsi="仿宋_GB2312" w:cs="仿宋_GB2312"/>
          <w:color w:val="auto"/>
          <w:szCs w:val="32"/>
          <w:highlight w:val="none"/>
        </w:rPr>
        <w:t>施行期间，国家和上海市有专门规定的，从其规定。具体实施办法详见申报指南，按照“就高不重复”原则，同一项目不得重复享受同类政策。扶持资金由区财政局按现行财政体制进行安排。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">
    <w:altName w:val="方正楷体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8"/>
                          </w:pPr>
                          <w:r>
                            <w:t>—</w:t>
                          </w:r>
                          <w:r>
                            <w:rPr>
                              <w:rFonts w:hint="eastAsia" w:ascii="仿宋" w:hAnsi="仿宋" w:eastAsia="仿宋" w:cs="仿宋"/>
                              <w:sz w:val="32"/>
                              <w:szCs w:val="32"/>
                            </w:rPr>
                            <w:t xml:space="preserve"> </w:t>
                          </w:r>
                          <w:r>
                            <w:rPr>
                              <w:rFonts w:hint="eastAsia" w:ascii="仿宋" w:hAnsi="仿宋" w:eastAsia="仿宋" w:cs="仿宋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hint="eastAsia" w:ascii="仿宋" w:hAnsi="仿宋" w:eastAsia="仿宋" w:cs="仿宋"/>
                              <w:sz w:val="32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" w:hAnsi="仿宋" w:eastAsia="仿宋" w:cs="仿宋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ascii="仿宋" w:hAnsi="仿宋" w:eastAsia="仿宋" w:cs="仿宋"/>
                              <w:sz w:val="32"/>
                              <w:szCs w:val="32"/>
                            </w:rPr>
                            <w:t>4</w:t>
                          </w:r>
                          <w:r>
                            <w:rPr>
                              <w:rFonts w:hint="eastAsia" w:ascii="仿宋" w:hAnsi="仿宋" w:eastAsia="仿宋" w:cs="仿宋"/>
                              <w:sz w:val="32"/>
                              <w:szCs w:val="32"/>
                            </w:rP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WAAAAZHJzL1BLAQIUABQAAAAIAIdO4kCzSVju&#10;0AAAAAUBAAAPAAAAAAAAAAEAIAAAADgAAABkcnMvZG93bnJldi54bWxQSwECFAAUAAAACACHTuJA&#10;OOeXwRMCAAAZBAAADgAAAAAAAAABACAAAAA1AQAAZHJzL2Uyb0RvYy54bWxQSwUGAAAAAAYABgBZ&#10;AQAAu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</w:pPr>
                    <w:r>
                      <w:t>—</w:t>
                    </w:r>
                    <w:r>
                      <w:rPr>
                        <w:rFonts w:hint="eastAsia" w:ascii="仿宋" w:hAnsi="仿宋" w:eastAsia="仿宋" w:cs="仿宋"/>
                        <w:sz w:val="32"/>
                        <w:szCs w:val="32"/>
                      </w:rPr>
                      <w:t xml:space="preserve"> </w:t>
                    </w:r>
                    <w:r>
                      <w:rPr>
                        <w:rFonts w:hint="eastAsia" w:ascii="仿宋" w:hAnsi="仿宋" w:eastAsia="仿宋" w:cs="仿宋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Fonts w:hint="eastAsia" w:ascii="仿宋" w:hAnsi="仿宋" w:eastAsia="仿宋" w:cs="仿宋"/>
                        <w:sz w:val="32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hint="eastAsia" w:ascii="仿宋" w:hAnsi="仿宋" w:eastAsia="仿宋" w:cs="仿宋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Fonts w:ascii="仿宋" w:hAnsi="仿宋" w:eastAsia="仿宋" w:cs="仿宋"/>
                        <w:sz w:val="32"/>
                        <w:szCs w:val="32"/>
                      </w:rPr>
                      <w:t>4</w:t>
                    </w:r>
                    <w:r>
                      <w:rPr>
                        <w:rFonts w:hint="eastAsia" w:ascii="仿宋" w:hAnsi="仿宋" w:eastAsia="仿宋" w:cs="仿宋"/>
                        <w:sz w:val="32"/>
                        <w:szCs w:val="32"/>
                      </w:rP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true"/>
  <w:bordersDoNotSurroundFooter w:val="true"/>
  <w:documentProtection w:enforcement="0"/>
  <w:defaultTabStop w:val="420"/>
  <w:drawingGridVerticalSpacing w:val="156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2JiZWE2M2RjN2I2NGE2M2ZjMjBhMjQ4N2Y1MTg5MWMifQ=="/>
  </w:docVars>
  <w:rsids>
    <w:rsidRoot w:val="00172A27"/>
    <w:rsid w:val="00032659"/>
    <w:rsid w:val="00172A27"/>
    <w:rsid w:val="001A0236"/>
    <w:rsid w:val="001B04D7"/>
    <w:rsid w:val="001D030C"/>
    <w:rsid w:val="001F7A3D"/>
    <w:rsid w:val="00234D5B"/>
    <w:rsid w:val="002E40BD"/>
    <w:rsid w:val="004B6ABD"/>
    <w:rsid w:val="00552D1C"/>
    <w:rsid w:val="005703F9"/>
    <w:rsid w:val="005B17AF"/>
    <w:rsid w:val="005D1777"/>
    <w:rsid w:val="005F3185"/>
    <w:rsid w:val="00600398"/>
    <w:rsid w:val="006105E3"/>
    <w:rsid w:val="00647BB7"/>
    <w:rsid w:val="006617C8"/>
    <w:rsid w:val="006C11B2"/>
    <w:rsid w:val="006F0CF1"/>
    <w:rsid w:val="00756868"/>
    <w:rsid w:val="00782A60"/>
    <w:rsid w:val="00783162"/>
    <w:rsid w:val="00801FF4"/>
    <w:rsid w:val="00804F13"/>
    <w:rsid w:val="00812657"/>
    <w:rsid w:val="00883C8F"/>
    <w:rsid w:val="00886E5D"/>
    <w:rsid w:val="00923DA8"/>
    <w:rsid w:val="009F5226"/>
    <w:rsid w:val="00A17B59"/>
    <w:rsid w:val="00A96971"/>
    <w:rsid w:val="00AE1A26"/>
    <w:rsid w:val="00AE2D55"/>
    <w:rsid w:val="00B9584D"/>
    <w:rsid w:val="00BD0098"/>
    <w:rsid w:val="00E67321"/>
    <w:rsid w:val="00EB4FA3"/>
    <w:rsid w:val="00EB6888"/>
    <w:rsid w:val="00F12D06"/>
    <w:rsid w:val="00F17628"/>
    <w:rsid w:val="00F2165C"/>
    <w:rsid w:val="00FA021C"/>
    <w:rsid w:val="0DBE1468"/>
    <w:rsid w:val="0DD2DDA8"/>
    <w:rsid w:val="0EDE3956"/>
    <w:rsid w:val="115B1055"/>
    <w:rsid w:val="14F94EEB"/>
    <w:rsid w:val="1676D037"/>
    <w:rsid w:val="18DD759A"/>
    <w:rsid w:val="1AB10D24"/>
    <w:rsid w:val="1AF69B63"/>
    <w:rsid w:val="1BB65BAF"/>
    <w:rsid w:val="1BCFC090"/>
    <w:rsid w:val="1BFB1B21"/>
    <w:rsid w:val="1DFAE684"/>
    <w:rsid w:val="1DFFBCBB"/>
    <w:rsid w:val="1EB3421F"/>
    <w:rsid w:val="1F5FFF20"/>
    <w:rsid w:val="1F6777EB"/>
    <w:rsid w:val="1F6E902A"/>
    <w:rsid w:val="1F76CA3A"/>
    <w:rsid w:val="1FAC4707"/>
    <w:rsid w:val="1FE78646"/>
    <w:rsid w:val="1FEF94B9"/>
    <w:rsid w:val="1FFF163A"/>
    <w:rsid w:val="21BB3F72"/>
    <w:rsid w:val="26BE11F5"/>
    <w:rsid w:val="26BFC7D1"/>
    <w:rsid w:val="2763C891"/>
    <w:rsid w:val="27776163"/>
    <w:rsid w:val="27A717BB"/>
    <w:rsid w:val="2DE70466"/>
    <w:rsid w:val="2F6F91B4"/>
    <w:rsid w:val="2F7F29C3"/>
    <w:rsid w:val="2FE76F04"/>
    <w:rsid w:val="2FFFD036"/>
    <w:rsid w:val="31B9991F"/>
    <w:rsid w:val="31BB3B42"/>
    <w:rsid w:val="331040B1"/>
    <w:rsid w:val="33B79FA7"/>
    <w:rsid w:val="33FF900A"/>
    <w:rsid w:val="34BD526C"/>
    <w:rsid w:val="377FBC2C"/>
    <w:rsid w:val="37BE2635"/>
    <w:rsid w:val="37F7375E"/>
    <w:rsid w:val="37F78985"/>
    <w:rsid w:val="37FB6F41"/>
    <w:rsid w:val="37FED9DB"/>
    <w:rsid w:val="3A82C3BF"/>
    <w:rsid w:val="3AEFFC1F"/>
    <w:rsid w:val="3B7FBB4E"/>
    <w:rsid w:val="3BDB2A06"/>
    <w:rsid w:val="3BFF5464"/>
    <w:rsid w:val="3BFFD90A"/>
    <w:rsid w:val="3CFB73AC"/>
    <w:rsid w:val="3CFF0A6E"/>
    <w:rsid w:val="3CFFD0C7"/>
    <w:rsid w:val="3D5FFA12"/>
    <w:rsid w:val="3DDDB103"/>
    <w:rsid w:val="3DED1639"/>
    <w:rsid w:val="3DF12793"/>
    <w:rsid w:val="3E9BB181"/>
    <w:rsid w:val="3EEF3294"/>
    <w:rsid w:val="3EFEA62A"/>
    <w:rsid w:val="3EFF997B"/>
    <w:rsid w:val="3EFFFF5E"/>
    <w:rsid w:val="3F1C3476"/>
    <w:rsid w:val="3F53C5B7"/>
    <w:rsid w:val="3F575D71"/>
    <w:rsid w:val="3F7F1C86"/>
    <w:rsid w:val="3F932193"/>
    <w:rsid w:val="3F9D6FB1"/>
    <w:rsid w:val="3FDF441E"/>
    <w:rsid w:val="3FEB853A"/>
    <w:rsid w:val="3FEBA65D"/>
    <w:rsid w:val="3FF5DE2A"/>
    <w:rsid w:val="3FF6926C"/>
    <w:rsid w:val="3FF6DB2B"/>
    <w:rsid w:val="3FFC52D6"/>
    <w:rsid w:val="3FFEB611"/>
    <w:rsid w:val="3FFF327B"/>
    <w:rsid w:val="43DF4FDE"/>
    <w:rsid w:val="455B58A4"/>
    <w:rsid w:val="4AED7BE4"/>
    <w:rsid w:val="4BEEF109"/>
    <w:rsid w:val="4BEFF3F4"/>
    <w:rsid w:val="4D7F335A"/>
    <w:rsid w:val="4DABD749"/>
    <w:rsid w:val="4DEFFBBE"/>
    <w:rsid w:val="4EBAAA74"/>
    <w:rsid w:val="4EBB3D20"/>
    <w:rsid w:val="4F78FA9D"/>
    <w:rsid w:val="4FCFB19C"/>
    <w:rsid w:val="4FDF7D08"/>
    <w:rsid w:val="4FED446A"/>
    <w:rsid w:val="4FF1DABA"/>
    <w:rsid w:val="4FFF6EBC"/>
    <w:rsid w:val="51496F8A"/>
    <w:rsid w:val="517FA0D7"/>
    <w:rsid w:val="51FED7AB"/>
    <w:rsid w:val="52BF7666"/>
    <w:rsid w:val="536DA569"/>
    <w:rsid w:val="546E4CC0"/>
    <w:rsid w:val="54DB87C1"/>
    <w:rsid w:val="55FDE641"/>
    <w:rsid w:val="56F79F0C"/>
    <w:rsid w:val="57194369"/>
    <w:rsid w:val="572E760C"/>
    <w:rsid w:val="576E84F6"/>
    <w:rsid w:val="577FA4C9"/>
    <w:rsid w:val="579AF9ED"/>
    <w:rsid w:val="57E3AA34"/>
    <w:rsid w:val="57F79E2A"/>
    <w:rsid w:val="597DB7B1"/>
    <w:rsid w:val="59B5287A"/>
    <w:rsid w:val="59E04D24"/>
    <w:rsid w:val="59E750D7"/>
    <w:rsid w:val="5BA99319"/>
    <w:rsid w:val="5BBB3246"/>
    <w:rsid w:val="5BD462C2"/>
    <w:rsid w:val="5BEEA7D1"/>
    <w:rsid w:val="5BF60D0D"/>
    <w:rsid w:val="5BF7EC8F"/>
    <w:rsid w:val="5BFF7C35"/>
    <w:rsid w:val="5C7BF5EC"/>
    <w:rsid w:val="5C9BAE71"/>
    <w:rsid w:val="5D741322"/>
    <w:rsid w:val="5DBFCD0F"/>
    <w:rsid w:val="5DBFD243"/>
    <w:rsid w:val="5DDDF793"/>
    <w:rsid w:val="5DE3BDD1"/>
    <w:rsid w:val="5EFA7CCD"/>
    <w:rsid w:val="5EFD4C62"/>
    <w:rsid w:val="5F798C22"/>
    <w:rsid w:val="5F9910E7"/>
    <w:rsid w:val="5FB282E3"/>
    <w:rsid w:val="5FFB0B59"/>
    <w:rsid w:val="5FFB0E1A"/>
    <w:rsid w:val="5FFB4511"/>
    <w:rsid w:val="5FFE6BE5"/>
    <w:rsid w:val="5FFF4067"/>
    <w:rsid w:val="629B8DFE"/>
    <w:rsid w:val="631FAE42"/>
    <w:rsid w:val="63EFEAD1"/>
    <w:rsid w:val="659F99A4"/>
    <w:rsid w:val="65F76D5D"/>
    <w:rsid w:val="66B7F48D"/>
    <w:rsid w:val="677D097D"/>
    <w:rsid w:val="67971768"/>
    <w:rsid w:val="67B5126F"/>
    <w:rsid w:val="67EF99F6"/>
    <w:rsid w:val="699F7864"/>
    <w:rsid w:val="69DCDF62"/>
    <w:rsid w:val="6A9F7849"/>
    <w:rsid w:val="6ACB6A12"/>
    <w:rsid w:val="6AF53927"/>
    <w:rsid w:val="6AFD4E95"/>
    <w:rsid w:val="6B377F66"/>
    <w:rsid w:val="6B97F6B6"/>
    <w:rsid w:val="6BB75D66"/>
    <w:rsid w:val="6BD90367"/>
    <w:rsid w:val="6BEDA10E"/>
    <w:rsid w:val="6BF3FA73"/>
    <w:rsid w:val="6BFD04B8"/>
    <w:rsid w:val="6BFE6F33"/>
    <w:rsid w:val="6CABF1D9"/>
    <w:rsid w:val="6DB4FF25"/>
    <w:rsid w:val="6DF7BE92"/>
    <w:rsid w:val="6DF90330"/>
    <w:rsid w:val="6E7FD34D"/>
    <w:rsid w:val="6E8118BB"/>
    <w:rsid w:val="6EAD1EB9"/>
    <w:rsid w:val="6EAFB83B"/>
    <w:rsid w:val="6EEDCB2A"/>
    <w:rsid w:val="6EF764AD"/>
    <w:rsid w:val="6EFFB2C6"/>
    <w:rsid w:val="6EFFC10E"/>
    <w:rsid w:val="6F3E07F6"/>
    <w:rsid w:val="6F4BB057"/>
    <w:rsid w:val="6F79C0E6"/>
    <w:rsid w:val="6F7F6421"/>
    <w:rsid w:val="6FB70620"/>
    <w:rsid w:val="6FBB27F8"/>
    <w:rsid w:val="6FBD80D7"/>
    <w:rsid w:val="6FDEADD4"/>
    <w:rsid w:val="6FDEB99A"/>
    <w:rsid w:val="6FEE4386"/>
    <w:rsid w:val="6FEFF191"/>
    <w:rsid w:val="6FF75F40"/>
    <w:rsid w:val="6FF7E57E"/>
    <w:rsid w:val="6FFF3761"/>
    <w:rsid w:val="6FFF438D"/>
    <w:rsid w:val="6FFF74A4"/>
    <w:rsid w:val="6FFFC58B"/>
    <w:rsid w:val="72A8A2D4"/>
    <w:rsid w:val="737AB50A"/>
    <w:rsid w:val="73A69714"/>
    <w:rsid w:val="73FF076B"/>
    <w:rsid w:val="73FF8ABB"/>
    <w:rsid w:val="757DE146"/>
    <w:rsid w:val="75CFF08B"/>
    <w:rsid w:val="75D88E6D"/>
    <w:rsid w:val="75ED5D32"/>
    <w:rsid w:val="75F311C6"/>
    <w:rsid w:val="75FBC19D"/>
    <w:rsid w:val="767FD8D0"/>
    <w:rsid w:val="76D7CA7D"/>
    <w:rsid w:val="76DD4652"/>
    <w:rsid w:val="76FA62B4"/>
    <w:rsid w:val="76FE379E"/>
    <w:rsid w:val="7765A58C"/>
    <w:rsid w:val="776DF300"/>
    <w:rsid w:val="777343EC"/>
    <w:rsid w:val="777E9A20"/>
    <w:rsid w:val="7796643B"/>
    <w:rsid w:val="77AF42CF"/>
    <w:rsid w:val="77CF7F3A"/>
    <w:rsid w:val="77EF92E4"/>
    <w:rsid w:val="77FEC9D6"/>
    <w:rsid w:val="77FF988E"/>
    <w:rsid w:val="783FD93E"/>
    <w:rsid w:val="78F7D927"/>
    <w:rsid w:val="78FF26F8"/>
    <w:rsid w:val="79D7B36B"/>
    <w:rsid w:val="79EC2B83"/>
    <w:rsid w:val="79EDA49F"/>
    <w:rsid w:val="79EF0532"/>
    <w:rsid w:val="79F4D1B3"/>
    <w:rsid w:val="79F723EA"/>
    <w:rsid w:val="79FFF4C5"/>
    <w:rsid w:val="7A978438"/>
    <w:rsid w:val="7AA67BF7"/>
    <w:rsid w:val="7ABEF898"/>
    <w:rsid w:val="7AF640CC"/>
    <w:rsid w:val="7AFF37BC"/>
    <w:rsid w:val="7B1AFF20"/>
    <w:rsid w:val="7B7306E2"/>
    <w:rsid w:val="7B75DB12"/>
    <w:rsid w:val="7BADE53F"/>
    <w:rsid w:val="7BDEF115"/>
    <w:rsid w:val="7BE991FE"/>
    <w:rsid w:val="7BEDEF80"/>
    <w:rsid w:val="7BEF34B5"/>
    <w:rsid w:val="7BF735F9"/>
    <w:rsid w:val="7BFAEF67"/>
    <w:rsid w:val="7BFBF765"/>
    <w:rsid w:val="7BFDDEC2"/>
    <w:rsid w:val="7BFE1877"/>
    <w:rsid w:val="7BFFBBCF"/>
    <w:rsid w:val="7C53B413"/>
    <w:rsid w:val="7CA3E458"/>
    <w:rsid w:val="7CFF9AAD"/>
    <w:rsid w:val="7D13AA63"/>
    <w:rsid w:val="7D33C687"/>
    <w:rsid w:val="7D3FE192"/>
    <w:rsid w:val="7D77998C"/>
    <w:rsid w:val="7D7A120B"/>
    <w:rsid w:val="7DAD5F69"/>
    <w:rsid w:val="7DAFB51D"/>
    <w:rsid w:val="7DDE5BAE"/>
    <w:rsid w:val="7DE1E471"/>
    <w:rsid w:val="7DF6C5A4"/>
    <w:rsid w:val="7DF73D80"/>
    <w:rsid w:val="7DF7F328"/>
    <w:rsid w:val="7DFB9BF3"/>
    <w:rsid w:val="7DFF14CE"/>
    <w:rsid w:val="7DFF22AC"/>
    <w:rsid w:val="7E3D7E9A"/>
    <w:rsid w:val="7E7BA19A"/>
    <w:rsid w:val="7E7DB0FF"/>
    <w:rsid w:val="7E7E468E"/>
    <w:rsid w:val="7E7F234D"/>
    <w:rsid w:val="7E902463"/>
    <w:rsid w:val="7EAF0933"/>
    <w:rsid w:val="7EBD663C"/>
    <w:rsid w:val="7ECFCA1A"/>
    <w:rsid w:val="7ED4E60A"/>
    <w:rsid w:val="7ED7C497"/>
    <w:rsid w:val="7EED5AD0"/>
    <w:rsid w:val="7EEECFCB"/>
    <w:rsid w:val="7EF2CC03"/>
    <w:rsid w:val="7EFB27A9"/>
    <w:rsid w:val="7EFF4AD9"/>
    <w:rsid w:val="7F1109EF"/>
    <w:rsid w:val="7F727994"/>
    <w:rsid w:val="7F79A20D"/>
    <w:rsid w:val="7F7B419D"/>
    <w:rsid w:val="7F7CD1D0"/>
    <w:rsid w:val="7F7D58EC"/>
    <w:rsid w:val="7F7F01A6"/>
    <w:rsid w:val="7F7F7EF9"/>
    <w:rsid w:val="7F7F8923"/>
    <w:rsid w:val="7F7FDDE3"/>
    <w:rsid w:val="7F966708"/>
    <w:rsid w:val="7FA717DA"/>
    <w:rsid w:val="7FAF8D0A"/>
    <w:rsid w:val="7FB549C6"/>
    <w:rsid w:val="7FBD37BF"/>
    <w:rsid w:val="7FCCD9F8"/>
    <w:rsid w:val="7FD789D3"/>
    <w:rsid w:val="7FD84271"/>
    <w:rsid w:val="7FE72788"/>
    <w:rsid w:val="7FEE2FFD"/>
    <w:rsid w:val="7FEF3A98"/>
    <w:rsid w:val="7FEF649C"/>
    <w:rsid w:val="7FEFC698"/>
    <w:rsid w:val="7FF224B5"/>
    <w:rsid w:val="7FF301D1"/>
    <w:rsid w:val="7FF3AA47"/>
    <w:rsid w:val="7FFAB273"/>
    <w:rsid w:val="7FFB265C"/>
    <w:rsid w:val="7FFCE1BD"/>
    <w:rsid w:val="7FFD213E"/>
    <w:rsid w:val="7FFD8AF0"/>
    <w:rsid w:val="7FFDE059"/>
    <w:rsid w:val="7FFE8743"/>
    <w:rsid w:val="7FFF6A10"/>
    <w:rsid w:val="7FFF6FF3"/>
    <w:rsid w:val="7FFFD6BD"/>
    <w:rsid w:val="8377E55E"/>
    <w:rsid w:val="87B9364E"/>
    <w:rsid w:val="8BBFF76A"/>
    <w:rsid w:val="8BFFDB95"/>
    <w:rsid w:val="8F7F114C"/>
    <w:rsid w:val="8FFB15D7"/>
    <w:rsid w:val="8FFD3EAD"/>
    <w:rsid w:val="97F7CE0B"/>
    <w:rsid w:val="9AD0CD09"/>
    <w:rsid w:val="9BFDBA50"/>
    <w:rsid w:val="9D4B5CFF"/>
    <w:rsid w:val="9DBF9E93"/>
    <w:rsid w:val="9E18BACF"/>
    <w:rsid w:val="9E7D44A7"/>
    <w:rsid w:val="9EFD1438"/>
    <w:rsid w:val="9F2BE319"/>
    <w:rsid w:val="9F38BF80"/>
    <w:rsid w:val="9FEC8D90"/>
    <w:rsid w:val="9FFB0C1D"/>
    <w:rsid w:val="9FFF33A3"/>
    <w:rsid w:val="A1AF4C27"/>
    <w:rsid w:val="A9FF22B7"/>
    <w:rsid w:val="AB0A3A72"/>
    <w:rsid w:val="ABFB83F6"/>
    <w:rsid w:val="ACFFB137"/>
    <w:rsid w:val="AEFF396C"/>
    <w:rsid w:val="AF57AB3B"/>
    <w:rsid w:val="B37056F7"/>
    <w:rsid w:val="B5DD3B1A"/>
    <w:rsid w:val="B6F6CED7"/>
    <w:rsid w:val="B6FCF9D2"/>
    <w:rsid w:val="B73BCA5C"/>
    <w:rsid w:val="B7FB9036"/>
    <w:rsid w:val="B7FFFD5C"/>
    <w:rsid w:val="B8BFE292"/>
    <w:rsid w:val="BA7E9656"/>
    <w:rsid w:val="BAF2D487"/>
    <w:rsid w:val="BB6D3774"/>
    <w:rsid w:val="BB799FFC"/>
    <w:rsid w:val="BBC76DEF"/>
    <w:rsid w:val="BCD6CFDA"/>
    <w:rsid w:val="BCE307A1"/>
    <w:rsid w:val="BD2A7FEE"/>
    <w:rsid w:val="BD7F4B57"/>
    <w:rsid w:val="BD9BD83E"/>
    <w:rsid w:val="BDEA020D"/>
    <w:rsid w:val="BDFF6888"/>
    <w:rsid w:val="BE6E8D78"/>
    <w:rsid w:val="BE7F5767"/>
    <w:rsid w:val="BEAC3885"/>
    <w:rsid w:val="BEBD13C4"/>
    <w:rsid w:val="BEFD11E0"/>
    <w:rsid w:val="BEFDC83B"/>
    <w:rsid w:val="BF39A5FF"/>
    <w:rsid w:val="BF3F48D9"/>
    <w:rsid w:val="BF6F089D"/>
    <w:rsid w:val="BF7BD610"/>
    <w:rsid w:val="BF7D9A2D"/>
    <w:rsid w:val="BFB1AC7E"/>
    <w:rsid w:val="BFBBA46F"/>
    <w:rsid w:val="BFBFB69D"/>
    <w:rsid w:val="BFF735FE"/>
    <w:rsid w:val="BFFE2FBA"/>
    <w:rsid w:val="BFFF80C2"/>
    <w:rsid w:val="BFFFD547"/>
    <w:rsid w:val="C6E7EABA"/>
    <w:rsid w:val="C7BF1F81"/>
    <w:rsid w:val="C873EEE4"/>
    <w:rsid w:val="C9FE729C"/>
    <w:rsid w:val="CBEB568F"/>
    <w:rsid w:val="CEEEB798"/>
    <w:rsid w:val="CF3F2C96"/>
    <w:rsid w:val="CFCE13AA"/>
    <w:rsid w:val="CFCF297A"/>
    <w:rsid w:val="CFD28807"/>
    <w:rsid w:val="CFF7819A"/>
    <w:rsid w:val="D1FF1FB6"/>
    <w:rsid w:val="D2FF16E0"/>
    <w:rsid w:val="D4EFDD59"/>
    <w:rsid w:val="D5CF227A"/>
    <w:rsid w:val="D5DB86A5"/>
    <w:rsid w:val="D5DF2633"/>
    <w:rsid w:val="D6F43099"/>
    <w:rsid w:val="D6FF01F2"/>
    <w:rsid w:val="D6FFC37E"/>
    <w:rsid w:val="D7CFF7E5"/>
    <w:rsid w:val="D7EFAC3F"/>
    <w:rsid w:val="D7F952F2"/>
    <w:rsid w:val="D7FF6028"/>
    <w:rsid w:val="D9699B32"/>
    <w:rsid w:val="D9F55304"/>
    <w:rsid w:val="DA3B3D58"/>
    <w:rsid w:val="DA9F435E"/>
    <w:rsid w:val="DB5EFF93"/>
    <w:rsid w:val="DB7FE88C"/>
    <w:rsid w:val="DBBE2EBB"/>
    <w:rsid w:val="DBBF71C4"/>
    <w:rsid w:val="DCFA5B93"/>
    <w:rsid w:val="DD6F213B"/>
    <w:rsid w:val="DD777E8F"/>
    <w:rsid w:val="DDDC27A5"/>
    <w:rsid w:val="DDEF9985"/>
    <w:rsid w:val="DDFFFBD6"/>
    <w:rsid w:val="DE6F0024"/>
    <w:rsid w:val="DEABA597"/>
    <w:rsid w:val="DEBB1BE5"/>
    <w:rsid w:val="DEEB8906"/>
    <w:rsid w:val="DEF7FC7F"/>
    <w:rsid w:val="DEFDA02E"/>
    <w:rsid w:val="DEFFB8D0"/>
    <w:rsid w:val="DEFFBADB"/>
    <w:rsid w:val="DF5B4A1D"/>
    <w:rsid w:val="DF6BDA15"/>
    <w:rsid w:val="DF7703CE"/>
    <w:rsid w:val="DFAFCE7B"/>
    <w:rsid w:val="DFBA8218"/>
    <w:rsid w:val="DFBB9F01"/>
    <w:rsid w:val="DFBF77BA"/>
    <w:rsid w:val="DFD205D3"/>
    <w:rsid w:val="DFDA1E49"/>
    <w:rsid w:val="DFEFC1FE"/>
    <w:rsid w:val="DFF3276C"/>
    <w:rsid w:val="DFF63BD0"/>
    <w:rsid w:val="DFF7E9E8"/>
    <w:rsid w:val="DFF938A1"/>
    <w:rsid w:val="E3BFCF5E"/>
    <w:rsid w:val="E53628DE"/>
    <w:rsid w:val="E5CEAD15"/>
    <w:rsid w:val="E5EF0275"/>
    <w:rsid w:val="E5F642C4"/>
    <w:rsid w:val="E5FF0805"/>
    <w:rsid w:val="E6A3F609"/>
    <w:rsid w:val="E6FF692D"/>
    <w:rsid w:val="E78D4C48"/>
    <w:rsid w:val="E7D3410A"/>
    <w:rsid w:val="E7DD3FA7"/>
    <w:rsid w:val="E7FB6A11"/>
    <w:rsid w:val="E7FBF6C9"/>
    <w:rsid w:val="E7FD74CB"/>
    <w:rsid w:val="E8CEC01E"/>
    <w:rsid w:val="E8F29D78"/>
    <w:rsid w:val="E8FE17F5"/>
    <w:rsid w:val="E9F71EFB"/>
    <w:rsid w:val="EB1FACF4"/>
    <w:rsid w:val="EBB13E23"/>
    <w:rsid w:val="EBEFF879"/>
    <w:rsid w:val="EBFB0C3A"/>
    <w:rsid w:val="EC2BA187"/>
    <w:rsid w:val="ECDF29AF"/>
    <w:rsid w:val="ED9EB72B"/>
    <w:rsid w:val="EDBA764A"/>
    <w:rsid w:val="EDD8816C"/>
    <w:rsid w:val="EDF7C8A0"/>
    <w:rsid w:val="EDF94040"/>
    <w:rsid w:val="EDFFA240"/>
    <w:rsid w:val="EE4848B1"/>
    <w:rsid w:val="EEDB5C8F"/>
    <w:rsid w:val="EEDFAF63"/>
    <w:rsid w:val="EEED9759"/>
    <w:rsid w:val="EF354C59"/>
    <w:rsid w:val="EF6D957F"/>
    <w:rsid w:val="EF735EB2"/>
    <w:rsid w:val="EF779702"/>
    <w:rsid w:val="EF79C28D"/>
    <w:rsid w:val="EF7DE262"/>
    <w:rsid w:val="EF7F40C4"/>
    <w:rsid w:val="EF7FDB85"/>
    <w:rsid w:val="EF8A92CB"/>
    <w:rsid w:val="EF986F79"/>
    <w:rsid w:val="EF9FDB21"/>
    <w:rsid w:val="EFB6A661"/>
    <w:rsid w:val="EFBF2070"/>
    <w:rsid w:val="EFBF4361"/>
    <w:rsid w:val="EFF53A87"/>
    <w:rsid w:val="EFFC8BCC"/>
    <w:rsid w:val="EFFEB887"/>
    <w:rsid w:val="F1756AEF"/>
    <w:rsid w:val="F1CDC7DB"/>
    <w:rsid w:val="F1FF491A"/>
    <w:rsid w:val="F2F5EAFF"/>
    <w:rsid w:val="F2FB2780"/>
    <w:rsid w:val="F32FC948"/>
    <w:rsid w:val="F33BFB12"/>
    <w:rsid w:val="F36D1378"/>
    <w:rsid w:val="F3D1F9FD"/>
    <w:rsid w:val="F3EF9F75"/>
    <w:rsid w:val="F3FA39D3"/>
    <w:rsid w:val="F3FFD3F8"/>
    <w:rsid w:val="F53F143E"/>
    <w:rsid w:val="F59A373A"/>
    <w:rsid w:val="F5DF75E7"/>
    <w:rsid w:val="F5FD6DA3"/>
    <w:rsid w:val="F5FF53C3"/>
    <w:rsid w:val="F64ECD2A"/>
    <w:rsid w:val="F6FB3855"/>
    <w:rsid w:val="F7664E31"/>
    <w:rsid w:val="F76D37CF"/>
    <w:rsid w:val="F77D788D"/>
    <w:rsid w:val="F79FD644"/>
    <w:rsid w:val="F7BBA7B1"/>
    <w:rsid w:val="F7C760B7"/>
    <w:rsid w:val="F7D7E0AF"/>
    <w:rsid w:val="F7DC01E8"/>
    <w:rsid w:val="F7DF0F81"/>
    <w:rsid w:val="F7DF852A"/>
    <w:rsid w:val="F7FF43DD"/>
    <w:rsid w:val="F96EE222"/>
    <w:rsid w:val="F97D1232"/>
    <w:rsid w:val="F98A39FC"/>
    <w:rsid w:val="F9B77703"/>
    <w:rsid w:val="F9EF0F81"/>
    <w:rsid w:val="F9EFBC8C"/>
    <w:rsid w:val="F9FFD7CB"/>
    <w:rsid w:val="FA5DA317"/>
    <w:rsid w:val="FA7E968D"/>
    <w:rsid w:val="FA7F0D98"/>
    <w:rsid w:val="FAD3D883"/>
    <w:rsid w:val="FB2B45D6"/>
    <w:rsid w:val="FB2E12B0"/>
    <w:rsid w:val="FB3BD7B7"/>
    <w:rsid w:val="FB5703A9"/>
    <w:rsid w:val="FB6E079A"/>
    <w:rsid w:val="FB775468"/>
    <w:rsid w:val="FB776DA8"/>
    <w:rsid w:val="FB7E255A"/>
    <w:rsid w:val="FBAB03B9"/>
    <w:rsid w:val="FBD93983"/>
    <w:rsid w:val="FBDD5E66"/>
    <w:rsid w:val="FBF38F2A"/>
    <w:rsid w:val="FBFC6230"/>
    <w:rsid w:val="FC0F3B9A"/>
    <w:rsid w:val="FCB9C9FF"/>
    <w:rsid w:val="FCEF9B7D"/>
    <w:rsid w:val="FCF7841A"/>
    <w:rsid w:val="FD0F01C8"/>
    <w:rsid w:val="FD5A116F"/>
    <w:rsid w:val="FD6E623B"/>
    <w:rsid w:val="FD7C889F"/>
    <w:rsid w:val="FD7FDD59"/>
    <w:rsid w:val="FD9234B3"/>
    <w:rsid w:val="FD9DA063"/>
    <w:rsid w:val="FDA981F9"/>
    <w:rsid w:val="FDB99510"/>
    <w:rsid w:val="FDBE7FE8"/>
    <w:rsid w:val="FDCFDC04"/>
    <w:rsid w:val="FDD45D15"/>
    <w:rsid w:val="FDDF1D1A"/>
    <w:rsid w:val="FDF62F13"/>
    <w:rsid w:val="FDF7E449"/>
    <w:rsid w:val="FDFF0A9D"/>
    <w:rsid w:val="FDFF27E2"/>
    <w:rsid w:val="FDFF7BE9"/>
    <w:rsid w:val="FDFFE74F"/>
    <w:rsid w:val="FE4AC2F7"/>
    <w:rsid w:val="FE69B832"/>
    <w:rsid w:val="FE7D0772"/>
    <w:rsid w:val="FE8CA627"/>
    <w:rsid w:val="FE9FE4F7"/>
    <w:rsid w:val="FEDE103F"/>
    <w:rsid w:val="FEDE4801"/>
    <w:rsid w:val="FEDFFE6A"/>
    <w:rsid w:val="FEEB0250"/>
    <w:rsid w:val="FEEE0383"/>
    <w:rsid w:val="FEF34AB2"/>
    <w:rsid w:val="FEF3DA33"/>
    <w:rsid w:val="FEFFDAAA"/>
    <w:rsid w:val="FF3BC332"/>
    <w:rsid w:val="FF4F4E2A"/>
    <w:rsid w:val="FF5AAE4D"/>
    <w:rsid w:val="FF6D16A6"/>
    <w:rsid w:val="FF75575C"/>
    <w:rsid w:val="FF762B57"/>
    <w:rsid w:val="FF768AFD"/>
    <w:rsid w:val="FF7D7A41"/>
    <w:rsid w:val="FF7E7AAE"/>
    <w:rsid w:val="FF93B6A8"/>
    <w:rsid w:val="FF9EF267"/>
    <w:rsid w:val="FF9FA436"/>
    <w:rsid w:val="FFA3C31D"/>
    <w:rsid w:val="FFADBCBA"/>
    <w:rsid w:val="FFAE0D32"/>
    <w:rsid w:val="FFB7A2E9"/>
    <w:rsid w:val="FFBBEAB4"/>
    <w:rsid w:val="FFBD3D45"/>
    <w:rsid w:val="FFBF2D64"/>
    <w:rsid w:val="FFBF48A7"/>
    <w:rsid w:val="FFBFF42F"/>
    <w:rsid w:val="FFCC90BA"/>
    <w:rsid w:val="FFCEE04D"/>
    <w:rsid w:val="FFD6F862"/>
    <w:rsid w:val="FFDDE9D7"/>
    <w:rsid w:val="FFDF311A"/>
    <w:rsid w:val="FFDF554F"/>
    <w:rsid w:val="FFE40DBD"/>
    <w:rsid w:val="FFEFA3EB"/>
    <w:rsid w:val="FFF67BE7"/>
    <w:rsid w:val="FFF998D9"/>
    <w:rsid w:val="FFF9A64D"/>
    <w:rsid w:val="FFFA6D86"/>
    <w:rsid w:val="FFFB5F0F"/>
    <w:rsid w:val="FFFB8849"/>
    <w:rsid w:val="FFFDCA11"/>
    <w:rsid w:val="FFFDF46C"/>
    <w:rsid w:val="FFFF4AC4"/>
    <w:rsid w:val="FFFF5E6E"/>
    <w:rsid w:val="FFFFA00C"/>
    <w:rsid w:val="FFFFB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iPriority="9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suppressAutoHyphens/>
      <w:spacing w:before="260" w:after="260" w:line="415" w:lineRule="auto"/>
      <w:outlineLvl w:val="2"/>
    </w:pPr>
    <w:rPr>
      <w:b/>
      <w:bCs/>
      <w:sz w:val="32"/>
      <w:szCs w:val="32"/>
    </w:rPr>
  </w:style>
  <w:style w:type="paragraph" w:styleId="3">
    <w:name w:val="heading 4"/>
    <w:basedOn w:val="1"/>
    <w:next w:val="1"/>
    <w:unhideWhenUsed/>
    <w:qFormat/>
    <w:uiPriority w:val="0"/>
    <w:pPr>
      <w:keepNext/>
      <w:keepLines/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15">
    <w:name w:val="Default Paragraph Font"/>
    <w:semiHidden/>
    <w:unhideWhenUsed/>
    <w:qFormat/>
    <w:uiPriority w:val="1"/>
  </w:style>
  <w:style w:type="table" w:default="1" w:styleId="1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Indent"/>
    <w:basedOn w:val="1"/>
    <w:unhideWhenUsed/>
    <w:qFormat/>
    <w:uiPriority w:val="99"/>
    <w:pPr>
      <w:ind w:firstLine="200" w:firstLineChars="200"/>
    </w:pPr>
    <w:rPr>
      <w:rFonts w:ascii="Times New Roman" w:hAnsi="Times New Roman" w:eastAsia="宋体" w:cs="Times New Roman"/>
    </w:rPr>
  </w:style>
  <w:style w:type="paragraph" w:styleId="5">
    <w:name w:val="annotation text"/>
    <w:basedOn w:val="1"/>
    <w:link w:val="25"/>
    <w:qFormat/>
    <w:uiPriority w:val="0"/>
    <w:pPr>
      <w:jc w:val="left"/>
    </w:pPr>
  </w:style>
  <w:style w:type="paragraph" w:styleId="6">
    <w:name w:val="Body Text"/>
    <w:basedOn w:val="1"/>
    <w:qFormat/>
    <w:uiPriority w:val="0"/>
    <w:pPr>
      <w:spacing w:line="580" w:lineRule="exact"/>
    </w:pPr>
    <w:rPr>
      <w:rFonts w:ascii="仿宋_GB2312" w:eastAsia="仿宋_GB2312"/>
      <w:sz w:val="32"/>
    </w:rPr>
  </w:style>
  <w:style w:type="paragraph" w:styleId="7">
    <w:name w:val="Balloon Text"/>
    <w:basedOn w:val="1"/>
    <w:link w:val="24"/>
    <w:qFormat/>
    <w:uiPriority w:val="0"/>
    <w:rPr>
      <w:sz w:val="18"/>
      <w:szCs w:val="18"/>
    </w:r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9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0">
    <w:name w:val="footnote text"/>
    <w:basedOn w:val="1"/>
    <w:qFormat/>
    <w:uiPriority w:val="0"/>
    <w:pPr>
      <w:snapToGrid w:val="0"/>
      <w:jc w:val="left"/>
    </w:pPr>
    <w:rPr>
      <w:sz w:val="18"/>
    </w:rPr>
  </w:style>
  <w:style w:type="paragraph" w:styleId="11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12">
    <w:name w:val="annotation subject"/>
    <w:basedOn w:val="5"/>
    <w:next w:val="5"/>
    <w:link w:val="26"/>
    <w:qFormat/>
    <w:uiPriority w:val="0"/>
    <w:rPr>
      <w:b/>
      <w:bCs/>
    </w:rPr>
  </w:style>
  <w:style w:type="table" w:styleId="14">
    <w:name w:val="Table Grid"/>
    <w:basedOn w:val="13"/>
    <w:unhideWhenUsed/>
    <w:qFormat/>
    <w:uiPriority w:val="99"/>
    <w:rPr>
      <w:rFonts w:eastAsia="Times New Roman"/>
    </w:rPr>
    <w:tblPr>
      <w:tblBorders>
        <w:top w:val="single" w:color="CBCDD1" w:sz="6" w:space="0"/>
        <w:left w:val="single" w:color="CBCDD1" w:sz="6" w:space="0"/>
        <w:bottom w:val="single" w:color="CBCDD1" w:sz="6" w:space="0"/>
        <w:right w:val="single" w:color="CBCDD1" w:sz="6" w:space="0"/>
        <w:insideH w:val="single" w:color="CBCDD1" w:sz="6" w:space="0"/>
        <w:insideV w:val="single" w:color="CBCDD1" w:sz="6" w:space="0"/>
      </w:tblBorders>
    </w:tblPr>
    <w:tcPr>
      <w:vAlign w:val="center"/>
    </w:tcPr>
  </w:style>
  <w:style w:type="character" w:styleId="16">
    <w:name w:val="Strong"/>
    <w:basedOn w:val="15"/>
    <w:qFormat/>
    <w:uiPriority w:val="22"/>
    <w:rPr>
      <w:b/>
      <w:bCs/>
    </w:rPr>
  </w:style>
  <w:style w:type="character" w:styleId="17">
    <w:name w:val="page number"/>
    <w:basedOn w:val="15"/>
    <w:qFormat/>
    <w:uiPriority w:val="0"/>
  </w:style>
  <w:style w:type="character" w:styleId="18">
    <w:name w:val="FollowedHyperlink"/>
    <w:basedOn w:val="15"/>
    <w:qFormat/>
    <w:uiPriority w:val="0"/>
    <w:rPr>
      <w:color w:val="800080"/>
      <w:u w:val="single"/>
    </w:rPr>
  </w:style>
  <w:style w:type="character" w:styleId="19">
    <w:name w:val="Hyperlink"/>
    <w:basedOn w:val="15"/>
    <w:qFormat/>
    <w:uiPriority w:val="0"/>
    <w:rPr>
      <w:color w:val="0000FF"/>
      <w:u w:val="single"/>
    </w:rPr>
  </w:style>
  <w:style w:type="character" w:styleId="20">
    <w:name w:val="annotation reference"/>
    <w:basedOn w:val="15"/>
    <w:qFormat/>
    <w:uiPriority w:val="0"/>
    <w:rPr>
      <w:sz w:val="21"/>
      <w:szCs w:val="21"/>
    </w:rPr>
  </w:style>
  <w:style w:type="character" w:styleId="21">
    <w:name w:val="footnote reference"/>
    <w:basedOn w:val="15"/>
    <w:qFormat/>
    <w:uiPriority w:val="0"/>
    <w:rPr>
      <w:vertAlign w:val="superscript"/>
    </w:rPr>
  </w:style>
  <w:style w:type="table" w:customStyle="1" w:styleId="22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23">
    <w:name w:val="修订1"/>
    <w:hidden/>
    <w:unhideWhenUsed/>
    <w:qFormat/>
    <w:uiPriority w:val="99"/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customStyle="1" w:styleId="24">
    <w:name w:val="批注框文本 字符"/>
    <w:basedOn w:val="15"/>
    <w:link w:val="7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5">
    <w:name w:val="批注文字 字符"/>
    <w:basedOn w:val="15"/>
    <w:link w:val="5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  <w:style w:type="character" w:customStyle="1" w:styleId="26">
    <w:name w:val="批注主题 字符"/>
    <w:basedOn w:val="25"/>
    <w:link w:val="12"/>
    <w:qFormat/>
    <w:uiPriority w:val="0"/>
    <w:rPr>
      <w:rFonts w:asciiTheme="minorHAnsi" w:hAnsiTheme="minorHAnsi" w:eastAsiaTheme="minorEastAsia" w:cstheme="minorBidi"/>
      <w:b/>
      <w:bCs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362</Words>
  <Characters>2066</Characters>
  <Lines>17</Lines>
  <Paragraphs>4</Paragraphs>
  <TotalTime>911</TotalTime>
  <ScaleCrop>false</ScaleCrop>
  <LinksUpToDate>false</LinksUpToDate>
  <CharactersWithSpaces>2424</CharactersWithSpaces>
  <Application>WPS Office_11.8.2.9695_F1E327BC-269C-435d-A152-05C5408002CA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2025-04-22T05:36:00Z</dcterms:created>
  <dc:creator>范丁洋</dc:creator>
  <cp:lastModifiedBy>user</cp:lastModifiedBy>
  <cp:lastPrinted>2025-04-12T10:38:00Z</cp:lastPrinted>
  <dcterms:modified xsi:type="dcterms:W3CDTF">2025-05-19T10:41:09Z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2052-11.8.2.9695</vt:lpwstr>
  </property>
  <property fmtid="{D5CDD505-2E9C-101B-9397-08002B2CF9AE}" pid="3" name="ICV">
    <vt:lpwstr>AE280445A07EADBCB437FF67CC0DA788_43</vt:lpwstr>
  </property>
</Properties>
</file>