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hint="eastAsia"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华文中宋" w:cs="Times New Roman"/>
          <w:b/>
          <w:sz w:val="72"/>
          <w:szCs w:val="72"/>
          <w:lang w:eastAsia="zh-CN"/>
        </w:rPr>
      </w:pPr>
      <w:r>
        <w:rPr>
          <w:rFonts w:hint="eastAsia" w:ascii="Times New Roman" w:hAnsi="Times New Roman" w:eastAsia="华文中宋" w:cs="Times New Roman"/>
          <w:b/>
          <w:sz w:val="72"/>
          <w:szCs w:val="72"/>
          <w:lang w:eastAsia="zh-CN"/>
        </w:rPr>
        <w:t>中国共产主义青年团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华文中宋" w:cs="Times New Roman"/>
          <w:b/>
          <w:sz w:val="72"/>
          <w:szCs w:val="72"/>
          <w:lang w:eastAsia="zh-CN"/>
        </w:rPr>
      </w:pPr>
      <w:r>
        <w:rPr>
          <w:rFonts w:hint="eastAsia" w:ascii="Times New Roman" w:hAnsi="Times New Roman" w:eastAsia="华文中宋" w:cs="Times New Roman"/>
          <w:b/>
          <w:sz w:val="72"/>
          <w:szCs w:val="72"/>
          <w:lang w:eastAsia="zh-CN"/>
        </w:rPr>
        <w:t>上海市闵行区委员会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华文中宋" w:cs="Times New Roman"/>
          <w:b/>
          <w:sz w:val="72"/>
          <w:szCs w:val="72"/>
        </w:rPr>
      </w:pPr>
      <w:r>
        <w:rPr>
          <w:rFonts w:hint="eastAsia" w:ascii="Times New Roman" w:hAnsi="Times New Roman" w:eastAsia="华文中宋" w:cs="Times New Roman"/>
          <w:b/>
          <w:sz w:val="72"/>
          <w:szCs w:val="72"/>
        </w:rPr>
        <w:t>2024</w:t>
      </w:r>
      <w:r>
        <w:rPr>
          <w:rFonts w:ascii="Times New Roman" w:hAnsi="Times New Roman" w:eastAsia="华文中宋" w:cs="Times New Roman"/>
          <w:b/>
          <w:sz w:val="72"/>
          <w:szCs w:val="72"/>
        </w:rPr>
        <w:t>年度部</w:t>
      </w:r>
      <w:r>
        <w:rPr>
          <w:rFonts w:ascii="Times New Roman" w:hAnsi="Times New Roman" w:eastAsia="华文中宋" w:cs="Times New Roman"/>
          <w:b/>
          <w:sz w:val="72"/>
          <w:szCs w:val="72"/>
        </w:rPr>
        <w:t>门国有资产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华文中宋" w:cs="Times New Roman"/>
          <w:b/>
          <w:sz w:val="72"/>
          <w:szCs w:val="72"/>
        </w:rPr>
      </w:pPr>
      <w:r>
        <w:rPr>
          <w:rFonts w:ascii="Times New Roman" w:hAnsi="Times New Roman" w:eastAsia="华文中宋" w:cs="Times New Roman"/>
          <w:b/>
          <w:sz w:val="72"/>
          <w:szCs w:val="72"/>
        </w:rPr>
        <w:t>管理情况</w:t>
      </w: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center"/>
        <w:outlineLvl w:val="0"/>
        <w:rPr>
          <w:rFonts w:ascii="Times New Roman" w:hAnsi="Times New Roman" w:cs="Times New Roman"/>
          <w:b/>
          <w:bCs/>
          <w:sz w:val="36"/>
          <w:szCs w:val="36"/>
        </w:rPr>
      </w:pPr>
    </w:p>
    <w:p>
      <w:pPr>
        <w:autoSpaceDE w:val="0"/>
        <w:autoSpaceDN w:val="0"/>
        <w:adjustRightInd w:val="0"/>
        <w:jc w:val="left"/>
        <w:outlineLvl w:val="0"/>
        <w:rPr>
          <w:rFonts w:ascii="Times New Roman" w:hAnsi="Times New Roman" w:eastAsia="黑体" w:cs="Times New Roman"/>
          <w:sz w:val="30"/>
          <w:szCs w:val="30"/>
        </w:rPr>
        <w:sectPr>
          <w:pgSz w:w="11906" w:h="16838"/>
          <w:pgMar w:top="1440" w:right="1800" w:bottom="1440" w:left="1800" w:header="851" w:footer="992" w:gutter="0"/>
          <w:cols w:space="720" w:num="1"/>
          <w:docGrid w:type="lines" w:linePitch="312" w:charSpace="0"/>
        </w:sectPr>
      </w:pPr>
    </w:p>
    <w:p>
      <w:pPr>
        <w:autoSpaceDE w:val="0"/>
        <w:autoSpaceDN w:val="0"/>
        <w:adjustRightInd w:val="0"/>
        <w:jc w:val="left"/>
        <w:outlineLvl w:val="0"/>
        <w:rPr>
          <w:rFonts w:ascii="Times New Roman" w:hAnsi="Times New Roman" w:eastAsia="黑体" w:cs="Times New Roman"/>
          <w:sz w:val="30"/>
          <w:szCs w:val="30"/>
        </w:rPr>
      </w:pPr>
      <w:r>
        <w:rPr>
          <w:rFonts w:ascii="Times New Roman" w:hAnsi="Times New Roman" w:eastAsia="黑体" w:cs="Times New Roman"/>
          <w:sz w:val="30"/>
          <w:szCs w:val="30"/>
        </w:rPr>
        <w:t>一、资产负债情况表</w:t>
      </w:r>
    </w:p>
    <w:tbl>
      <w:tblPr>
        <w:tblStyle w:val="4"/>
        <w:tblW w:w="10073" w:type="dxa"/>
        <w:jc w:val="center"/>
        <w:tblLayout w:type="autofit"/>
        <w:tblCellMar>
          <w:top w:w="0" w:type="dxa"/>
          <w:left w:w="108" w:type="dxa"/>
          <w:bottom w:w="0" w:type="dxa"/>
          <w:right w:w="108" w:type="dxa"/>
        </w:tblCellMar>
      </w:tblPr>
      <w:tblGrid>
        <w:gridCol w:w="6190"/>
        <w:gridCol w:w="1070"/>
        <w:gridCol w:w="992"/>
        <w:gridCol w:w="851"/>
        <w:gridCol w:w="970"/>
      </w:tblGrid>
      <w:tr>
        <w:tblPrEx>
          <w:tblCellMar>
            <w:top w:w="0" w:type="dxa"/>
            <w:left w:w="108" w:type="dxa"/>
            <w:bottom w:w="0" w:type="dxa"/>
            <w:right w:w="108" w:type="dxa"/>
          </w:tblCellMar>
        </w:tblPrEx>
        <w:trPr>
          <w:trHeight w:val="435" w:hRule="atLeast"/>
          <w:jc w:val="center"/>
        </w:trPr>
        <w:tc>
          <w:tcPr>
            <w:tcW w:w="6190" w:type="dxa"/>
            <w:tcBorders>
              <w:top w:val="nil"/>
              <w:left w:val="nil"/>
              <w:bottom w:val="single" w:color="000000" w:sz="4" w:space="0"/>
              <w:right w:val="nil"/>
            </w:tcBorders>
            <w:noWrap/>
            <w:vAlign w:val="center"/>
          </w:tcPr>
          <w:p>
            <w:pPr>
              <w:rPr>
                <w:rFonts w:ascii="Times New Roman" w:hAnsi="Times New Roman" w:cs="Times New Roman"/>
                <w:b/>
                <w:bCs/>
                <w:color w:val="000000"/>
                <w:kern w:val="0"/>
                <w:sz w:val="36"/>
                <w:szCs w:val="36"/>
              </w:rPr>
            </w:pPr>
          </w:p>
        </w:tc>
        <w:tc>
          <w:tcPr>
            <w:tcW w:w="2062" w:type="dxa"/>
            <w:gridSpan w:val="2"/>
            <w:tcBorders>
              <w:top w:val="nil"/>
              <w:left w:val="nil"/>
              <w:bottom w:val="single" w:color="auto" w:sz="4" w:space="0"/>
              <w:right w:val="nil"/>
            </w:tcBorders>
            <w:noWrap/>
            <w:vAlign w:val="center"/>
          </w:tcPr>
          <w:p>
            <w:pPr>
              <w:widowControl/>
              <w:jc w:val="left"/>
              <w:rPr>
                <w:rFonts w:ascii="Times New Roman" w:hAnsi="Times New Roman" w:cs="Times New Roman"/>
                <w:kern w:val="0"/>
                <w:sz w:val="20"/>
                <w:szCs w:val="20"/>
              </w:rPr>
            </w:pPr>
          </w:p>
        </w:tc>
        <w:tc>
          <w:tcPr>
            <w:tcW w:w="1821" w:type="dxa"/>
            <w:gridSpan w:val="2"/>
            <w:tcBorders>
              <w:top w:val="nil"/>
              <w:left w:val="nil"/>
              <w:bottom w:val="single" w:color="auto" w:sz="4" w:space="0"/>
              <w:right w:val="nil"/>
            </w:tcBorders>
            <w:noWrap/>
            <w:vAlign w:val="center"/>
          </w:tcPr>
          <w:p>
            <w:pPr>
              <w:widowControl/>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单位：万元</w:t>
            </w:r>
          </w:p>
        </w:tc>
      </w:tr>
      <w:tr>
        <w:tblPrEx>
          <w:tblCellMar>
            <w:top w:w="0" w:type="dxa"/>
            <w:left w:w="108" w:type="dxa"/>
            <w:bottom w:w="0" w:type="dxa"/>
            <w:right w:w="108" w:type="dxa"/>
          </w:tblCellMar>
        </w:tblPrEx>
        <w:trPr>
          <w:trHeight w:val="435" w:hRule="atLeast"/>
          <w:jc w:val="center"/>
        </w:trPr>
        <w:tc>
          <w:tcPr>
            <w:tcW w:w="619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2062"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数量</w:t>
            </w:r>
          </w:p>
        </w:tc>
        <w:tc>
          <w:tcPr>
            <w:tcW w:w="1821"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价值</w:t>
            </w:r>
          </w:p>
        </w:tc>
      </w:tr>
      <w:tr>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ascii="Times New Roman" w:hAnsi="Times New Roman" w:cs="Times New Roman"/>
                <w:color w:val="000000"/>
                <w:kern w:val="0"/>
                <w:sz w:val="20"/>
                <w:szCs w:val="20"/>
              </w:rPr>
            </w:pP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年初数</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年末数</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年初数</w:t>
            </w: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年末数</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一、资产合计</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50.60</w:t>
            </w: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40.29</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（一）流动资产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35.73</w:t>
            </w: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28.14</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（二）固定资产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52.43</w:t>
            </w: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53.17</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其中：1.房屋（平方米）</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sz w:val="20"/>
                <w:szCs w:val="20"/>
              </w:rPr>
              <w:t xml:space="preserve">                2.设备</w:t>
            </w:r>
            <w:r>
              <w:rPr>
                <w:rFonts w:ascii="Times New Roman" w:hAnsi="Times New Roman" w:cs="Times New Roman"/>
                <w:sz w:val="20"/>
                <w:szCs w:val="20"/>
              </w:rPr>
              <w:t>（个/台/辆等）</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其中：（1）车辆（辆）</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一般公务用车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执法执勤用车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特种专业技术用车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其他用车</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（2）单价100万元（含）以上设备（不含车辆）</w:t>
            </w:r>
          </w:p>
        </w:tc>
        <w:tc>
          <w:tcPr>
            <w:tcW w:w="1070"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3.其他固定资产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        减：固定资产累计折旧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37.56</w:t>
            </w: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000000"/>
                <w:kern w:val="0"/>
                <w:sz w:val="22"/>
                <w:lang w:val="en-US" w:eastAsia="zh-CN"/>
              </w:rPr>
            </w:pPr>
            <w:r>
              <w:rPr>
                <w:rFonts w:hint="eastAsia" w:ascii="Times New Roman" w:hAnsi="Times New Roman" w:cs="Times New Roman"/>
                <w:color w:val="000000"/>
                <w:kern w:val="0"/>
                <w:sz w:val="22"/>
                <w:lang w:val="en-US" w:eastAsia="zh-CN"/>
              </w:rPr>
              <w:t>41.56</w:t>
            </w: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sz w:val="20"/>
                <w:szCs w:val="20"/>
              </w:rPr>
              <w:t xml:space="preserve">   （三）长期股权投资</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（四）长期债券投资</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color w:val="000000"/>
                <w:kern w:val="0"/>
                <w:sz w:val="20"/>
                <w:szCs w:val="20"/>
              </w:rPr>
            </w:pPr>
            <w:r>
              <w:rPr>
                <w:rFonts w:ascii="Times New Roman" w:hAnsi="Times New Roman" w:cs="Times New Roman"/>
                <w:color w:val="000000"/>
                <w:sz w:val="20"/>
                <w:szCs w:val="20"/>
              </w:rPr>
              <w:t xml:space="preserve">   （五）在建工程</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（六）无形资产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减：无形资产累计摊销</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（七）其他资产</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二、负债合计</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三、净资产合计</w:t>
            </w:r>
          </w:p>
        </w:tc>
        <w:tc>
          <w:tcPr>
            <w:tcW w:w="10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p>
        </w:tc>
        <w:tc>
          <w:tcPr>
            <w:tcW w:w="851"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0"/>
                <w:szCs w:val="20"/>
              </w:rPr>
            </w:pPr>
          </w:p>
        </w:tc>
        <w:tc>
          <w:tcPr>
            <w:tcW w:w="970"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cs="Times New Roman"/>
                <w:color w:val="000000"/>
                <w:kern w:val="0"/>
                <w:sz w:val="22"/>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70" w:lineRule="exact"/>
        <w:ind w:firstLine="639" w:firstLineChars="213"/>
        <w:rPr>
          <w:rFonts w:ascii="Times New Roman" w:hAnsi="Times New Roman" w:eastAsia="黑体" w:cs="Times New Roman"/>
          <w:sz w:val="30"/>
          <w:szCs w:val="30"/>
        </w:rPr>
      </w:pPr>
      <w:r>
        <w:rPr>
          <w:rFonts w:ascii="Times New Roman" w:hAnsi="Times New Roman" w:eastAsia="黑体" w:cs="Times New Roman"/>
          <w:sz w:val="30"/>
          <w:szCs w:val="30"/>
        </w:rPr>
        <w:t>二、车辆、房屋特殊占用情况说明</w:t>
      </w:r>
    </w:p>
    <w:p>
      <w:pPr>
        <w:spacing w:line="570" w:lineRule="exact"/>
        <w:ind w:firstLine="639" w:firstLineChars="213"/>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（一）车辆</w:t>
      </w:r>
    </w:p>
    <w:p>
      <w:pPr>
        <w:spacing w:line="570" w:lineRule="exact"/>
        <w:ind w:firstLine="639" w:firstLineChars="213"/>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lang w:eastAsia="zh-CN"/>
        </w:rPr>
        <w:t>共青团闵行区委员会</w:t>
      </w:r>
      <w:r>
        <w:rPr>
          <w:rFonts w:hint="eastAsia" w:ascii="Times New Roman" w:hAnsi="Times New Roman" w:eastAsia="仿宋_GB2312" w:cs="Times New Roman"/>
          <w:sz w:val="30"/>
          <w:szCs w:val="30"/>
        </w:rPr>
        <w:t>2024</w:t>
      </w:r>
      <w:r>
        <w:rPr>
          <w:rFonts w:ascii="Times New Roman" w:hAnsi="Times New Roman" w:eastAsia="仿宋_GB2312" w:cs="Times New Roman"/>
          <w:sz w:val="30"/>
          <w:szCs w:val="30"/>
        </w:rPr>
        <w:t>年度无车辆特殊占用情况说明。</w:t>
      </w:r>
    </w:p>
    <w:p>
      <w:pPr>
        <w:spacing w:line="570" w:lineRule="exact"/>
        <w:ind w:firstLine="639" w:firstLineChars="213"/>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（二）房屋</w:t>
      </w:r>
    </w:p>
    <w:p>
      <w:pPr>
        <w:spacing w:line="570" w:lineRule="exact"/>
        <w:ind w:firstLine="639" w:firstLineChars="213"/>
        <w:rPr>
          <w:rFonts w:ascii="Times New Roman" w:hAnsi="Times New Roman" w:eastAsia="仿宋_GB2312" w:cs="Times New Roman"/>
          <w:color w:val="000000"/>
          <w:sz w:val="30"/>
          <w:szCs w:val="30"/>
        </w:rPr>
      </w:pPr>
      <w:bookmarkStart w:id="0" w:name="_GoBack"/>
      <w:bookmarkEnd w:id="0"/>
      <w:r>
        <w:rPr>
          <w:rFonts w:ascii="Times New Roman" w:hAnsi="Times New Roman" w:eastAsia="仿宋_GB2312" w:cs="Times New Roman"/>
          <w:color w:val="000000"/>
          <w:sz w:val="30"/>
          <w:szCs w:val="30"/>
        </w:rPr>
        <w:t>截至</w:t>
      </w:r>
      <w:r>
        <w:rPr>
          <w:rFonts w:hint="eastAsia" w:ascii="Times New Roman" w:hAnsi="Times New Roman" w:eastAsia="仿宋_GB2312" w:cs="Times New Roman"/>
          <w:color w:val="000000"/>
          <w:sz w:val="30"/>
          <w:szCs w:val="30"/>
        </w:rPr>
        <w:t>2024</w:t>
      </w:r>
      <w:r>
        <w:rPr>
          <w:rFonts w:ascii="Times New Roman" w:hAnsi="Times New Roman" w:eastAsia="仿宋_GB2312" w:cs="Times New Roman"/>
          <w:color w:val="000000"/>
          <w:sz w:val="30"/>
          <w:szCs w:val="30"/>
        </w:rPr>
        <w:t>年12月31日，</w:t>
      </w:r>
      <w:r>
        <w:rPr>
          <w:rFonts w:hint="eastAsia" w:ascii="Times New Roman" w:hAnsi="Times New Roman" w:eastAsia="仿宋_GB2312" w:cs="Times New Roman"/>
          <w:color w:val="000000"/>
          <w:sz w:val="30"/>
          <w:szCs w:val="30"/>
          <w:lang w:eastAsia="zh-CN"/>
        </w:rPr>
        <w:t>共青团闵行区委员会</w:t>
      </w:r>
      <w:r>
        <w:rPr>
          <w:rFonts w:ascii="Times New Roman" w:hAnsi="Times New Roman" w:eastAsia="仿宋_GB2312" w:cs="Times New Roman"/>
          <w:color w:val="000000"/>
          <w:sz w:val="30"/>
          <w:szCs w:val="30"/>
        </w:rPr>
        <w:t>使用的房屋中由区机关事务管理局拥有产权并统一调配使用的房屋为</w:t>
      </w:r>
      <w:r>
        <w:rPr>
          <w:rFonts w:hint="eastAsia" w:ascii="仿宋_GB2312" w:hAnsi="仿宋_GB2312" w:eastAsia="仿宋_GB2312" w:cs="仿宋_GB2312"/>
          <w:color w:val="000000"/>
          <w:sz w:val="32"/>
          <w:szCs w:val="32"/>
        </w:rPr>
        <w:t>262.5</w:t>
      </w:r>
      <w:r>
        <w:rPr>
          <w:rFonts w:ascii="Times New Roman" w:hAnsi="Times New Roman" w:eastAsia="仿宋_GB2312" w:cs="Times New Roman"/>
          <w:color w:val="000000"/>
          <w:sz w:val="30"/>
          <w:szCs w:val="30"/>
        </w:rPr>
        <w:t>平方米。</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rPr>
                              <w:lang/>
                            </w:rPr>
                            <w:t>3</w:t>
                          </w:r>
                          <w: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ypXJC0AQAAUgMAAA4AAABkcnMv&#10;ZTJvRG9jLnhtbK1TzWobMRC+F/IOQvdYax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KlckLQBAABSAwAADgAAAAAAAAABACAAAAA0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1B73"/>
    <w:rsid w:val="005C2478"/>
    <w:rsid w:val="00B16568"/>
    <w:rsid w:val="1DFD401C"/>
    <w:rsid w:val="4FEF34C0"/>
    <w:rsid w:val="76A75A7C"/>
    <w:rsid w:val="7BAD5B72"/>
    <w:rsid w:val="7DFF4B3E"/>
    <w:rsid w:val="7EA7657C"/>
    <w:rsid w:val="7EE91B73"/>
    <w:rsid w:val="BDFE500D"/>
    <w:rsid w:val="BEDF0B7C"/>
    <w:rsid w:val="BFEFB401"/>
    <w:rsid w:val="DFB99D91"/>
    <w:rsid w:val="FB9FE9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1186</Characters>
  <Lines>9</Lines>
  <Paragraphs>2</Paragraphs>
  <TotalTime>11</TotalTime>
  <ScaleCrop>false</ScaleCrop>
  <LinksUpToDate>false</LinksUpToDate>
  <CharactersWithSpaces>1392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2023-05-27T17:21:00Z</dcterms:created>
  <dc:creator>lenovo</dc:creator>
  <cp:lastModifiedBy>mhxc</cp:lastModifiedBy>
  <cp:lastPrinted>2023-06-17T06:53:00Z</cp:lastPrinted>
  <dcterms:modified xsi:type="dcterms:W3CDTF">2025-08-14T09:34:12Z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