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397B2">
      <w:pPr>
        <w:widowControl/>
        <w:jc w:val="distribute"/>
        <w:rPr>
          <w:rFonts w:hint="eastAsia" w:ascii="方正小标宋简体" w:hAnsi="宋体" w:eastAsia="方正小标宋简体" w:cs="宋体"/>
          <w:b/>
          <w:kern w:val="0"/>
          <w:sz w:val="48"/>
          <w:szCs w:val="48"/>
        </w:rPr>
      </w:pPr>
      <w:r>
        <w:rPr>
          <w:rFonts w:hint="eastAsia" w:ascii="方正小标宋简体" w:hAnsi="宋体" w:eastAsia="方正小标宋简体" w:cs="宋体"/>
          <w:b/>
          <w:color w:val="FF0000"/>
          <w:kern w:val="0"/>
          <w:sz w:val="48"/>
          <w:szCs w:val="48"/>
        </w:rPr>
        <w:t>上海市闵行区人民政府教育督导室文件</w:t>
      </w:r>
    </w:p>
    <w:p w14:paraId="49FAA24D">
      <w:pPr>
        <w:spacing w:line="500" w:lineRule="exact"/>
        <w:jc w:val="center"/>
        <w:rPr>
          <w:rFonts w:ascii="仿宋_GB2312" w:eastAsia="仿宋_GB2312"/>
          <w:sz w:val="32"/>
        </w:rPr>
      </w:pPr>
    </w:p>
    <w:p w14:paraId="4EDFD40A">
      <w:pPr>
        <w:spacing w:line="500" w:lineRule="exact"/>
        <w:jc w:val="center"/>
        <w:rPr>
          <w:rFonts w:ascii="仿宋_GB2312" w:eastAsia="仿宋_GB2312"/>
          <w:sz w:val="32"/>
        </w:rPr>
      </w:pPr>
    </w:p>
    <w:p w14:paraId="17E4CD29">
      <w:pPr>
        <w:pBdr>
          <w:bottom w:val="single" w:color="FF0000" w:sz="12" w:space="1"/>
        </w:pBdr>
        <w:spacing w:line="560" w:lineRule="exact"/>
        <w:jc w:val="center"/>
        <w:rPr>
          <w:rFonts w:hint="eastAsia" w:ascii="仿宋" w:hAnsi="仿宋" w:eastAsia="仿宋"/>
          <w:sz w:val="32"/>
        </w:rPr>
      </w:pPr>
      <w:r>
        <w:rPr>
          <w:rFonts w:hint="eastAsia" w:ascii="仿宋" w:hAnsi="仿宋" w:eastAsia="仿宋"/>
          <w:sz w:val="32"/>
        </w:rPr>
        <w:t>闵府教督〔202</w:t>
      </w:r>
      <w:r>
        <w:rPr>
          <w:rFonts w:hint="eastAsia" w:ascii="仿宋" w:hAnsi="仿宋" w:eastAsia="仿宋"/>
          <w:sz w:val="32"/>
          <w:lang w:val="en-US" w:eastAsia="zh-CN"/>
        </w:rPr>
        <w:t>5</w:t>
      </w:r>
      <w:r>
        <w:rPr>
          <w:rFonts w:hint="eastAsia" w:ascii="仿宋" w:hAnsi="仿宋" w:eastAsia="仿宋"/>
          <w:sz w:val="32"/>
        </w:rPr>
        <w:t>〕</w:t>
      </w:r>
      <w:r>
        <w:rPr>
          <w:rFonts w:hint="eastAsia" w:ascii="仿宋" w:hAnsi="仿宋" w:eastAsia="仿宋"/>
          <w:sz w:val="32"/>
          <w:lang w:val="en-US" w:eastAsia="zh-CN"/>
        </w:rPr>
        <w:t>16</w:t>
      </w:r>
      <w:r>
        <w:rPr>
          <w:rFonts w:hint="eastAsia" w:ascii="仿宋" w:hAnsi="仿宋" w:eastAsia="仿宋"/>
          <w:sz w:val="32"/>
        </w:rPr>
        <w:t>号</w:t>
      </w:r>
    </w:p>
    <w:p w14:paraId="37AE4BAD">
      <w:pPr>
        <w:jc w:val="center"/>
        <w:rPr>
          <w:rFonts w:ascii="Times New Roman" w:hAnsi="Times New Roman"/>
          <w:szCs w:val="21"/>
        </w:rPr>
      </w:pPr>
      <w:r>
        <w:rPr>
          <w:rFonts w:hint="eastAsia" w:ascii="宋体" w:hAnsi="宋体"/>
          <w:b/>
          <w:szCs w:val="21"/>
        </w:rPr>
        <w:t xml:space="preserve"> </w:t>
      </w:r>
    </w:p>
    <w:p w14:paraId="0751FAE5">
      <w:pPr>
        <w:widowControl/>
        <w:snapToGrid w:val="0"/>
        <w:jc w:val="center"/>
        <w:rPr>
          <w:rFonts w:hint="eastAsia" w:ascii="方正小标宋简体" w:hAnsi="仿宋" w:eastAsia="方正小标宋简体" w:cs="宋体"/>
          <w:color w:val="000000" w:themeColor="text1"/>
          <w:spacing w:val="0"/>
          <w:kern w:val="0"/>
          <w:sz w:val="44"/>
          <w:szCs w:val="36"/>
        </w:rPr>
      </w:pPr>
      <w:r>
        <w:rPr>
          <w:rFonts w:hint="eastAsia" w:ascii="方正小标宋简体" w:hAnsi="仿宋" w:eastAsia="方正小标宋简体" w:cs="宋体"/>
          <w:color w:val="000000" w:themeColor="text1"/>
          <w:spacing w:val="0"/>
          <w:kern w:val="0"/>
          <w:sz w:val="44"/>
          <w:szCs w:val="36"/>
        </w:rPr>
        <w:t>关于印发</w:t>
      </w:r>
      <w:r>
        <w:rPr>
          <w:rFonts w:hint="eastAsia" w:ascii="方正小标宋简体" w:hAnsi="仿宋" w:eastAsia="方正小标宋简体" w:cs="宋体"/>
          <w:color w:val="000000" w:themeColor="text1"/>
          <w:spacing w:val="0"/>
          <w:kern w:val="0"/>
          <w:sz w:val="44"/>
          <w:szCs w:val="44"/>
        </w:rPr>
        <w:t>《</w:t>
      </w:r>
      <w:r>
        <w:rPr>
          <w:rFonts w:hint="eastAsia" w:ascii="方正小标宋简体" w:hAnsi="仿宋" w:eastAsia="方正小标宋简体" w:cs="宋体"/>
          <w:color w:val="000000" w:themeColor="text1"/>
          <w:spacing w:val="0"/>
          <w:kern w:val="0"/>
          <w:sz w:val="44"/>
          <w:szCs w:val="44"/>
          <w:lang w:val="en-US" w:eastAsia="zh-CN"/>
        </w:rPr>
        <w:t>上海市</w:t>
      </w:r>
      <w:r>
        <w:rPr>
          <w:rFonts w:hint="eastAsia" w:ascii="方正小标宋简体" w:hAnsi="仿宋" w:eastAsia="方正小标宋简体" w:cs="宋体"/>
          <w:color w:val="000000" w:themeColor="text1"/>
          <w:spacing w:val="0"/>
          <w:kern w:val="0"/>
          <w:sz w:val="44"/>
          <w:szCs w:val="36"/>
        </w:rPr>
        <w:t>金汇实验</w:t>
      </w:r>
      <w:r>
        <w:rPr>
          <w:rFonts w:hint="eastAsia" w:ascii="方正小标宋简体" w:hAnsi="仿宋" w:eastAsia="方正小标宋简体" w:cs="宋体"/>
          <w:color w:val="000000" w:themeColor="text1"/>
          <w:spacing w:val="0"/>
          <w:kern w:val="0"/>
          <w:sz w:val="44"/>
          <w:szCs w:val="44"/>
          <w:lang w:val="en-US" w:eastAsia="zh-CN"/>
        </w:rPr>
        <w:t>幼儿</w:t>
      </w:r>
      <w:r>
        <w:rPr>
          <w:rFonts w:hint="eastAsia" w:ascii="方正小标宋简体" w:hAnsi="仿宋" w:eastAsia="方正小标宋简体" w:cs="宋体"/>
          <w:color w:val="000000" w:themeColor="text1"/>
          <w:spacing w:val="0"/>
          <w:kern w:val="0"/>
          <w:sz w:val="44"/>
          <w:szCs w:val="36"/>
        </w:rPr>
        <w:t>园办园水</w:t>
      </w:r>
      <w:r>
        <w:rPr>
          <w:rFonts w:hint="eastAsia" w:ascii="方正小标宋简体" w:hAnsi="仿宋" w:eastAsia="方正小标宋简体" w:cs="宋体"/>
          <w:color w:val="000000" w:themeColor="text1"/>
          <w:spacing w:val="0"/>
          <w:kern w:val="0"/>
          <w:sz w:val="44"/>
          <w:szCs w:val="44"/>
        </w:rPr>
        <w:t>平（20</w:t>
      </w:r>
      <w:r>
        <w:rPr>
          <w:rFonts w:hint="eastAsia" w:ascii="方正小标宋简体" w:hAnsi="仿宋" w:eastAsia="方正小标宋简体" w:cs="宋体"/>
          <w:color w:val="000000" w:themeColor="text1"/>
          <w:spacing w:val="0"/>
          <w:kern w:val="0"/>
          <w:sz w:val="44"/>
          <w:szCs w:val="44"/>
          <w:lang w:val="en-US" w:eastAsia="zh-CN"/>
        </w:rPr>
        <w:t>20</w:t>
      </w:r>
      <w:r>
        <w:rPr>
          <w:rFonts w:hint="eastAsia" w:ascii="方正小标宋简体" w:hAnsi="仿宋" w:eastAsia="方正小标宋简体" w:cs="宋体"/>
          <w:color w:val="000000" w:themeColor="text1"/>
          <w:spacing w:val="0"/>
          <w:kern w:val="0"/>
          <w:sz w:val="44"/>
          <w:szCs w:val="44"/>
        </w:rPr>
        <w:t>-202</w:t>
      </w:r>
      <w:r>
        <w:rPr>
          <w:rFonts w:hint="eastAsia" w:ascii="方正小标宋简体" w:hAnsi="仿宋" w:eastAsia="方正小标宋简体" w:cs="宋体"/>
          <w:color w:val="000000" w:themeColor="text1"/>
          <w:spacing w:val="0"/>
          <w:kern w:val="0"/>
          <w:sz w:val="44"/>
          <w:szCs w:val="44"/>
          <w:lang w:val="en-US" w:eastAsia="zh-CN"/>
        </w:rPr>
        <w:t>5</w:t>
      </w:r>
      <w:r>
        <w:rPr>
          <w:rFonts w:hint="eastAsia" w:ascii="方正小标宋简体" w:hAnsi="仿宋" w:eastAsia="方正小标宋简体" w:cs="宋体"/>
          <w:color w:val="000000" w:themeColor="text1"/>
          <w:spacing w:val="0"/>
          <w:kern w:val="0"/>
          <w:sz w:val="44"/>
          <w:szCs w:val="44"/>
        </w:rPr>
        <w:t>）综合督导意见书</w:t>
      </w:r>
      <w:r>
        <w:rPr>
          <w:rFonts w:hint="eastAsia" w:ascii="方正小标宋简体" w:hAnsi="仿宋" w:eastAsia="方正小标宋简体" w:cs="宋体"/>
          <w:color w:val="000000" w:themeColor="text1"/>
          <w:spacing w:val="0"/>
          <w:kern w:val="0"/>
          <w:sz w:val="44"/>
          <w:szCs w:val="36"/>
        </w:rPr>
        <w:t>》的通知</w:t>
      </w:r>
    </w:p>
    <w:p w14:paraId="38769D73">
      <w:pPr>
        <w:snapToGrid w:val="0"/>
        <w:spacing w:line="360" w:lineRule="auto"/>
        <w:rPr>
          <w:rFonts w:hint="eastAsia" w:ascii="仿宋" w:hAnsi="仿宋" w:eastAsia="仿宋"/>
          <w:bCs/>
          <w:color w:val="000000" w:themeColor="text1"/>
          <w:kern w:val="20"/>
          <w:sz w:val="22"/>
          <w:szCs w:val="32"/>
        </w:rPr>
      </w:pPr>
    </w:p>
    <w:p w14:paraId="1FA9D924">
      <w:pPr>
        <w:snapToGrid w:val="0"/>
        <w:spacing w:line="360" w:lineRule="auto"/>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lang w:val="en-US" w:eastAsia="zh-CN"/>
        </w:rPr>
        <w:t>上海市</w:t>
      </w:r>
      <w:r>
        <w:rPr>
          <w:rFonts w:hint="eastAsia" w:ascii="仿宋" w:hAnsi="仿宋" w:eastAsia="仿宋"/>
          <w:color w:val="000000" w:themeColor="text1"/>
          <w:kern w:val="0"/>
          <w:sz w:val="32"/>
          <w:szCs w:val="32"/>
        </w:rPr>
        <w:t>金汇实验幼儿园：</w:t>
      </w:r>
    </w:p>
    <w:p w14:paraId="0A3E5D19">
      <w:pPr>
        <w:widowControl/>
        <w:snapToGrid w:val="0"/>
        <w:spacing w:line="360" w:lineRule="auto"/>
        <w:ind w:firstLine="640" w:firstLineChars="200"/>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现将《</w:t>
      </w:r>
      <w:r>
        <w:rPr>
          <w:rFonts w:hint="eastAsia" w:ascii="仿宋" w:hAnsi="仿宋" w:eastAsia="仿宋"/>
          <w:color w:val="000000" w:themeColor="text1"/>
          <w:kern w:val="0"/>
          <w:sz w:val="32"/>
          <w:szCs w:val="32"/>
          <w:lang w:val="en-US" w:eastAsia="zh-CN"/>
        </w:rPr>
        <w:t>上海市</w:t>
      </w:r>
      <w:r>
        <w:rPr>
          <w:rFonts w:hint="eastAsia" w:ascii="仿宋" w:hAnsi="仿宋" w:eastAsia="仿宋"/>
          <w:color w:val="000000" w:themeColor="text1"/>
          <w:kern w:val="0"/>
          <w:sz w:val="32"/>
          <w:szCs w:val="32"/>
        </w:rPr>
        <w:t>金汇实验幼儿园办园水平（20</w:t>
      </w:r>
      <w:r>
        <w:rPr>
          <w:rFonts w:hint="eastAsia" w:ascii="仿宋" w:hAnsi="仿宋" w:eastAsia="仿宋"/>
          <w:color w:val="000000" w:themeColor="text1"/>
          <w:kern w:val="0"/>
          <w:sz w:val="32"/>
          <w:szCs w:val="32"/>
          <w:lang w:val="en-US" w:eastAsia="zh-CN"/>
        </w:rPr>
        <w:t>20</w:t>
      </w:r>
      <w:r>
        <w:rPr>
          <w:rFonts w:hint="eastAsia" w:ascii="仿宋" w:hAnsi="仿宋" w:eastAsia="仿宋"/>
          <w:color w:val="000000" w:themeColor="text1"/>
          <w:kern w:val="0"/>
          <w:sz w:val="32"/>
          <w:szCs w:val="32"/>
        </w:rPr>
        <w:t>-202</w:t>
      </w:r>
      <w:r>
        <w:rPr>
          <w:rFonts w:hint="eastAsia" w:ascii="仿宋" w:hAnsi="仿宋" w:eastAsia="仿宋"/>
          <w:color w:val="000000" w:themeColor="text1"/>
          <w:kern w:val="0"/>
          <w:sz w:val="32"/>
          <w:szCs w:val="32"/>
          <w:lang w:val="en-US" w:eastAsia="zh-CN"/>
        </w:rPr>
        <w:t>5</w:t>
      </w:r>
      <w:r>
        <w:rPr>
          <w:rFonts w:hint="eastAsia" w:ascii="仿宋" w:hAnsi="仿宋" w:eastAsia="仿宋"/>
          <w:color w:val="000000" w:themeColor="text1"/>
          <w:kern w:val="0"/>
          <w:sz w:val="32"/>
          <w:szCs w:val="32"/>
        </w:rPr>
        <w:t>）综合督导意见书》印发给你们。请针对意见书中提出的问题和改进建议，在认真研究的基础上制定出改进计划，在收到意见书的一个月内书面报我室。</w:t>
      </w:r>
    </w:p>
    <w:p w14:paraId="4A2A7F3C">
      <w:pPr>
        <w:widowControl/>
        <w:snapToGrid w:val="0"/>
        <w:spacing w:line="360" w:lineRule="auto"/>
        <w:jc w:val="left"/>
        <w:rPr>
          <w:rFonts w:hint="eastAsia" w:ascii="仿宋" w:hAnsi="仿宋" w:eastAsia="仿宋"/>
          <w:color w:val="000000" w:themeColor="text1"/>
          <w:kern w:val="0"/>
          <w:sz w:val="32"/>
          <w:szCs w:val="32"/>
        </w:rPr>
      </w:pPr>
    </w:p>
    <w:p w14:paraId="4480131C">
      <w:pPr>
        <w:widowControl/>
        <w:snapToGrid w:val="0"/>
        <w:spacing w:line="360" w:lineRule="auto"/>
        <w:ind w:left="708" w:leftChars="337" w:firstLine="1"/>
        <w:jc w:val="left"/>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附件：</w:t>
      </w:r>
      <w:r>
        <w:rPr>
          <w:rFonts w:hint="eastAsia" w:ascii="仿宋" w:hAnsi="仿宋" w:eastAsia="仿宋"/>
          <w:color w:val="000000" w:themeColor="text1"/>
          <w:kern w:val="0"/>
          <w:sz w:val="32"/>
          <w:szCs w:val="32"/>
          <w:lang w:val="en-US" w:eastAsia="zh-CN"/>
        </w:rPr>
        <w:t>上海市</w:t>
      </w:r>
      <w:r>
        <w:rPr>
          <w:rFonts w:hint="eastAsia" w:ascii="仿宋" w:hAnsi="仿宋" w:eastAsia="仿宋"/>
          <w:color w:val="000000" w:themeColor="text1"/>
          <w:kern w:val="0"/>
          <w:sz w:val="32"/>
          <w:szCs w:val="32"/>
        </w:rPr>
        <w:t>金汇实验</w:t>
      </w:r>
      <w:r>
        <w:rPr>
          <w:rFonts w:hint="eastAsia" w:ascii="仿宋" w:hAnsi="仿宋" w:eastAsia="仿宋"/>
          <w:color w:val="000000" w:themeColor="text1"/>
          <w:kern w:val="0"/>
          <w:sz w:val="32"/>
          <w:szCs w:val="32"/>
          <w:lang w:val="en-US" w:eastAsia="zh-CN"/>
        </w:rPr>
        <w:t>幼</w:t>
      </w:r>
      <w:r>
        <w:rPr>
          <w:rFonts w:hint="eastAsia" w:ascii="仿宋" w:hAnsi="仿宋" w:eastAsia="仿宋"/>
          <w:color w:val="000000" w:themeColor="text1"/>
          <w:kern w:val="0"/>
          <w:sz w:val="32"/>
          <w:szCs w:val="32"/>
        </w:rPr>
        <w:t>儿园办园水</w:t>
      </w:r>
      <w:r>
        <w:rPr>
          <w:rFonts w:hint="eastAsia" w:ascii="仿宋" w:hAnsi="仿宋" w:eastAsia="仿宋"/>
          <w:color w:val="000000" w:themeColor="text1"/>
          <w:kern w:val="0"/>
          <w:sz w:val="32"/>
          <w:szCs w:val="32"/>
          <w:lang w:val="en-US" w:eastAsia="zh-CN"/>
        </w:rPr>
        <w:t>平</w:t>
      </w:r>
      <w:r>
        <w:rPr>
          <w:rFonts w:hint="eastAsia" w:ascii="仿宋" w:hAnsi="仿宋" w:eastAsia="仿宋"/>
          <w:color w:val="000000" w:themeColor="text1"/>
          <w:kern w:val="0"/>
          <w:sz w:val="32"/>
          <w:szCs w:val="32"/>
        </w:rPr>
        <w:t>（20</w:t>
      </w:r>
      <w:r>
        <w:rPr>
          <w:rFonts w:hint="eastAsia" w:ascii="仿宋" w:hAnsi="仿宋" w:eastAsia="仿宋"/>
          <w:color w:val="000000" w:themeColor="text1"/>
          <w:kern w:val="0"/>
          <w:sz w:val="32"/>
          <w:szCs w:val="32"/>
          <w:lang w:val="en-US" w:eastAsia="zh-CN"/>
        </w:rPr>
        <w:t>20</w:t>
      </w:r>
      <w:r>
        <w:rPr>
          <w:rFonts w:hint="eastAsia" w:ascii="仿宋" w:hAnsi="仿宋" w:eastAsia="仿宋"/>
          <w:color w:val="000000" w:themeColor="text1"/>
          <w:kern w:val="0"/>
          <w:sz w:val="32"/>
          <w:szCs w:val="32"/>
        </w:rPr>
        <w:t>-202</w:t>
      </w:r>
      <w:r>
        <w:rPr>
          <w:rFonts w:hint="eastAsia" w:ascii="仿宋" w:hAnsi="仿宋" w:eastAsia="仿宋"/>
          <w:color w:val="000000" w:themeColor="text1"/>
          <w:kern w:val="0"/>
          <w:sz w:val="32"/>
          <w:szCs w:val="32"/>
          <w:lang w:val="en-US" w:eastAsia="zh-CN"/>
        </w:rPr>
        <w:t>5</w:t>
      </w:r>
      <w:r>
        <w:rPr>
          <w:rFonts w:hint="eastAsia" w:ascii="仿宋" w:hAnsi="仿宋" w:eastAsia="仿宋"/>
          <w:color w:val="000000" w:themeColor="text1"/>
          <w:kern w:val="0"/>
          <w:sz w:val="32"/>
          <w:szCs w:val="32"/>
        </w:rPr>
        <w:t>）综合督导意见书</w:t>
      </w:r>
    </w:p>
    <w:p w14:paraId="65F81315">
      <w:pPr>
        <w:snapToGrid w:val="0"/>
        <w:spacing w:line="360" w:lineRule="auto"/>
        <w:ind w:firstLine="560" w:firstLineChars="200"/>
        <w:rPr>
          <w:rFonts w:hint="eastAsia" w:ascii="仿宋" w:hAnsi="仿宋" w:eastAsia="仿宋"/>
          <w:color w:val="000000" w:themeColor="text1"/>
          <w:spacing w:val="-20"/>
          <w:kern w:val="0"/>
          <w:sz w:val="32"/>
          <w:szCs w:val="32"/>
        </w:rPr>
      </w:pPr>
    </w:p>
    <w:p w14:paraId="01543D59">
      <w:pPr>
        <w:pStyle w:val="6"/>
        <w:snapToGrid w:val="0"/>
        <w:spacing w:before="0" w:beforeAutospacing="0" w:after="0" w:afterAutospacing="0" w:line="360" w:lineRule="auto"/>
        <w:ind w:left="2098" w:firstLine="641"/>
        <w:jc w:val="right"/>
        <w:rPr>
          <w:rFonts w:hint="eastAsia" w:ascii="仿宋" w:hAnsi="仿宋" w:eastAsia="仿宋"/>
          <w:color w:val="000000" w:themeColor="text1"/>
          <w:sz w:val="32"/>
          <w:szCs w:val="32"/>
        </w:rPr>
      </w:pPr>
      <w:r>
        <w:rPr>
          <w:rFonts w:hint="eastAsia" w:ascii="仿宋" w:hAnsi="仿宋" w:eastAsia="仿宋"/>
          <w:color w:val="000000" w:themeColor="text1"/>
          <w:sz w:val="32"/>
          <w:szCs w:val="32"/>
        </w:rPr>
        <w:t>闵行区人民政府教育督导室</w:t>
      </w:r>
    </w:p>
    <w:p w14:paraId="279EEA22">
      <w:pPr>
        <w:pStyle w:val="6"/>
        <w:snapToGrid w:val="0"/>
        <w:spacing w:before="0" w:beforeAutospacing="0" w:after="0" w:afterAutospacing="0" w:line="360" w:lineRule="auto"/>
        <w:ind w:left="2098" w:right="506" w:rightChars="241" w:firstLine="641"/>
        <w:jc w:val="right"/>
        <w:rPr>
          <w:rFonts w:hint="eastAsia" w:ascii="仿宋" w:hAnsi="仿宋" w:eastAsia="仿宋"/>
          <w:color w:val="000000" w:themeColor="text1"/>
          <w:sz w:val="32"/>
          <w:szCs w:val="32"/>
        </w:rPr>
      </w:pPr>
      <w:r>
        <w:rPr>
          <w:rFonts w:hint="eastAsia"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年6月30日</w:t>
      </w:r>
    </w:p>
    <w:p w14:paraId="13A652C4">
      <w:pPr>
        <w:spacing w:after="80" w:line="500" w:lineRule="exact"/>
        <w:ind w:firstLine="280" w:firstLineChars="100"/>
        <w:rPr>
          <w:rFonts w:hint="eastAsia" w:ascii="黑体" w:hAnsi="黑体" w:eastAsia="黑体"/>
          <w:color w:val="000000" w:themeColor="text1"/>
          <w:sz w:val="28"/>
          <w:szCs w:val="28"/>
        </w:rPr>
      </w:pPr>
      <w:r>
        <w:rPr>
          <w:rFonts w:hint="eastAsia" w:ascii="黑体" w:hAnsi="黑体" w:eastAsia="黑体" w:cs="宋体"/>
          <w:color w:val="000000" w:themeColor="text1"/>
          <w:kern w:val="0"/>
          <w:sz w:val="28"/>
          <w:szCs w:val="28"/>
        </w:rPr>
        <w:t>公开属性：主动公开</w:t>
      </w:r>
      <w:r>
        <w:rPr>
          <w:rFonts w:hint="eastAsia" w:ascii="黑体" w:hAnsi="黑体" w:eastAsia="黑体"/>
          <w:color w:val="000000" w:themeColor="text1"/>
          <w:sz w:val="28"/>
          <w:szCs w:val="28"/>
        </w:rPr>
        <w:pict>
          <v:line id="直接连接符 3" o:spid="_x0000_s1027" o:spt="20" style="position:absolute;left:0pt;margin-left:0pt;margin-top:30.3pt;height:0pt;width:451.5pt;z-index:251659264;mso-width-relative:page;mso-height-relative:page;" filled="f" stroked="t" coordsize="21600,21600" o:gfxdata="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JRoR0wAA&#10;AAYBAAAPAAAAAAAAAAEAIAAAACIAAABkcnMvZG93bnJldi54bWxQSwECFAAUAAAACACHTuJA4m5g&#10;2+oBAAC4AwAADgAAAAAAAAABACAAAAAiAQAAZHJzL2Uyb0RvYy54bWxQSwUGAAAAAAYABgBZAQAA&#10;fgUAAAAA&#10;">
            <v:path arrowok="t"/>
            <v:fill on="f" focussize="0,0"/>
            <v:stroke color="#000000" joinstyle="round"/>
            <v:imagedata o:title=""/>
            <o:lock v:ext="edit" aspectratio="f"/>
          </v:line>
        </w:pict>
      </w:r>
    </w:p>
    <w:p w14:paraId="0EC712C6">
      <w:pPr>
        <w:spacing w:before="80" w:after="80" w:line="500" w:lineRule="exact"/>
        <w:ind w:firstLine="280" w:firstLineChars="100"/>
        <w:rPr>
          <w:rFonts w:hint="eastAsia" w:ascii="仿宋" w:hAnsi="仿宋" w:eastAsia="仿宋"/>
          <w:color w:val="000000" w:themeColor="text1"/>
          <w:sz w:val="28"/>
          <w:szCs w:val="28"/>
        </w:rPr>
      </w:pPr>
      <w:r>
        <w:rPr>
          <w:rFonts w:hint="eastAsia" w:ascii="仿宋" w:hAnsi="仿宋" w:eastAsia="仿宋"/>
          <w:color w:val="000000" w:themeColor="text1"/>
          <w:sz w:val="28"/>
          <w:szCs w:val="28"/>
        </w:rPr>
        <w:t>抄送：闵行区人民政府办公室、</w:t>
      </w:r>
      <w:r>
        <w:rPr>
          <w:rFonts w:hint="eastAsia" w:ascii="仿宋" w:hAnsi="仿宋" w:eastAsia="仿宋"/>
          <w:color w:val="000000" w:themeColor="text1"/>
          <w:sz w:val="28"/>
          <w:szCs w:val="28"/>
          <w:lang w:val="en-US" w:eastAsia="zh-CN"/>
        </w:rPr>
        <w:t>虹桥镇</w:t>
      </w:r>
      <w:r>
        <w:rPr>
          <w:rFonts w:hint="eastAsia" w:ascii="仿宋" w:hAnsi="仿宋" w:eastAsia="仿宋"/>
          <w:color w:val="000000" w:themeColor="text1"/>
          <w:sz w:val="28"/>
          <w:szCs w:val="28"/>
        </w:rPr>
        <w:t>、上海市闵行区教育局</w:t>
      </w:r>
    </w:p>
    <w:p w14:paraId="7F466BF1">
      <w:pPr>
        <w:spacing w:after="80" w:line="500" w:lineRule="exact"/>
        <w:ind w:firstLine="280" w:firstLineChars="100"/>
        <w:rPr>
          <w:rFonts w:hint="eastAsia" w:ascii="仿宋" w:hAnsi="仿宋" w:eastAsia="仿宋"/>
          <w:color w:val="000000" w:themeColor="text1"/>
          <w:sz w:val="28"/>
          <w:szCs w:val="28"/>
        </w:rPr>
      </w:pPr>
      <w:r>
        <w:rPr>
          <w:rFonts w:hint="eastAsia" w:ascii="Times New Roman" w:hAnsi="Times New Roman" w:eastAsia="宋体"/>
          <w:color w:val="000000" w:themeColor="text1"/>
          <w:sz w:val="28"/>
          <w:szCs w:val="28"/>
        </w:rPr>
        <w:pict>
          <v:line id="直接连接符 2" o:spid="_x0000_s1026" o:spt="20" style="position:absolute;left:0pt;margin-left:0pt;margin-top:-0.5pt;height:0pt;width:451.5pt;z-index:251660288;mso-width-relative:page;mso-height-relative:page;" filled="f" stroked="t" coordsize="21600,21600" o:gfxdata="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tlovrTAAAA&#10;BgEAAA8AAAAAAAAAAQAgAAAAIgAAAGRycy9kb3ducmV2LnhtbFBLAQIUABQAAAAIAIdO4kBEd1uf&#10;6QEAALgDAAAOAAAAAAAAAAEAIAAAACIBAABkcnMvZTJvRG9jLnhtbFBLBQYAAAAABgAGAFkBAAB9&#10;BQAAAAA=&#10;">
            <v:path arrowok="t"/>
            <v:fill on="f" focussize="0,0"/>
            <v:stroke color="#000000" joinstyle="round"/>
            <v:imagedata o:title=""/>
            <o:lock v:ext="edit" aspectratio="f"/>
          </v:line>
        </w:pict>
      </w:r>
      <w:r>
        <w:rPr>
          <w:rFonts w:hint="eastAsia" w:ascii="Times New Roman" w:hAnsi="Times New Roman" w:eastAsia="宋体"/>
          <w:color w:val="000000" w:themeColor="text1"/>
          <w:sz w:val="28"/>
          <w:szCs w:val="28"/>
        </w:rPr>
        <w:pict>
          <v:line id="直接连接符 1" o:spid="_x0000_s1028" o:spt="20" style="position:absolute;left:0pt;margin-left:0pt;margin-top:29.5pt;height:0pt;width:451.5pt;z-index:251660288;mso-width-relative:page;mso-height-relative:page;" filled="f" stroked="t" coordsize="21600,21600" o:gfxdata="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DBrX1AAA&#10;AAYBAAAPAAAAAAAAAAEAIAAAACIAAABkcnMvZG93bnJldi54bWxQSwECFAAUAAAACACHTuJArl0W&#10;U+kBAAC4AwAADgAAAAAAAAABACAAAAAjAQAAZHJzL2Uyb0RvYy54bWxQSwUGAAAAAAYABgBZAQAA&#10;fgUAAAAA&#10;">
            <v:path arrowok="t"/>
            <v:fill on="f" focussize="0,0"/>
            <v:stroke color="#000000" joinstyle="round"/>
            <v:imagedata o:title=""/>
            <o:lock v:ext="edit" aspectratio="f"/>
          </v:line>
        </w:pict>
      </w:r>
      <w:r>
        <w:rPr>
          <w:rFonts w:hint="eastAsia" w:ascii="仿宋" w:hAnsi="仿宋" w:eastAsia="仿宋"/>
          <w:color w:val="000000" w:themeColor="text1"/>
          <w:sz w:val="28"/>
          <w:szCs w:val="28"/>
        </w:rPr>
        <w:t>闵行区人民政府教育督导室              202</w:t>
      </w:r>
      <w:r>
        <w:rPr>
          <w:rFonts w:hint="eastAsia" w:ascii="仿宋" w:hAnsi="仿宋" w:eastAsia="仿宋"/>
          <w:color w:val="000000" w:themeColor="text1"/>
          <w:sz w:val="28"/>
          <w:szCs w:val="28"/>
          <w:lang w:val="en-US" w:eastAsia="zh-CN"/>
        </w:rPr>
        <w:t>5</w:t>
      </w:r>
      <w:r>
        <w:rPr>
          <w:rFonts w:hint="eastAsia" w:ascii="仿宋" w:hAnsi="仿宋" w:eastAsia="仿宋"/>
          <w:color w:val="000000" w:themeColor="text1"/>
          <w:sz w:val="28"/>
          <w:szCs w:val="28"/>
        </w:rPr>
        <w:t>年6月30日印发</w:t>
      </w:r>
    </w:p>
    <w:p w14:paraId="072B9541">
      <w:pPr>
        <w:rPr>
          <w:rFonts w:hint="eastAsia" w:ascii="仿宋" w:hAnsi="仿宋" w:eastAsia="仿宋" w:cs="宋体"/>
          <w:b/>
          <w:w w:val="88"/>
          <w:kern w:val="0"/>
          <w:sz w:val="36"/>
          <w:szCs w:val="36"/>
        </w:rPr>
      </w:pPr>
      <w:r>
        <w:rPr>
          <w:rFonts w:hint="eastAsia" w:ascii="仿宋" w:hAnsi="仿宋" w:eastAsia="仿宋" w:cs="宋体"/>
          <w:b/>
          <w:w w:val="88"/>
          <w:kern w:val="0"/>
          <w:sz w:val="36"/>
          <w:szCs w:val="36"/>
        </w:rPr>
        <w:br w:type="page"/>
      </w:r>
    </w:p>
    <w:p w14:paraId="0B8133C6">
      <w:pPr>
        <w:spacing w:line="360" w:lineRule="auto"/>
        <w:jc w:val="left"/>
        <w:rPr>
          <w:rFonts w:hint="eastAsia" w:ascii="黑体" w:hAnsi="黑体" w:eastAsia="黑体" w:cs="仿宋"/>
          <w:color w:val="000000" w:themeColor="text1"/>
          <w:kern w:val="0"/>
          <w:sz w:val="32"/>
          <w:szCs w:val="32"/>
        </w:rPr>
      </w:pPr>
      <w:r>
        <w:rPr>
          <w:rFonts w:hint="eastAsia" w:ascii="黑体" w:hAnsi="黑体" w:eastAsia="黑体" w:cs="仿宋"/>
          <w:color w:val="000000" w:themeColor="text1"/>
          <w:kern w:val="0"/>
          <w:sz w:val="32"/>
          <w:szCs w:val="32"/>
        </w:rPr>
        <w:t>附件</w:t>
      </w:r>
    </w:p>
    <w:p w14:paraId="43C7C5CD">
      <w:pPr>
        <w:widowControl/>
        <w:spacing w:line="360" w:lineRule="auto"/>
        <w:jc w:val="center"/>
        <w:rPr>
          <w:rFonts w:hint="eastAsia" w:ascii="仿宋" w:hAnsi="仿宋" w:eastAsia="仿宋" w:cs="宋体"/>
          <w:b/>
          <w:kern w:val="0"/>
          <w:sz w:val="36"/>
          <w:szCs w:val="36"/>
        </w:rPr>
      </w:pPr>
    </w:p>
    <w:p w14:paraId="63000120">
      <w:pPr>
        <w:widowControl/>
        <w:spacing w:line="360" w:lineRule="auto"/>
        <w:jc w:val="center"/>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上海市金汇实验幼儿园办园水平（2020-2025）</w:t>
      </w:r>
    </w:p>
    <w:p w14:paraId="0859CD44">
      <w:pPr>
        <w:widowControl/>
        <w:spacing w:line="360" w:lineRule="auto"/>
        <w:jc w:val="center"/>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综合督导意见书</w:t>
      </w:r>
    </w:p>
    <w:p w14:paraId="039D834B">
      <w:pPr>
        <w:widowControl/>
        <w:spacing w:beforeLines="50" w:line="360" w:lineRule="auto"/>
        <w:ind w:firstLine="560" w:firstLineChars="200"/>
        <w:rPr>
          <w:rFonts w:ascii="仿宋" w:hAnsi="仿宋" w:eastAsia="仿宋" w:cs="仿宋"/>
          <w:color w:val="000000"/>
          <w:sz w:val="28"/>
          <w:szCs w:val="28"/>
        </w:rPr>
      </w:pPr>
      <w:r>
        <w:rPr>
          <w:rFonts w:hint="eastAsia" w:ascii="仿宋" w:hAnsi="仿宋" w:eastAsia="仿宋" w:cs="仿宋"/>
          <w:sz w:val="28"/>
          <w:szCs w:val="28"/>
        </w:rPr>
        <w:t>根据</w:t>
      </w:r>
      <w:r>
        <w:rPr>
          <w:rFonts w:hint="eastAsia" w:ascii="仿宋" w:hAnsi="仿宋" w:eastAsia="仿宋" w:cs="仿宋"/>
          <w:color w:val="000000"/>
          <w:kern w:val="0"/>
          <w:sz w:val="28"/>
          <w:szCs w:val="28"/>
        </w:rPr>
        <w:t>教育部《幼儿园办园行为督导评估办法》和《上海市教育督导条例》，</w:t>
      </w:r>
      <w:r>
        <w:rPr>
          <w:rFonts w:hint="eastAsia" w:ascii="仿宋" w:hAnsi="仿宋" w:eastAsia="仿宋" w:cs="仿宋"/>
          <w:sz w:val="28"/>
          <w:szCs w:val="28"/>
        </w:rPr>
        <w:t>闵行区人民政府教育督导室于2025年5月22日对上海市金汇实验幼儿园办园水平（2020-2025）进行了实地督导评估。实地督导前，督导组审核幼儿园提交的材料；</w:t>
      </w:r>
      <w:r>
        <w:rPr>
          <w:rFonts w:hint="eastAsia" w:ascii="仿宋" w:hAnsi="仿宋" w:eastAsia="仿宋" w:cs="仿宋"/>
          <w:kern w:val="0"/>
          <w:sz w:val="28"/>
          <w:szCs w:val="28"/>
        </w:rPr>
        <w:t>对园内73名教师以及332位家长进行问卷调查</w:t>
      </w:r>
      <w:r>
        <w:rPr>
          <w:rFonts w:hint="eastAsia" w:ascii="仿宋" w:hAnsi="仿宋" w:eastAsia="仿宋" w:cs="仿宋"/>
          <w:sz w:val="28"/>
          <w:szCs w:val="28"/>
        </w:rPr>
        <w:t>。实地督导期间，督导组通过听取李萍园长自评汇报，察看园容园貌、现场查阅资料、观摩一日活动各个环节，与</w:t>
      </w:r>
      <w:r>
        <w:rPr>
          <w:rFonts w:hint="eastAsia" w:ascii="仿宋" w:hAnsi="仿宋" w:eastAsia="仿宋" w:cs="仿宋"/>
          <w:kern w:val="0"/>
          <w:sz w:val="28"/>
          <w:szCs w:val="28"/>
        </w:rPr>
        <w:t>幼儿园</w:t>
      </w:r>
      <w:r>
        <w:rPr>
          <w:rFonts w:hint="eastAsia" w:ascii="仿宋" w:hAnsi="仿宋" w:eastAsia="仿宋" w:cs="仿宋"/>
          <w:sz w:val="28"/>
          <w:szCs w:val="28"/>
        </w:rPr>
        <w:t>园长、</w:t>
      </w:r>
      <w:r>
        <w:rPr>
          <w:rFonts w:hint="eastAsia" w:ascii="仿宋" w:hAnsi="仿宋" w:eastAsia="仿宋" w:cs="仿宋"/>
          <w:kern w:val="0"/>
          <w:sz w:val="28"/>
          <w:szCs w:val="28"/>
        </w:rPr>
        <w:t>民办园</w:t>
      </w:r>
      <w:r>
        <w:rPr>
          <w:rFonts w:hint="eastAsia" w:ascii="仿宋" w:hAnsi="仿宋" w:eastAsia="仿宋" w:cs="仿宋"/>
          <w:sz w:val="28"/>
          <w:szCs w:val="28"/>
        </w:rPr>
        <w:t>举办者、中层干部、教研组长、教师以及三大员共21人进行了访谈</w:t>
      </w:r>
      <w:r>
        <w:rPr>
          <w:rFonts w:hint="eastAsia" w:ascii="仿宋" w:hAnsi="仿宋" w:eastAsia="仿宋" w:cs="仿宋"/>
          <w:kern w:val="0"/>
          <w:sz w:val="28"/>
          <w:szCs w:val="28"/>
        </w:rPr>
        <w:t>。</w:t>
      </w:r>
    </w:p>
    <w:p w14:paraId="71010DB2">
      <w:pPr>
        <w:spacing w:line="360" w:lineRule="auto"/>
        <w:ind w:firstLine="562" w:firstLineChars="200"/>
        <w:rPr>
          <w:rFonts w:ascii="仿宋" w:hAnsi="仿宋" w:eastAsia="仿宋"/>
          <w:sz w:val="28"/>
          <w:szCs w:val="28"/>
        </w:rPr>
      </w:pPr>
      <w:r>
        <w:rPr>
          <w:rStyle w:val="10"/>
          <w:rFonts w:ascii="仿宋" w:hAnsi="仿宋" w:eastAsia="仿宋" w:cs="仿宋_GB2312"/>
          <w:b/>
          <w:bCs/>
          <w:sz w:val="28"/>
          <w:szCs w:val="28"/>
          <w:lang w:val="zh-TW" w:eastAsia="zh-TW"/>
        </w:rPr>
        <w:t>综合分析各类信息，督导组认为：</w:t>
      </w:r>
      <w:r>
        <w:rPr>
          <w:rStyle w:val="10"/>
          <w:rFonts w:hint="eastAsia" w:ascii="仿宋" w:hAnsi="仿宋" w:eastAsia="仿宋" w:cs="仿宋_GB2312"/>
          <w:sz w:val="28"/>
          <w:szCs w:val="28"/>
        </w:rPr>
        <w:t>在协和教育中心联合党支部全面领航下，金汇实验</w:t>
      </w:r>
      <w:r>
        <w:rPr>
          <w:rStyle w:val="10"/>
          <w:rFonts w:hint="eastAsia" w:ascii="仿宋" w:hAnsi="仿宋" w:eastAsia="仿宋" w:cs="仿宋_GB2312"/>
          <w:sz w:val="28"/>
          <w:szCs w:val="28"/>
          <w:lang w:val="zh-TW"/>
        </w:rPr>
        <w:t>幼儿园</w:t>
      </w:r>
      <w:r>
        <w:rPr>
          <w:rStyle w:val="10"/>
          <w:rFonts w:hint="eastAsia" w:ascii="仿宋" w:hAnsi="仿宋" w:eastAsia="仿宋" w:cs="仿宋_GB2312"/>
          <w:sz w:val="28"/>
          <w:szCs w:val="28"/>
        </w:rPr>
        <w:t>本着幼儿发展优先的理念，</w:t>
      </w:r>
      <w:r>
        <w:rPr>
          <w:rFonts w:hint="eastAsia" w:ascii="仿宋" w:hAnsi="仿宋" w:eastAsia="仿宋" w:cs="仿宋"/>
          <w:sz w:val="28"/>
          <w:szCs w:val="28"/>
        </w:rPr>
        <w:t>精心构建温馨、舒适且充满教育性的课程教育环境；</w:t>
      </w:r>
      <w:r>
        <w:rPr>
          <w:rFonts w:hint="eastAsia" w:ascii="仿宋" w:hAnsi="仿宋" w:eastAsia="仿宋" w:cs="仿宋"/>
          <w:bCs/>
          <w:sz w:val="28"/>
          <w:szCs w:val="28"/>
        </w:rPr>
        <w:t>聚焦文化建设、愿景谋划、依法办园，园务治理规范有效；不断完善课程的顶层设计及托幼一体的课程方案；重视通过课程质量的监控指导助推课程质量的提高；保教活动师幼互动良好积极，多方参与促进幼儿全面发展，幼儿发展均衡良好；幼儿园重视保育管理，落实管理措施，规范消毒防病，膳食营养有保障，为幼儿健康保驾护航。</w:t>
      </w:r>
    </w:p>
    <w:p w14:paraId="52F65552">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依据《闵行区中小学（幼儿园）办学水平（2020-2025）综合督导方案》，对照督导指标，提出如下评估意见。</w:t>
      </w:r>
    </w:p>
    <w:p w14:paraId="50BBB5E2">
      <w:pPr>
        <w:widowControl/>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一、主要做法与成效</w:t>
      </w:r>
    </w:p>
    <w:p w14:paraId="1A5D9871">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（一）聚焦文化建设、愿景谋划，依法办园取得成效</w:t>
      </w:r>
    </w:p>
    <w:p w14:paraId="08535491">
      <w:pPr>
        <w:pStyle w:val="2"/>
        <w:spacing w:line="360" w:lineRule="auto"/>
        <w:ind w:firstLine="562" w:firstLineChars="200"/>
        <w:jc w:val="both"/>
        <w:rPr>
          <w:rFonts w:ascii="仿宋" w:hAnsi="仿宋" w:eastAsia="仿宋" w:cs="仿宋"/>
          <w:sz w:val="28"/>
          <w:szCs w:val="28"/>
        </w:rPr>
      </w:pPr>
      <w:r>
        <w:rPr>
          <w:rFonts w:hint="eastAsia" w:ascii="仿宋" w:hAnsi="仿宋" w:eastAsia="仿宋" w:cs="仿宋"/>
          <w:b/>
          <w:bCs/>
          <w:sz w:val="28"/>
          <w:szCs w:val="28"/>
        </w:rPr>
        <w:t>一是</w:t>
      </w:r>
      <w:r>
        <w:rPr>
          <w:rFonts w:hint="eastAsia" w:ascii="仿宋" w:hAnsi="仿宋" w:eastAsia="仿宋" w:cs="仿宋"/>
          <w:b/>
          <w:bCs/>
          <w:color w:val="060607"/>
          <w:kern w:val="0"/>
          <w:sz w:val="28"/>
          <w:szCs w:val="28"/>
        </w:rPr>
        <w:t>聚焦文化建设，和谐自主校园氛围凸现。</w:t>
      </w:r>
      <w:r>
        <w:rPr>
          <w:rFonts w:hint="eastAsia" w:ascii="仿宋" w:hAnsi="仿宋" w:eastAsia="仿宋" w:cs="仿宋"/>
          <w:sz w:val="28"/>
          <w:szCs w:val="28"/>
        </w:rPr>
        <w:t>幼儿园</w:t>
      </w:r>
      <w:r>
        <w:rPr>
          <w:rFonts w:hint="eastAsia" w:ascii="仿宋" w:hAnsi="仿宋" w:eastAsia="仿宋" w:cs="仿宋"/>
          <w:color w:val="000000"/>
          <w:kern w:val="0"/>
          <w:sz w:val="28"/>
          <w:szCs w:val="28"/>
        </w:rPr>
        <w:t>聚焦“和谐、开放、自主、创新”校园文化，开展了</w:t>
      </w:r>
      <w:r>
        <w:rPr>
          <w:rFonts w:hint="eastAsia" w:ascii="仿宋" w:hAnsi="仿宋" w:eastAsia="仿宋" w:cs="仿宋"/>
          <w:sz w:val="28"/>
          <w:szCs w:val="28"/>
        </w:rPr>
        <w:t>丰富多元系列建设活动</w:t>
      </w:r>
      <w:r>
        <w:rPr>
          <w:rFonts w:hint="eastAsia" w:ascii="仿宋" w:hAnsi="仿宋" w:eastAsia="仿宋" w:cs="仿宋"/>
          <w:color w:val="000000"/>
          <w:kern w:val="0"/>
          <w:sz w:val="28"/>
          <w:szCs w:val="28"/>
        </w:rPr>
        <w:t>，</w:t>
      </w:r>
      <w:r>
        <w:rPr>
          <w:rFonts w:hint="eastAsia" w:ascii="仿宋" w:hAnsi="仿宋" w:eastAsia="仿宋" w:cs="仿宋"/>
          <w:color w:val="060607"/>
          <w:kern w:val="0"/>
          <w:sz w:val="28"/>
          <w:szCs w:val="28"/>
        </w:rPr>
        <w:t>坚定教职工的教育理想和信念，</w:t>
      </w:r>
      <w:r>
        <w:rPr>
          <w:rFonts w:hint="eastAsia" w:ascii="仿宋" w:hAnsi="仿宋" w:eastAsia="仿宋" w:cs="仿宋"/>
          <w:color w:val="000000"/>
          <w:kern w:val="0"/>
          <w:sz w:val="28"/>
          <w:szCs w:val="28"/>
        </w:rPr>
        <w:t>汇编了服务案例集，</w:t>
      </w:r>
      <w:r>
        <w:rPr>
          <w:rFonts w:hint="eastAsia" w:ascii="仿宋" w:hAnsi="仿宋" w:eastAsia="仿宋" w:cs="仿宋"/>
          <w:color w:val="060607"/>
          <w:kern w:val="0"/>
          <w:sz w:val="28"/>
          <w:szCs w:val="28"/>
        </w:rPr>
        <w:t>不断</w:t>
      </w:r>
      <w:r>
        <w:rPr>
          <w:rFonts w:hint="eastAsia" w:ascii="仿宋" w:hAnsi="仿宋" w:eastAsia="仿宋" w:cs="仿宋"/>
          <w:color w:val="000000"/>
          <w:kern w:val="0"/>
          <w:sz w:val="28"/>
          <w:szCs w:val="28"/>
        </w:rPr>
        <w:t>提升服务质量。实施民主管理，</w:t>
      </w:r>
      <w:r>
        <w:rPr>
          <w:rFonts w:hint="eastAsia" w:ascii="仿宋" w:hAnsi="仿宋" w:eastAsia="仿宋" w:cs="仿宋"/>
          <w:color w:val="00000A"/>
          <w:kern w:val="0"/>
          <w:sz w:val="28"/>
          <w:szCs w:val="28"/>
        </w:rPr>
        <w:t>落实园务公开，定期召开教代会，</w:t>
      </w:r>
      <w:r>
        <w:rPr>
          <w:rFonts w:hint="eastAsia" w:ascii="仿宋" w:hAnsi="仿宋" w:eastAsia="仿宋" w:cs="仿宋"/>
          <w:sz w:val="28"/>
          <w:szCs w:val="28"/>
        </w:rPr>
        <w:t>共商发展大计。园领导关心教工生活、工作，营造了和谐、自主、向上、凝聚力强的校园氛围。</w:t>
      </w:r>
      <w:r>
        <w:rPr>
          <w:rFonts w:hint="eastAsia" w:ascii="仿宋" w:hAnsi="仿宋" w:eastAsia="仿宋" w:cs="仿宋"/>
          <w:bCs/>
          <w:sz w:val="28"/>
          <w:szCs w:val="28"/>
          <w:u w:color="000000"/>
        </w:rPr>
        <w:t>幼儿园获评区教育系统“巾帼文明示范岗”、“优秀教工之家”荣誉称号。</w:t>
      </w:r>
      <w:r>
        <w:rPr>
          <w:rFonts w:hint="eastAsia" w:ascii="仿宋" w:hAnsi="仿宋" w:eastAsia="仿宋" w:cs="仿宋"/>
          <w:b/>
          <w:bCs/>
          <w:color w:val="00000A"/>
          <w:kern w:val="0"/>
          <w:sz w:val="28"/>
          <w:szCs w:val="28"/>
        </w:rPr>
        <w:t>二是聚焦愿景谋划，</w:t>
      </w:r>
      <w:r>
        <w:rPr>
          <w:rFonts w:hint="eastAsia" w:ascii="仿宋" w:hAnsi="仿宋" w:eastAsia="仿宋" w:cs="仿宋"/>
          <w:b/>
          <w:sz w:val="28"/>
          <w:szCs w:val="28"/>
        </w:rPr>
        <w:t>规划引领发展作用显现。</w:t>
      </w:r>
      <w:r>
        <w:rPr>
          <w:rFonts w:hint="eastAsia" w:ascii="仿宋" w:hAnsi="仿宋" w:eastAsia="仿宋" w:cs="仿宋"/>
          <w:sz w:val="28"/>
          <w:szCs w:val="28"/>
        </w:rPr>
        <w:t>幼儿园认真编制了五年发展规划，明确主张了办园理念、校园文化以及课程理念，突出了“开放、自主”等关键要素，体现正确的教育价值，契合园所个性化发展的特征。规划任务通过各类计划落实，每年开展规划实施情况的检测分析，注重自我反思、调整与改进，目标达成度高。</w:t>
      </w:r>
      <w:r>
        <w:rPr>
          <w:rFonts w:hint="eastAsia" w:ascii="仿宋" w:hAnsi="仿宋" w:eastAsia="仿宋" w:cs="仿宋"/>
          <w:color w:val="000000"/>
          <w:sz w:val="28"/>
          <w:szCs w:val="28"/>
        </w:rPr>
        <w:t>本次督导教师问卷显示“幼儿园发展规划的知晓度与引领作用”认为好的达100%。</w:t>
      </w:r>
      <w:r>
        <w:rPr>
          <w:rFonts w:hint="eastAsia" w:ascii="仿宋" w:hAnsi="仿宋" w:eastAsia="仿宋" w:cs="仿宋"/>
          <w:b/>
          <w:bCs/>
          <w:sz w:val="28"/>
          <w:szCs w:val="28"/>
        </w:rPr>
        <w:t>三是</w:t>
      </w:r>
      <w:r>
        <w:rPr>
          <w:rFonts w:hint="eastAsia" w:ascii="仿宋" w:hAnsi="仿宋" w:eastAsia="仿宋" w:cs="仿宋"/>
          <w:b/>
          <w:sz w:val="28"/>
          <w:szCs w:val="28"/>
        </w:rPr>
        <w:t>聚焦依法办园，园务治理规范有效呈现。</w:t>
      </w:r>
      <w:r>
        <w:rPr>
          <w:rFonts w:hint="eastAsia" w:ascii="仿宋" w:hAnsi="仿宋" w:eastAsia="仿宋" w:cs="仿宋"/>
          <w:sz w:val="28"/>
          <w:szCs w:val="28"/>
        </w:rPr>
        <w:t>幼儿园理事会成员组成及运行符合相关法规规定，理事会职责和权利明晰，法定代表人由园长担任，严格落实党组织及理事会领导的园长负责制，坚持依法规范办园，工、团组织健全。编制了《员工手册》并不断完善，建立激励、监控评价、保障三大管理机制，园长每月开展管理的专项调研和指导，内部治理规范有效。幼儿园三次获区年检优秀。</w:t>
      </w:r>
      <w:r>
        <w:rPr>
          <w:rFonts w:hint="eastAsia" w:ascii="仿宋" w:hAnsi="仿宋" w:eastAsia="仿宋" w:cs="仿宋"/>
          <w:b/>
          <w:bCs/>
          <w:sz w:val="28"/>
          <w:szCs w:val="28"/>
        </w:rPr>
        <w:t>四是聚焦双向</w:t>
      </w:r>
      <w:r>
        <w:rPr>
          <w:rFonts w:hint="eastAsia" w:ascii="仿宋" w:hAnsi="仿宋" w:eastAsia="仿宋"/>
          <w:b/>
          <w:bCs/>
          <w:sz w:val="28"/>
          <w:szCs w:val="28"/>
        </w:rPr>
        <w:t>联动，</w:t>
      </w:r>
      <w:r>
        <w:rPr>
          <w:rFonts w:hint="eastAsia" w:ascii="仿宋" w:hAnsi="仿宋" w:eastAsia="仿宋" w:cs="仿宋"/>
          <w:b/>
          <w:bCs/>
          <w:sz w:val="28"/>
          <w:szCs w:val="28"/>
        </w:rPr>
        <w:t>家园合作共育环境展现。</w:t>
      </w:r>
      <w:r>
        <w:rPr>
          <w:rFonts w:hint="eastAsia" w:ascii="仿宋" w:hAnsi="仿宋" w:eastAsia="仿宋" w:cs="仿宋"/>
          <w:sz w:val="28"/>
          <w:szCs w:val="28"/>
        </w:rPr>
        <w:t>幼儿园注重构建家园共育环境，制定了家园共育、家园联系等一系列制度。</w:t>
      </w:r>
      <w:r>
        <w:rPr>
          <w:rFonts w:hint="eastAsia" w:ascii="仿宋" w:hAnsi="仿宋" w:eastAsia="仿宋" w:cs="仿宋"/>
          <w:bCs/>
          <w:sz w:val="28"/>
          <w:szCs w:val="28"/>
        </w:rPr>
        <w:t>开设不同的家长学校课程，</w:t>
      </w:r>
      <w:r>
        <w:rPr>
          <w:rFonts w:hint="eastAsia" w:ascii="仿宋" w:hAnsi="仿宋" w:eastAsia="仿宋" w:cs="仿宋"/>
          <w:sz w:val="28"/>
          <w:szCs w:val="28"/>
        </w:rPr>
        <w:t>引导家长学习、运用科学的方式与孩子相处，帮助家长提升育儿水平。家园共育活动形式多样，引导家长积极参与到幼儿园各项活动中，增强家园凝聚力。幼儿园多渠道、全方位的了解家长心声，展现了良好的家园共育环境。此次问卷调查中，家长对幼儿园工作的总体评价98.49%。</w:t>
      </w:r>
    </w:p>
    <w:p w14:paraId="7A907386">
      <w:pPr>
        <w:spacing w:line="360" w:lineRule="auto"/>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（二）重视环境建设、校园安全，精心构建课程环境</w:t>
      </w:r>
    </w:p>
    <w:p w14:paraId="4E1DBB79">
      <w:pPr>
        <w:spacing w:line="360" w:lineRule="auto"/>
        <w:ind w:firstLine="562" w:firstLineChars="200"/>
        <w:rPr>
          <w:rFonts w:ascii="仿宋" w:hAnsi="仿宋" w:eastAsia="仿宋"/>
          <w:sz w:val="28"/>
          <w:szCs w:val="28"/>
        </w:rPr>
      </w:pPr>
      <w:r>
        <w:rPr>
          <w:rFonts w:hint="eastAsia" w:ascii="仿宋" w:hAnsi="仿宋" w:eastAsia="仿宋" w:cs="仿宋"/>
          <w:b/>
          <w:sz w:val="28"/>
          <w:szCs w:val="28"/>
        </w:rPr>
        <w:t>一是积极利用奖励资金，深度挖掘园所空间潜力。</w:t>
      </w:r>
      <w:r>
        <w:rPr>
          <w:rFonts w:hint="eastAsia" w:ascii="仿宋" w:hAnsi="仿宋" w:eastAsia="仿宋" w:cs="仿宋"/>
          <w:bCs/>
          <w:sz w:val="28"/>
          <w:szCs w:val="28"/>
        </w:rPr>
        <w:t>将边角区域改造成特色活动区，升级沙水池，优化材料投放与收纳；创设科学探索、等7条互动楼道，全方位提升课程环境品质；园内设有7个专用活动室，涵盖阅读、建构等功能，材料充足，满足各年龄段幼儿学习需求；户外打造大型运动、沙水、种植园等区域，为幼儿提供多元探索空间，且无线网络全园覆盖；每班配备丰富多样、适配年龄的玩具、图书及电教设备，家长对园所环境设施满意率高达98.8%。</w:t>
      </w:r>
      <w:r>
        <w:rPr>
          <w:rFonts w:hint="eastAsia" w:ascii="仿宋" w:hAnsi="仿宋" w:eastAsia="仿宋" w:cs="仿宋"/>
          <w:b/>
          <w:sz w:val="28"/>
          <w:szCs w:val="28"/>
        </w:rPr>
        <w:t>二是构建完善安全管理体系，保障校园安全。</w:t>
      </w:r>
      <w:r>
        <w:rPr>
          <w:rFonts w:hint="eastAsia" w:ascii="仿宋" w:hAnsi="仿宋" w:eastAsia="仿宋" w:cs="仿宋"/>
          <w:bCs/>
          <w:sz w:val="28"/>
          <w:szCs w:val="28"/>
        </w:rPr>
        <w:t>幼儿园以“制度 + 落实”筑牢安全防线，建立严密安全管理网络，层层签订责任书，制定相关制度及预案，并动态更新；安全检查细致全面，涵盖校园各场景；技防、消防设施完备，视频监控实现全覆盖，存储期达90天，织密防护网络；深化安全宣教，落实“三位一体”安全教育模式，面向幼儿、教职工、家长开展宣教；组织安全演练，编制安全教育手册，助力幼儿安全意识培养；全体教职工均持急救证书，全方位守护师幼安全，为幼儿成长保驾护航。幼儿园荣获“上海市安全文明校园”称号；</w:t>
      </w:r>
    </w:p>
    <w:p w14:paraId="6E7D3764">
      <w:pPr>
        <w:spacing w:line="360" w:lineRule="auto"/>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（三）重视人员配置、个体发展，多种举措提升素养</w:t>
      </w:r>
    </w:p>
    <w:p w14:paraId="1CFDCF9F">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一是教职工配置符合要求。</w:t>
      </w:r>
      <w:r>
        <w:rPr>
          <w:rFonts w:hint="eastAsia" w:ascii="仿宋" w:hAnsi="仿宋" w:eastAsia="仿宋" w:cs="仿宋"/>
          <w:sz w:val="28"/>
          <w:szCs w:val="28"/>
        </w:rPr>
        <w:t>园长从事幼教工作四十多年，在园长岗位十多年，具有一级专业技术职称；全园教师学历达标，现一级教师占比12%，二级教师占比58%，集团骨干教师占比21%；中高级保育员占比87.5%，中高级营养员占比75%，三大员持证上岗率100%；师资团队中工作10 年、5年以上教师占比分别为 30.30%、45.45%。</w:t>
      </w:r>
      <w:r>
        <w:rPr>
          <w:rFonts w:hint="eastAsia" w:ascii="仿宋" w:hAnsi="仿宋" w:eastAsia="仿宋" w:cs="仿宋"/>
          <w:b/>
          <w:bCs/>
          <w:sz w:val="28"/>
          <w:szCs w:val="28"/>
        </w:rPr>
        <w:t>二是多种举措促教师成长。</w:t>
      </w:r>
      <w:r>
        <w:rPr>
          <w:rFonts w:hint="eastAsia" w:ascii="仿宋" w:hAnsi="仿宋" w:eastAsia="仿宋" w:cs="仿宋"/>
          <w:sz w:val="28"/>
          <w:szCs w:val="28"/>
        </w:rPr>
        <w:t>幼儿园通过多种形式满足教工个体化发展需求，人员队伍素养提高快。幼儿园支持教师自主申报展示活动，激励教师主动进取；依据《星级教师评价标准》，帮助教师明确发展阶段、目标和方向，落实个人五年发展规划；近年来，幼儿园为集团培养输送了四位园长，一位保教主任；历年保健老师、保育员在区级保育技能大赛中屡获等地奖。教工对幼儿园近二年发展趋势的总体评价满意度100%。</w:t>
      </w:r>
    </w:p>
    <w:p w14:paraId="08818AA0">
      <w:pPr>
        <w:pStyle w:val="2"/>
        <w:spacing w:line="360" w:lineRule="auto"/>
        <w:ind w:firstLine="560" w:firstLineChars="200"/>
        <w:jc w:val="both"/>
        <w:rPr>
          <w:rFonts w:hint="eastAsia" w:ascii="楷体" w:hAnsi="楷体" w:eastAsia="楷体" w:cs="楷体"/>
          <w:b w:val="0"/>
          <w:bCs w:val="0"/>
          <w:sz w:val="28"/>
          <w:szCs w:val="28"/>
        </w:rPr>
      </w:pPr>
      <w:r>
        <w:rPr>
          <w:rFonts w:hint="eastAsia" w:ascii="楷体" w:hAnsi="楷体" w:eastAsia="楷体" w:cs="楷体"/>
          <w:b w:val="0"/>
          <w:bCs w:val="0"/>
          <w:sz w:val="28"/>
          <w:szCs w:val="28"/>
        </w:rPr>
        <w:t>（四）注重课程管理、实施有效，幼儿发展全面良好</w:t>
      </w:r>
    </w:p>
    <w:p w14:paraId="2BB1A25C">
      <w:pPr>
        <w:pStyle w:val="3"/>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一是动态完善课程方案。</w:t>
      </w:r>
      <w:r>
        <w:rPr>
          <w:rFonts w:hint="eastAsia" w:ascii="仿宋" w:hAnsi="仿宋" w:eastAsia="仿宋" w:cs="仿宋"/>
          <w:sz w:val="28"/>
          <w:szCs w:val="28"/>
        </w:rPr>
        <w:t>依据课改精神，不断完善课程的顶层设计及托幼一体的课程方案，体现了育人的价值。课程架构设置规范，能全面实施共同性课程，能体现幼儿发展优先的核心精神；课程方案操作性强，便于教师有效实施。</w:t>
      </w:r>
      <w:r>
        <w:rPr>
          <w:rFonts w:hint="eastAsia" w:ascii="仿宋" w:hAnsi="仿宋" w:eastAsia="仿宋" w:cs="仿宋"/>
          <w:b/>
          <w:bCs/>
          <w:sz w:val="28"/>
          <w:szCs w:val="28"/>
        </w:rPr>
        <w:t>二是重视课程质量监控。</w:t>
      </w:r>
      <w:r>
        <w:rPr>
          <w:rFonts w:hint="eastAsia" w:ascii="仿宋" w:hAnsi="仿宋" w:eastAsia="仿宋" w:cs="仿宋"/>
          <w:kern w:val="0"/>
          <w:sz w:val="28"/>
          <w:szCs w:val="28"/>
        </w:rPr>
        <w:t>园领导</w:t>
      </w:r>
      <w:r>
        <w:rPr>
          <w:rFonts w:hint="eastAsia" w:ascii="仿宋" w:hAnsi="仿宋" w:eastAsia="仿宋" w:cs="仿宋"/>
          <w:sz w:val="28"/>
          <w:szCs w:val="28"/>
        </w:rPr>
        <w:t>重视监控评价指标系统的动态完善，</w:t>
      </w:r>
      <w:r>
        <w:rPr>
          <w:rFonts w:hint="eastAsia" w:ascii="仿宋" w:hAnsi="仿宋" w:eastAsia="仿宋" w:cs="仿宋"/>
          <w:kern w:val="0"/>
          <w:sz w:val="28"/>
          <w:szCs w:val="28"/>
        </w:rPr>
        <w:t>通过常态+重点的监控方式对全体教师课程实施的情况、观察评估及教研活动进行监控与指导。既注重日常的过程监控指导、</w:t>
      </w:r>
      <w:r>
        <w:rPr>
          <w:rFonts w:hint="eastAsia" w:ascii="仿宋" w:hAnsi="仿宋" w:eastAsia="仿宋" w:cs="仿宋"/>
          <w:sz w:val="28"/>
          <w:szCs w:val="28"/>
        </w:rPr>
        <w:t>及时反馈</w:t>
      </w:r>
      <w:r>
        <w:rPr>
          <w:rFonts w:hint="eastAsia" w:ascii="仿宋" w:hAnsi="仿宋" w:eastAsia="仿宋" w:cs="仿宋"/>
          <w:kern w:val="0"/>
          <w:sz w:val="28"/>
          <w:szCs w:val="28"/>
        </w:rPr>
        <w:t>，又重视阶段性、专项性的重点内容的分析及对策措施的思考和落实，</w:t>
      </w:r>
      <w:r>
        <w:rPr>
          <w:rFonts w:hint="eastAsia" w:ascii="仿宋" w:hAnsi="仿宋" w:eastAsia="仿宋" w:cs="仿宋"/>
          <w:sz w:val="28"/>
          <w:szCs w:val="28"/>
        </w:rPr>
        <w:t>监控涉及到课程的各类活动，助推课程质量的提高。</w:t>
      </w:r>
      <w:r>
        <w:rPr>
          <w:rFonts w:hint="eastAsia" w:ascii="仿宋" w:hAnsi="仿宋" w:eastAsia="仿宋" w:cs="仿宋"/>
          <w:b/>
          <w:bCs/>
          <w:sz w:val="28"/>
          <w:szCs w:val="28"/>
        </w:rPr>
        <w:t>三是师幼互动积极融洽。</w:t>
      </w:r>
      <w:r>
        <w:rPr>
          <w:rFonts w:hint="eastAsia" w:ascii="仿宋" w:hAnsi="仿宋" w:eastAsia="仿宋" w:cs="仿宋"/>
          <w:sz w:val="28"/>
          <w:szCs w:val="28"/>
        </w:rPr>
        <w:t>多方参与促进幼儿全面发展。教师与幼儿之间互动积极，与幼儿的相处状态有爱、包容、细致，师幼关系融洽；能运用多种方式支持和拓展幼儿的学习，支持幼儿的自发活动。</w:t>
      </w:r>
      <w:r>
        <w:rPr>
          <w:rFonts w:hint="eastAsia" w:ascii="仿宋" w:hAnsi="仿宋" w:eastAsia="仿宋" w:cs="仿宋"/>
          <w:b/>
          <w:bCs/>
          <w:sz w:val="28"/>
          <w:szCs w:val="28"/>
        </w:rPr>
        <w:t>四是幼儿发展均衡良好。</w:t>
      </w:r>
      <w:r>
        <w:rPr>
          <w:rFonts w:hint="eastAsia" w:ascii="仿宋" w:hAnsi="仿宋" w:eastAsia="仿宋" w:cs="仿宋"/>
          <w:sz w:val="28"/>
          <w:szCs w:val="28"/>
        </w:rPr>
        <w:t>幼儿情绪愉悦、喜欢运动、健康活泼、生活能力和习惯良好；文明乐群、友好相处、大方自信；好奇探究、乐意表达、展现较强的自主能力、有初步责任感</w:t>
      </w:r>
      <w:r>
        <w:rPr>
          <w:rFonts w:hint="eastAsia" w:ascii="仿宋" w:hAnsi="仿宋" w:eastAsia="仿宋" w:cs="仿宋"/>
          <w:b/>
          <w:bCs/>
          <w:sz w:val="28"/>
          <w:szCs w:val="28"/>
        </w:rPr>
        <w:t>，</w:t>
      </w:r>
      <w:r>
        <w:rPr>
          <w:rFonts w:hint="eastAsia" w:ascii="仿宋" w:hAnsi="仿宋" w:eastAsia="仿宋" w:cs="仿宋"/>
          <w:sz w:val="28"/>
          <w:szCs w:val="28"/>
        </w:rPr>
        <w:t>呈现全面而健康发展态势。</w:t>
      </w:r>
    </w:p>
    <w:p w14:paraId="058874C1">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（五）优化保育管理、保育实施，为幼儿健康保驾护航</w:t>
      </w:r>
    </w:p>
    <w:p w14:paraId="5F669258">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一是提升管理质量，落实管理措施。</w:t>
      </w:r>
      <w:r>
        <w:rPr>
          <w:rFonts w:hint="eastAsia" w:ascii="仿宋" w:hAnsi="仿宋" w:eastAsia="仿宋" w:cs="仿宋"/>
          <w:sz w:val="28"/>
          <w:szCs w:val="28"/>
        </w:rPr>
        <w:t>卫生保健工作有明确的目标与措施，并能有效落实。园长深入日常保健管理，参加保健会议、保研活动、“三大员”日常常规工作现场质控。建立了每月质控情况汇总与反馈制度，质控结果与绩效挂钩，提升保育工作质量。2023学年开展区级课题《多维复合提升幼儿体质健康的实践研究》。</w:t>
      </w:r>
      <w:r>
        <w:rPr>
          <w:rFonts w:hint="eastAsia" w:ascii="仿宋" w:hAnsi="仿宋" w:eastAsia="仿宋" w:cs="仿宋"/>
          <w:b/>
          <w:bCs/>
          <w:sz w:val="28"/>
          <w:szCs w:val="28"/>
        </w:rPr>
        <w:t>二是规范消毒防病，落实矫治措施。</w:t>
      </w:r>
      <w:r>
        <w:rPr>
          <w:rFonts w:hint="eastAsia" w:ascii="仿宋" w:hAnsi="仿宋" w:eastAsia="仿宋" w:cs="仿宋"/>
          <w:sz w:val="28"/>
          <w:szCs w:val="28"/>
        </w:rPr>
        <w:t>各项预防性消毒工作符合常规要求，重视传染病防控，传染病发生后上报及时正确。重视幼儿五官保健工作，2023学年视力低常、龋齿发生率分别为8.5%、5.9%，均100%落实医院矫治。</w:t>
      </w:r>
      <w:r>
        <w:rPr>
          <w:rFonts w:hint="eastAsia" w:ascii="仿宋" w:hAnsi="仿宋" w:eastAsia="仿宋" w:cs="仿宋"/>
          <w:b/>
          <w:bCs/>
          <w:sz w:val="28"/>
          <w:szCs w:val="28"/>
        </w:rPr>
        <w:t>三是幼儿餐点丰富，膳食营养有保障。</w:t>
      </w:r>
      <w:r>
        <w:rPr>
          <w:rFonts w:hint="eastAsia" w:ascii="仿宋" w:hAnsi="仿宋" w:eastAsia="仿宋" w:cs="仿宋"/>
          <w:sz w:val="28"/>
          <w:szCs w:val="28"/>
        </w:rPr>
        <w:t>严格执行食品验收制度，营养员操作基本规范，明厨亮灶100%全覆盖。每周开展帯量食谱制定，品种丰富，制定与烹饪符合年龄特点，2-3次干午点自制，帯量基本正确。每月开展营养分析，基本符合平衡膳食标准。每月组织营养员研发营养点心，汇编《自制优质点心集》，部分已融入幼儿食谱；落实陪餐制度，提出合理化建议。</w:t>
      </w:r>
      <w:r>
        <w:rPr>
          <w:rFonts w:hint="eastAsia" w:ascii="仿宋" w:hAnsi="仿宋" w:eastAsia="仿宋" w:cs="仿宋"/>
          <w:b/>
          <w:bCs/>
          <w:sz w:val="28"/>
          <w:szCs w:val="28"/>
        </w:rPr>
        <w:t>四是呵护干预显用心，特殊儿童重守护。</w:t>
      </w:r>
      <w:r>
        <w:rPr>
          <w:rFonts w:hint="eastAsia" w:ascii="仿宋" w:hAnsi="仿宋" w:eastAsia="仿宋" w:cs="仿宋"/>
          <w:sz w:val="28"/>
          <w:szCs w:val="28"/>
        </w:rPr>
        <w:t>每天用心安排不同过敏儿餐，家园一致开展脱敏治疗；加强体弱儿肥胖儿管理，制定专项矫治计划，随访管理矫治率100%，建立家园同步护理观察，及时调整干预策略，干预有成效。</w:t>
      </w:r>
    </w:p>
    <w:p w14:paraId="6263E962">
      <w:pPr>
        <w:pStyle w:val="14"/>
        <w:widowControl/>
        <w:spacing w:line="360" w:lineRule="auto"/>
        <w:ind w:firstLine="562"/>
        <w:rPr>
          <w:rStyle w:val="10"/>
          <w:rFonts w:hint="eastAsia" w:ascii="黑体" w:hAnsi="黑体" w:eastAsia="黑体" w:cs="黑体"/>
          <w:b w:val="0"/>
          <w:bCs w:val="0"/>
          <w:sz w:val="28"/>
          <w:szCs w:val="28"/>
          <w:lang w:val="zh-TW"/>
        </w:rPr>
      </w:pPr>
      <w:r>
        <w:rPr>
          <w:rStyle w:val="10"/>
          <w:rFonts w:hint="eastAsia" w:ascii="黑体" w:hAnsi="黑体" w:eastAsia="黑体" w:cs="黑体"/>
          <w:b w:val="0"/>
          <w:bCs w:val="0"/>
          <w:sz w:val="28"/>
          <w:szCs w:val="28"/>
        </w:rPr>
        <w:t>二、</w:t>
      </w:r>
      <w:r>
        <w:rPr>
          <w:rStyle w:val="10"/>
          <w:rFonts w:hint="eastAsia" w:ascii="黑体" w:hAnsi="黑体" w:eastAsia="黑体" w:cs="黑体"/>
          <w:b w:val="0"/>
          <w:bCs w:val="0"/>
          <w:sz w:val="28"/>
          <w:szCs w:val="28"/>
          <w:lang w:val="zh-TW" w:eastAsia="zh-TW"/>
        </w:rPr>
        <w:t>存在的主要问题与改进建议</w:t>
      </w:r>
    </w:p>
    <w:p w14:paraId="5C8B472A">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（一）进一步加强重点发展项目的全面设计，凸显引领性及前瞻性的作用，共同谋划新一轮五年发展规划，实现幼儿园更高位的优质发展</w:t>
      </w:r>
    </w:p>
    <w:p w14:paraId="3E41CD9D">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【问题】</w:t>
      </w:r>
      <w:r>
        <w:rPr>
          <w:rFonts w:hint="eastAsia" w:ascii="仿宋" w:hAnsi="仿宋" w:eastAsia="仿宋" w:cs="仿宋"/>
          <w:sz w:val="28"/>
          <w:szCs w:val="28"/>
        </w:rPr>
        <w:t>幼儿园五年规划中重点发展项目的目标不够全面，年度目标、主要措施以及达成标志的清晰度及关联度尚存不足，对各项工作推进的整合度尚需加强。</w:t>
      </w:r>
    </w:p>
    <w:p w14:paraId="29380CB3">
      <w:pPr>
        <w:spacing w:line="360" w:lineRule="auto"/>
        <w:ind w:firstLine="562" w:firstLineChars="200"/>
        <w:rPr>
          <w:rFonts w:ascii="仿宋" w:hAnsi="仿宋" w:eastAsia="仿宋" w:cs="仿宋"/>
          <w:sz w:val="28"/>
          <w:szCs w:val="28"/>
          <w:lang w:val="zh-TW"/>
        </w:rPr>
      </w:pPr>
      <w:r>
        <w:rPr>
          <w:rFonts w:hint="eastAsia" w:ascii="仿宋" w:hAnsi="仿宋" w:eastAsia="仿宋" w:cs="仿宋"/>
          <w:b/>
          <w:bCs/>
          <w:sz w:val="28"/>
          <w:szCs w:val="28"/>
        </w:rPr>
        <w:t>【建议】一是创新驱动，共推重点发展项目的建设。</w:t>
      </w:r>
      <w:r>
        <w:rPr>
          <w:rFonts w:hint="eastAsia" w:ascii="仿宋" w:hAnsi="仿宋" w:eastAsia="仿宋" w:cs="仿宋"/>
          <w:sz w:val="28"/>
          <w:szCs w:val="28"/>
        </w:rPr>
        <w:t>加大创新实践的力度，思考重点发展项目在幼儿园各项工作中的正向带动作用，凸显引领性及前瞻性，提炼作用于幼儿发展的核心价值要素，将项目目标分解，形成具体可操作的措施及可检测的达成标志，使重点项目成为推动幼儿园内涵发展的重要抓手。</w:t>
      </w:r>
      <w:r>
        <w:rPr>
          <w:rFonts w:hint="eastAsia" w:ascii="仿宋" w:hAnsi="仿宋" w:eastAsia="仿宋" w:cs="仿宋"/>
          <w:b/>
          <w:bCs/>
          <w:sz w:val="28"/>
          <w:szCs w:val="28"/>
        </w:rPr>
        <w:t>二是承上启下，共谋新一轮五年发展规划。</w:t>
      </w:r>
      <w:r>
        <w:rPr>
          <w:rFonts w:hint="eastAsia" w:ascii="仿宋" w:hAnsi="仿宋" w:eastAsia="仿宋" w:cs="仿宋"/>
          <w:sz w:val="28"/>
          <w:szCs w:val="28"/>
        </w:rPr>
        <w:t>借《学前教育法》实施的东风以及综合督导的契机，着手开展规划实施终极性评价工作，在共商、共议中编制好新一轮五年发展规划，赓续理念文化，延展价值谱系，充实内涵诠释，明确办园目标，注入“AI”赋能元素，以共同愿景推进幼儿园更高位、更优质的可持续发展。</w:t>
      </w:r>
    </w:p>
    <w:p w14:paraId="616B8C00">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（二）进一步夯实师德师风建设，完善师德考核机制，加强教师梯队建设，助推优秀教师培养</w:t>
      </w:r>
    </w:p>
    <w:p w14:paraId="40970A56">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【问题】</w:t>
      </w:r>
      <w:r>
        <w:rPr>
          <w:rFonts w:hint="eastAsia" w:ascii="仿宋" w:hAnsi="仿宋" w:eastAsia="仿宋" w:cs="仿宋"/>
          <w:sz w:val="28"/>
          <w:szCs w:val="28"/>
        </w:rPr>
        <w:t>师德师风建设未形成长效机制；作为一所区级示范园，缺失在区域有一定影响力的教师，在区级层面的辐射引领未彰显。</w:t>
      </w:r>
    </w:p>
    <w:p w14:paraId="22736514">
      <w:pPr>
        <w:widowControl/>
        <w:shd w:val="clear" w:color="auto" w:fill="FFFFFF"/>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【建议】一是完善师德建设机制。</w:t>
      </w:r>
      <w:r>
        <w:rPr>
          <w:rFonts w:hint="eastAsia" w:ascii="仿宋" w:hAnsi="仿宋" w:eastAsia="仿宋" w:cs="仿宋"/>
          <w:sz w:val="28"/>
          <w:szCs w:val="28"/>
        </w:rPr>
        <w:t>建立健全师德师风考核制度、监督制度和奖惩制度，将师德表现作为教师考核、聘任、晋级和评优的重要依据，确保师德师风建设有章可循；加强师德师风培训，多形式地引导教工深入学习教育法律法规、教师职业道德规范等内容，提升教工的师德素养，确保师德师风教育的常态化和制度化；强化监督管理，建立多渠道监督机制，保障师德师风建设有效推进。</w:t>
      </w:r>
      <w:r>
        <w:rPr>
          <w:rFonts w:hint="eastAsia" w:ascii="仿宋" w:hAnsi="仿宋" w:eastAsia="仿宋" w:cs="仿宋"/>
          <w:b/>
          <w:bCs/>
          <w:sz w:val="28"/>
          <w:szCs w:val="28"/>
        </w:rPr>
        <w:t>二是明确梯队建设目标</w:t>
      </w:r>
      <w:r>
        <w:rPr>
          <w:rFonts w:hint="eastAsia" w:ascii="仿宋" w:hAnsi="仿宋" w:eastAsia="仿宋" w:cs="仿宋"/>
          <w:sz w:val="28"/>
          <w:szCs w:val="28"/>
        </w:rPr>
        <w:t>，加强优秀教师培养，发挥区域示范引领作用。幼儿园要为教师专业发展提供更多支持和保障，如多一些外出参观学习机会，鼓励教师积极参与职称评选，开展分层分类的师徒带教活动，新技术的学习与融合等，多渠道打通教师发展之路，促进教师专业化发展，加速优秀教师的培养，优质的师资队伍是园所高质量发展的保障，让个体发展与幼儿园发展同频共振。</w:t>
      </w:r>
    </w:p>
    <w:p w14:paraId="460E8F71">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(三)进一步</w:t>
      </w:r>
      <w:r>
        <w:rPr>
          <w:rFonts w:hint="eastAsia" w:ascii="楷体" w:hAnsi="楷体" w:eastAsia="楷体" w:cs="楷体"/>
          <w:b w:val="0"/>
          <w:bCs w:val="0"/>
          <w:kern w:val="0"/>
          <w:sz w:val="28"/>
          <w:szCs w:val="28"/>
        </w:rPr>
        <w:t>优化课程实施方案，提升</w:t>
      </w:r>
      <w:r>
        <w:rPr>
          <w:rFonts w:hint="eastAsia" w:ascii="楷体" w:hAnsi="楷体" w:eastAsia="楷体" w:cs="楷体"/>
          <w:b w:val="0"/>
          <w:bCs w:val="0"/>
          <w:sz w:val="28"/>
          <w:szCs w:val="28"/>
        </w:rPr>
        <w:t>园本教研质量，加强对艺术领域活动、户外游戏活动价值及组织实施的研究，助推课程质量的全面提升</w:t>
      </w:r>
    </w:p>
    <w:p w14:paraId="2EC372DA">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【问题】</w:t>
      </w:r>
      <w:r>
        <w:rPr>
          <w:rFonts w:hint="eastAsia" w:ascii="仿宋" w:hAnsi="仿宋" w:eastAsia="仿宋" w:cs="仿宋"/>
          <w:kern w:val="0"/>
          <w:sz w:val="28"/>
          <w:szCs w:val="28"/>
        </w:rPr>
        <w:t>多元英语特色活动的价值定位、活动安排有完善的空间。</w:t>
      </w:r>
      <w:r>
        <w:rPr>
          <w:rFonts w:hint="eastAsia" w:ascii="仿宋" w:hAnsi="仿宋" w:eastAsia="仿宋" w:cs="仿宋"/>
          <w:sz w:val="28"/>
          <w:szCs w:val="28"/>
        </w:rPr>
        <w:t>从现场活动看，保教实施中户外游戏活动、艺术领域活动的质量相对比较薄弱，但教研专题没有涉及贴近这二方面的内容开展研究；教研活动的有效性还有待提高。</w:t>
      </w:r>
    </w:p>
    <w:p w14:paraId="09A22B44">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【建议】</w:t>
      </w:r>
      <w:r>
        <w:rPr>
          <w:rFonts w:hint="eastAsia" w:ascii="仿宋" w:hAnsi="仿宋" w:eastAsia="仿宋" w:cs="仿宋"/>
          <w:b/>
          <w:bCs/>
          <w:kern w:val="0"/>
          <w:sz w:val="28"/>
          <w:szCs w:val="28"/>
        </w:rPr>
        <w:t>一是优化课程实施方案。</w:t>
      </w:r>
      <w:r>
        <w:rPr>
          <w:rFonts w:hint="eastAsia" w:ascii="仿宋" w:hAnsi="仿宋" w:eastAsia="仿宋" w:cs="仿宋"/>
          <w:kern w:val="0"/>
          <w:sz w:val="28"/>
          <w:szCs w:val="28"/>
        </w:rPr>
        <w:t>依据《幼儿园保教质量评估指南》精神及国家、地方政府对课程优化的要求，进一步优化、完善课程及课程实施方案。使我们的课程更契合当下课改的精神、符合国家对课程的要求。进一步完善0——3岁幼儿活动的课程实施的各要素及课程评价的安排，更好发挥课程实施方案对课程实施的引领作用。</w:t>
      </w:r>
      <w:r>
        <w:rPr>
          <w:rFonts w:hint="eastAsia" w:ascii="仿宋" w:hAnsi="仿宋" w:eastAsia="仿宋" w:cs="仿宋"/>
          <w:b/>
          <w:bCs/>
          <w:sz w:val="28"/>
          <w:szCs w:val="28"/>
        </w:rPr>
        <w:t>二是提升教研活动有效性。</w:t>
      </w:r>
      <w:r>
        <w:rPr>
          <w:rFonts w:hint="eastAsia" w:ascii="仿宋" w:hAnsi="仿宋" w:eastAsia="仿宋" w:cs="仿宋"/>
          <w:sz w:val="28"/>
          <w:szCs w:val="28"/>
        </w:rPr>
        <w:t>课程管理者要敏感地获取课改最新信息及教师实施课程中的困惑问题，尤其是教师在落实课改关注的热点问题方面的困惑，确立与之相关的教研专题。教研活动的开展既要强化与教研专题相关的理论学习，更要强化教研对课程实践推进的价值，教研中多选用典型案例开展研究。重视对研讨获得的可操作经验的提炼总结推广，更好地发挥教研对课程质量提高的作用。</w:t>
      </w:r>
      <w:r>
        <w:rPr>
          <w:rFonts w:hint="eastAsia" w:ascii="仿宋" w:hAnsi="仿宋" w:eastAsia="仿宋" w:cs="仿宋"/>
          <w:b/>
          <w:bCs/>
          <w:sz w:val="28"/>
          <w:szCs w:val="28"/>
        </w:rPr>
        <w:t>三是加强艺术及户外活动研究。</w:t>
      </w:r>
      <w:r>
        <w:rPr>
          <w:rFonts w:hint="eastAsia" w:ascii="仿宋" w:hAnsi="仿宋" w:eastAsia="仿宋" w:cs="仿宋"/>
          <w:sz w:val="28"/>
          <w:szCs w:val="28"/>
        </w:rPr>
        <w:t>当下特别需要加强对艺术领域活动价值及组织实施的研究，组织教师进一步加强对《3—6岁儿童学习与发展指南》等文件的学习和落实的研究，推而广之进一步提升教师助推幼儿全领域经验获得的能力。需要加强对户外游戏活动的组织进行进一步统筹优化，安排融合破界的游戏内容，充分挖掘自然环境与运动低结构材料的价值，拓展增加建构类等游戏材料的数量，为幼儿提供更开放、自主的游戏空间。</w:t>
      </w:r>
    </w:p>
    <w:p w14:paraId="34DD1CF9">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（四）进一步思考并探索研究生长迟缓管理有效性方法与措施，并逐步降低生长迟缓的发生率</w:t>
      </w:r>
    </w:p>
    <w:p w14:paraId="297BCD77">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【问题】</w:t>
      </w:r>
      <w:r>
        <w:rPr>
          <w:rFonts w:hint="eastAsia" w:ascii="仿宋" w:hAnsi="仿宋" w:eastAsia="仿宋" w:cs="仿宋"/>
          <w:sz w:val="28"/>
          <w:szCs w:val="28"/>
        </w:rPr>
        <w:t>营养不良发生率中生长迟缓占比高达85%，其管理有效性较低。</w:t>
      </w:r>
    </w:p>
    <w:p w14:paraId="156B84EC">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【建议】一是</w:t>
      </w:r>
      <w:r>
        <w:rPr>
          <w:rFonts w:hint="eastAsia" w:ascii="仿宋" w:hAnsi="仿宋" w:eastAsia="仿宋" w:cs="仿宋"/>
          <w:b/>
          <w:bCs/>
          <w:kern w:val="0"/>
          <w:sz w:val="28"/>
          <w:szCs w:val="28"/>
        </w:rPr>
        <w:t>开展课题研究。</w:t>
      </w:r>
      <w:r>
        <w:rPr>
          <w:rFonts w:hint="eastAsia" w:ascii="仿宋" w:hAnsi="仿宋" w:eastAsia="仿宋" w:cs="仿宋"/>
          <w:kern w:val="0"/>
          <w:sz w:val="28"/>
          <w:szCs w:val="28"/>
        </w:rPr>
        <w:t>针对生长迟缓发生率高，管理有效性较低，查找原因，如遗传原因、先天原因、疾病原因、体质原因、挑食偏食、食欲不佳、运动量不足或过度等，分析个体因素，制定有针对性随访干预措施。</w:t>
      </w:r>
      <w:r>
        <w:rPr>
          <w:rFonts w:hint="eastAsia" w:ascii="仿宋" w:hAnsi="仿宋" w:eastAsia="仿宋" w:cs="仿宋"/>
          <w:b/>
          <w:bCs/>
          <w:kern w:val="0"/>
          <w:sz w:val="28"/>
          <w:szCs w:val="28"/>
        </w:rPr>
        <w:t>二是加强医教结合。</w:t>
      </w:r>
      <w:r>
        <w:rPr>
          <w:rFonts w:hint="eastAsia" w:ascii="仿宋" w:hAnsi="仿宋" w:eastAsia="仿宋" w:cs="仿宋"/>
          <w:kern w:val="0"/>
          <w:sz w:val="28"/>
          <w:szCs w:val="28"/>
        </w:rPr>
        <w:t>需加强医教结合、保教配合、家园共育的工作，加强幼儿一日生活活动的保育护理，培养幼儿良好的饮食、运动及其他各类生活习惯，进一步探索运动项目、饮食营养等有效性；邀请专业医生深入校园开展相关知识讲座，家园提高意识、了解相关措施与做法，逐步提高其管理有效性。</w:t>
      </w:r>
    </w:p>
    <w:p w14:paraId="50456783">
      <w:pPr>
        <w:spacing w:line="360" w:lineRule="auto"/>
        <w:ind w:firstLine="560" w:firstLineChars="200"/>
        <w:jc w:val="right"/>
        <w:rPr>
          <w:rFonts w:ascii="仿宋" w:hAnsi="仿宋" w:eastAsia="仿宋" w:cs="Arial Unicode MS"/>
          <w:color w:val="000000"/>
          <w:kern w:val="0"/>
          <w:sz w:val="28"/>
          <w:szCs w:val="28"/>
          <w:lang w:val="zh-CN"/>
        </w:rPr>
      </w:pPr>
      <w:r>
        <w:rPr>
          <w:rFonts w:hint="eastAsia" w:ascii="仿宋" w:hAnsi="仿宋" w:eastAsia="仿宋" w:cs="Arial Unicode MS"/>
          <w:color w:val="000000"/>
          <w:kern w:val="0"/>
          <w:sz w:val="28"/>
          <w:szCs w:val="28"/>
          <w:lang w:val="zh-CN"/>
        </w:rPr>
        <w:t xml:space="preserve">                               </w:t>
      </w:r>
      <w:bookmarkStart w:id="0" w:name="_GoBack"/>
      <w:bookmarkEnd w:id="0"/>
    </w:p>
    <w:sectPr>
      <w:pgSz w:w="11906" w:h="16838"/>
      <w:pgMar w:top="1474" w:right="1361"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U5N2U5OGIwNjJhM2I5MjA5OGMxMTYxMmZiYzYwMmEifQ=="/>
  </w:docVars>
  <w:rsids>
    <w:rsidRoot w:val="00A16601"/>
    <w:rsid w:val="000947FD"/>
    <w:rsid w:val="000B1526"/>
    <w:rsid w:val="000E250B"/>
    <w:rsid w:val="001648D7"/>
    <w:rsid w:val="00182F06"/>
    <w:rsid w:val="00270CE7"/>
    <w:rsid w:val="003153D3"/>
    <w:rsid w:val="00344518"/>
    <w:rsid w:val="004000B1"/>
    <w:rsid w:val="00487740"/>
    <w:rsid w:val="00516B76"/>
    <w:rsid w:val="0055315C"/>
    <w:rsid w:val="005C5C15"/>
    <w:rsid w:val="0060515B"/>
    <w:rsid w:val="006C3B76"/>
    <w:rsid w:val="006E785C"/>
    <w:rsid w:val="007A10CE"/>
    <w:rsid w:val="008250A1"/>
    <w:rsid w:val="008410C1"/>
    <w:rsid w:val="00970B27"/>
    <w:rsid w:val="009D67B1"/>
    <w:rsid w:val="009E71B5"/>
    <w:rsid w:val="00A16601"/>
    <w:rsid w:val="00A2244A"/>
    <w:rsid w:val="00A42BB4"/>
    <w:rsid w:val="00A969AE"/>
    <w:rsid w:val="00AF2E47"/>
    <w:rsid w:val="00B37EA6"/>
    <w:rsid w:val="00BC3458"/>
    <w:rsid w:val="00C4011A"/>
    <w:rsid w:val="00C4368A"/>
    <w:rsid w:val="00D203A2"/>
    <w:rsid w:val="00D205AE"/>
    <w:rsid w:val="00E00598"/>
    <w:rsid w:val="00E4660B"/>
    <w:rsid w:val="00F070BB"/>
    <w:rsid w:val="00FA39F6"/>
    <w:rsid w:val="00FA5550"/>
    <w:rsid w:val="04D37589"/>
    <w:rsid w:val="05E70E81"/>
    <w:rsid w:val="0D892CAF"/>
    <w:rsid w:val="0DAE2D35"/>
    <w:rsid w:val="14F13DFC"/>
    <w:rsid w:val="15073CD2"/>
    <w:rsid w:val="17056755"/>
    <w:rsid w:val="19183857"/>
    <w:rsid w:val="1C694603"/>
    <w:rsid w:val="1EB62E3F"/>
    <w:rsid w:val="1F5B4A6D"/>
    <w:rsid w:val="203A2A6C"/>
    <w:rsid w:val="23BC5C0D"/>
    <w:rsid w:val="24442C50"/>
    <w:rsid w:val="2AB40F49"/>
    <w:rsid w:val="2D154D29"/>
    <w:rsid w:val="2E082E74"/>
    <w:rsid w:val="2F226A3D"/>
    <w:rsid w:val="3236068C"/>
    <w:rsid w:val="340D4DC7"/>
    <w:rsid w:val="35082852"/>
    <w:rsid w:val="36631033"/>
    <w:rsid w:val="39A50CEE"/>
    <w:rsid w:val="3F79486F"/>
    <w:rsid w:val="460434CF"/>
    <w:rsid w:val="46EE4D37"/>
    <w:rsid w:val="48077256"/>
    <w:rsid w:val="49175D6D"/>
    <w:rsid w:val="55AE1942"/>
    <w:rsid w:val="60B4103C"/>
    <w:rsid w:val="617A3DBC"/>
    <w:rsid w:val="61B01959"/>
    <w:rsid w:val="624B38A6"/>
    <w:rsid w:val="66010667"/>
    <w:rsid w:val="6B5F6AC3"/>
    <w:rsid w:val="6D01750D"/>
    <w:rsid w:val="6F980C8B"/>
    <w:rsid w:val="6FE50A20"/>
    <w:rsid w:val="72955A03"/>
    <w:rsid w:val="72F07194"/>
    <w:rsid w:val="73A71F64"/>
    <w:rsid w:val="76F93003"/>
    <w:rsid w:val="77FA7033"/>
    <w:rsid w:val="78D85EC6"/>
    <w:rsid w:val="7C1E4637"/>
    <w:rsid w:val="7F9778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直接连接符 2"/>
        <o:r id="V:Rule2" type="connector" idref="#直接连接符 3"/>
        <o:r id="V:Rule3" type="connector" idref="#直接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left"/>
    </w:pPr>
    <w:rPr>
      <w:rFonts w:asciiTheme="minorHAnsi" w:hAnsiTheme="minorHAnsi" w:eastAsiaTheme="minorEastAsia" w:cstheme="minorBidi"/>
      <w:szCs w:val="22"/>
    </w:rPr>
  </w:style>
  <w:style w:type="paragraph" w:styleId="3">
    <w:name w:val="Plain Text"/>
    <w:basedOn w:val="1"/>
    <w:semiHidden/>
    <w:qFormat/>
    <w:uiPriority w:val="0"/>
    <w:rPr>
      <w:rFonts w:ascii="宋体" w:hAnsi="Courier New" w:cs="Courier New"/>
      <w:szCs w:val="21"/>
    </w:r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0"/>
    <w:rPr>
      <w:b/>
      <w:bCs/>
    </w:rPr>
  </w:style>
  <w:style w:type="character" w:styleId="10">
    <w:name w:val="page number"/>
    <w:basedOn w:val="8"/>
    <w:qFormat/>
    <w:uiPriority w:val="0"/>
  </w:style>
  <w:style w:type="character" w:customStyle="1" w:styleId="11">
    <w:name w:val="不明显参考1"/>
    <w:basedOn w:val="8"/>
    <w:qFormat/>
    <w:uiPriority w:val="31"/>
    <w:rPr>
      <w:smallCaps/>
      <w:color w:val="C0504D" w:themeColor="accent2"/>
      <w:u w:val="single"/>
    </w:rPr>
  </w:style>
  <w:style w:type="paragraph" w:customStyle="1" w:styleId="1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3">
    <w:name w:val="正文1"/>
    <w:qFormat/>
    <w:uiPriority w:val="0"/>
    <w:pPr>
      <w:spacing w:before="160" w:line="288" w:lineRule="auto"/>
    </w:pPr>
    <w:rPr>
      <w:rFonts w:ascii="Helvetica" w:hAnsi="Helvetica" w:eastAsia="Helvetica" w:cs="Helvetica"/>
      <w:color w:val="000000"/>
      <w:sz w:val="24"/>
      <w:szCs w:val="24"/>
      <w:lang w:val="en-US" w:eastAsia="zh-CN" w:bidi="ar-SA"/>
    </w:rPr>
  </w:style>
  <w:style w:type="paragraph" w:styleId="14">
    <w:name w:val="List Paragraph"/>
    <w:basedOn w:val="1"/>
    <w:qFormat/>
    <w:uiPriority w:val="99"/>
    <w:pPr>
      <w:ind w:firstLine="420" w:firstLineChars="200"/>
    </w:pPr>
  </w:style>
  <w:style w:type="character" w:customStyle="1" w:styleId="15">
    <w:name w:val="页眉 Char"/>
    <w:basedOn w:val="8"/>
    <w:link w:val="5"/>
    <w:semiHidden/>
    <w:qFormat/>
    <w:uiPriority w:val="99"/>
    <w:rPr>
      <w:kern w:val="2"/>
      <w:sz w:val="18"/>
      <w:szCs w:val="18"/>
    </w:rPr>
  </w:style>
  <w:style w:type="character" w:customStyle="1" w:styleId="16">
    <w:name w:val="页脚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4890</Words>
  <Characters>4993</Characters>
  <Lines>36</Lines>
  <Paragraphs>10</Paragraphs>
  <TotalTime>21</TotalTime>
  <ScaleCrop>false</ScaleCrop>
  <LinksUpToDate>false</LinksUpToDate>
  <CharactersWithSpaces>5028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2021-09-18T01:15:00Z</dcterms:created>
  <dc:creator>LENOVO</dc:creator>
  <cp:lastModifiedBy>董鸣</cp:lastModifiedBy>
  <dcterms:modified xsi:type="dcterms:W3CDTF">2025-07-18T03:15:03Z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42A32E18E9AD4AF1BD4F988B73D2C9CC_13</vt:lpwstr>
  </property>
  <property fmtid="{D5CDD505-2E9C-101B-9397-08002B2CF9AE}" pid="4" name="KSOTemplateDocerSaveRecord">
    <vt:lpwstr>eyJoZGlkIjoiZTE1MWFmN2MxNmNlMzBmNGY5MWRlNzhmMmZkNmI2ODEiLCJ1c2VySWQiOiI2NDAxNDU3MzgifQ==</vt:lpwstr>
  </property>
</Properties>
</file>