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97B2">
      <w:pPr>
        <w:widowControl/>
        <w:jc w:val="distribute"/>
        <w:rPr>
          <w:rFonts w:hint="eastAsia" w:ascii="方正小标宋简体" w:hAnsi="宋体" w:eastAsia="方正小标宋简体" w:cs="宋体"/>
          <w:b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48"/>
          <w:szCs w:val="48"/>
        </w:rPr>
        <w:t>上海市闵行区人民政府教育督导室文件</w:t>
      </w:r>
    </w:p>
    <w:p w14:paraId="49FAA24D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4EDFD40A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17E4CD29">
      <w:pPr>
        <w:pBdr>
          <w:bottom w:val="single" w:color="FF0000" w:sz="12" w:space="1"/>
        </w:pBdr>
        <w:spacing w:line="560" w:lineRule="exact"/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闵府教督〔202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〕</w:t>
      </w:r>
      <w:r>
        <w:rPr>
          <w:rFonts w:hint="eastAsia" w:ascii="仿宋" w:hAnsi="仿宋" w:eastAsia="仿宋"/>
          <w:sz w:val="32"/>
          <w:lang w:val="en-US" w:eastAsia="zh-CN"/>
        </w:rPr>
        <w:t>13</w:t>
      </w:r>
      <w:r>
        <w:rPr>
          <w:rFonts w:hint="eastAsia" w:ascii="仿宋" w:hAnsi="仿宋" w:eastAsia="仿宋"/>
          <w:sz w:val="32"/>
        </w:rPr>
        <w:t>号</w:t>
      </w:r>
    </w:p>
    <w:p w14:paraId="37AE4BAD">
      <w:pPr>
        <w:jc w:val="center"/>
        <w:rPr>
          <w:rFonts w:ascii="Times New Roman" w:hAnsi="Times New Roman"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</w:p>
    <w:p w14:paraId="0751FAE5">
      <w:pPr>
        <w:widowControl/>
        <w:snapToGrid w:val="0"/>
        <w:jc w:val="center"/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  <w14:textFill>
            <w14:solidFill>
              <w14:schemeClr w14:val="tx1"/>
            </w14:solidFill>
          </w14:textFill>
        </w:rPr>
        <w:t>关于印发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上海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  <w14:textFill>
            <w14:solidFill>
              <w14:schemeClr w14:val="tx1"/>
            </w14:solidFill>
          </w14:textFill>
        </w:rPr>
        <w:t>闵行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今明幼儿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  <w14:textFill>
            <w14:solidFill>
              <w14:schemeClr w14:val="tx1"/>
            </w14:solidFill>
          </w14:textFill>
        </w:rPr>
        <w:t>园办园水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平（20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）综合督导意见书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  <w14:textFill>
            <w14:solidFill>
              <w14:schemeClr w14:val="tx1"/>
            </w14:solidFill>
          </w14:textFill>
        </w:rPr>
        <w:t>》的通知</w:t>
      </w:r>
    </w:p>
    <w:p w14:paraId="38769D73">
      <w:pPr>
        <w:snapToGrid w:val="0"/>
        <w:spacing w:line="360" w:lineRule="auto"/>
        <w:rPr>
          <w:rFonts w:hint="eastAsia" w:ascii="仿宋" w:hAnsi="仿宋" w:eastAsia="仿宋"/>
          <w:bCs/>
          <w:color w:val="000000" w:themeColor="text1"/>
          <w:kern w:val="20"/>
          <w:sz w:val="22"/>
          <w:szCs w:val="32"/>
          <w14:textFill>
            <w14:solidFill>
              <w14:schemeClr w14:val="tx1"/>
            </w14:solidFill>
          </w14:textFill>
        </w:rPr>
      </w:pPr>
    </w:p>
    <w:p w14:paraId="1FA9D924">
      <w:pPr>
        <w:snapToGrid w:val="0"/>
        <w:spacing w:line="360" w:lineRule="auto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今明幼儿园：</w:t>
      </w:r>
    </w:p>
    <w:p w14:paraId="0A3E5D19">
      <w:pPr>
        <w:widowControl/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现将《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区今明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幼儿园办园水平（20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）综合督导意见书》印发给你们。请针对意见书中提出的问题和改进建议，在认真研究的基础上制定出改进计划，在收到意见书的一个月内书面报我室。</w:t>
      </w:r>
    </w:p>
    <w:p w14:paraId="4A2A7F3C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80131C">
      <w:pPr>
        <w:widowControl/>
        <w:snapToGrid w:val="0"/>
        <w:spacing w:line="360" w:lineRule="auto"/>
        <w:ind w:left="708" w:leftChars="337" w:firstLine="1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今明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幼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儿园办园水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</w:t>
      </w:r>
    </w:p>
    <w:p w14:paraId="65F81315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543D59">
      <w:pPr>
        <w:pStyle w:val="5"/>
        <w:snapToGrid w:val="0"/>
        <w:spacing w:before="0" w:beforeAutospacing="0" w:after="0" w:afterAutospacing="0" w:line="360" w:lineRule="auto"/>
        <w:ind w:left="2098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闵行区人民政府教育督导室</w:t>
      </w:r>
    </w:p>
    <w:p w14:paraId="279EEA22">
      <w:pPr>
        <w:pStyle w:val="5"/>
        <w:snapToGrid w:val="0"/>
        <w:spacing w:before="0" w:beforeAutospacing="0" w:after="0" w:afterAutospacing="0" w:line="360" w:lineRule="auto"/>
        <w:ind w:left="2098" w:right="506" w:rightChars="241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年6月30日</w:t>
      </w:r>
    </w:p>
    <w:p w14:paraId="13A652C4">
      <w:pPr>
        <w:spacing w:after="80" w:line="500" w:lineRule="exact"/>
        <w:ind w:firstLine="280" w:firstLineChars="100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公开属性：主动公开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384810</wp:posOffset>
                </wp:positionV>
                <wp:extent cx="573405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3pt;height:0pt;width:451.5pt;z-index:251659264;mso-width-relative:page;mso-height-relative:page;" filled="f" stroked="t" coordsize="21600,21600" o:gfxdata="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YJRoR0wAA&#10;AAYBAAAPAAAAAAAAAAEAIAAAACIAAABkcnMvZG93bnJldi54bWxQSwECFAAUAAAACACHTuJA4m5g&#10;2+oBAAC4AwAADgAAAAAAAAABACAAAAAi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EC712C6">
      <w:pPr>
        <w:spacing w:before="80"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抄送：闵行区人民政府办公室、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莘庄工业区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、上海市闵行区教育局</w:t>
      </w:r>
    </w:p>
    <w:p w14:paraId="7F466BF1">
      <w:pPr>
        <w:spacing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573405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5pt;height:0pt;width:451.5pt;z-index:251660288;mso-width-relative:page;mso-height-relative:page;" filled="f" stroked="t" coordsize="21600,21600" o:gfxdata="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tlovrTAAAA&#10;BgEAAA8AAAAAAAAAAQAgAAAAIgAAAGRycy9kb3ducmV2LnhtbFBLAQIUABQAAAAIAIdO4kBEd1uf&#10;6QEAALg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374650</wp:posOffset>
                </wp:positionV>
                <wp:extent cx="573405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5pt;height:0pt;width:451.5pt;z-index:251660288;mso-width-relative:page;mso-height-relative:page;" filled="f" stroked="t" coordsize="21600,21600" o:gfxdata="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DBrX1AAA&#10;AAYBAAAPAAAAAAAAAAEAIAAAACIAAABkcnMvZG93bnJldi54bWxQSwECFAAUAAAACACHTuJArl0W&#10;U+kBAAC4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闵行区人民政府教育督导室             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年6月30日印发</w:t>
      </w:r>
    </w:p>
    <w:p w14:paraId="072B9541">
      <w:pP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  <w:br w:type="page"/>
      </w:r>
    </w:p>
    <w:p w14:paraId="72F38546">
      <w:pPr>
        <w:widowControl/>
        <w:spacing w:line="360" w:lineRule="auto"/>
        <w:jc w:val="left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511F676D">
      <w:pPr>
        <w:widowControl/>
        <w:spacing w:line="360" w:lineRule="auto"/>
        <w:jc w:val="center"/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</w:pPr>
    </w:p>
    <w:p w14:paraId="2E745436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上海闵行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今明幼儿园办园水平（2020－2025）</w:t>
      </w:r>
    </w:p>
    <w:p w14:paraId="036D1C9D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综合督导意见书</w:t>
      </w:r>
    </w:p>
    <w:p w14:paraId="7A144312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根据教育部《幼儿园办园行为督导评估办法》和</w:t>
      </w:r>
      <w:r>
        <w:rPr>
          <w:rFonts w:ascii="仿宋" w:hAnsi="仿宋" w:eastAsia="仿宋"/>
          <w:sz w:val="28"/>
          <w:szCs w:val="28"/>
        </w:rPr>
        <w:t>《上海市教育督导条例》，</w:t>
      </w:r>
      <w:r>
        <w:rPr>
          <w:rFonts w:hint="eastAsia" w:ascii="仿宋" w:hAnsi="仿宋" w:eastAsia="仿宋"/>
          <w:sz w:val="28"/>
          <w:szCs w:val="28"/>
        </w:rPr>
        <w:t>闵行区人民政府教育督导室于2025年5月14日对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上海闵行区</w:t>
      </w:r>
      <w:r>
        <w:rPr>
          <w:rFonts w:hint="eastAsia" w:ascii="仿宋" w:hAnsi="仿宋" w:eastAsia="仿宋"/>
          <w:sz w:val="28"/>
          <w:szCs w:val="28"/>
        </w:rPr>
        <w:t xml:space="preserve">今明幼儿园办园水平（2025）进行了实地督导评估。实地督导前，督导组审核幼儿园提交的材料；对园内52名教师以及301位家长进行问卷调查。实地督导期间，督导组通过听取冯洪米娜园长自评汇报，察看园容园貌、现场查阅资料、观摩一日活动各个环节，与举办者、园长、中层干部、教研组长、教师以及三大员进行了访谈。 </w:t>
      </w:r>
    </w:p>
    <w:p w14:paraId="765DF642">
      <w:pPr>
        <w:spacing w:line="360" w:lineRule="auto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综合分析各类信息，督导组认为：</w:t>
      </w:r>
      <w:r>
        <w:rPr>
          <w:rFonts w:hint="eastAsia" w:ascii="仿宋" w:hAnsi="仿宋" w:eastAsia="仿宋"/>
          <w:sz w:val="28"/>
          <w:szCs w:val="28"/>
        </w:rPr>
        <w:t>上海闵行区今明幼儿园法人治理结构合规，党建引领发挥作用；运行管理规范有序，办园条件逐步改善；队伍建设有效，师德师风良好；贯彻落实“幼儿发展优先”行动，保教管理与实施体现育人导向与价值追求，资源整合优化空间保障课程均衡，卫生保健工作规范扎实。团队富有凝聚力，幼儿园办园质量呈现良好的发展态势。</w:t>
      </w:r>
    </w:p>
    <w:p w14:paraId="2E1CCD6E">
      <w:pPr>
        <w:widowControl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依据《闵行区中小学（幼儿园）办学水平（2025）综合督导方案》，对照督导指标，提出如下评估意见。</w:t>
      </w:r>
    </w:p>
    <w:p w14:paraId="2201B15B">
      <w:pPr>
        <w:widowControl/>
        <w:spacing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一、主要做法与成效</w:t>
      </w:r>
    </w:p>
    <w:p w14:paraId="35FDB2F8">
      <w:pPr>
        <w:widowControl/>
        <w:spacing w:line="360" w:lineRule="auto"/>
        <w:ind w:firstLine="560" w:firstLineChars="200"/>
        <w:rPr>
          <w:rStyle w:val="9"/>
          <w:rFonts w:hint="eastAsia" w:ascii="楷体" w:hAnsi="楷体" w:eastAsia="楷体" w:cs="楷体"/>
          <w:b w:val="0"/>
          <w:bCs/>
          <w:sz w:val="28"/>
          <w:szCs w:val="28"/>
          <w:lang w:val="zh-TW" w:eastAsia="zh-TW"/>
        </w:rPr>
      </w:pPr>
      <w:r>
        <w:rPr>
          <w:rStyle w:val="9"/>
          <w:rFonts w:hint="eastAsia" w:ascii="楷体" w:hAnsi="楷体" w:eastAsia="楷体" w:cs="楷体"/>
          <w:b w:val="0"/>
          <w:bCs/>
          <w:sz w:val="28"/>
          <w:szCs w:val="28"/>
          <w:lang w:val="zh-TW"/>
        </w:rPr>
        <w:t>（</w:t>
      </w:r>
      <w:r>
        <w:rPr>
          <w:rStyle w:val="9"/>
          <w:rFonts w:hint="eastAsia" w:ascii="楷体" w:hAnsi="楷体" w:eastAsia="楷体" w:cs="楷体"/>
          <w:b w:val="0"/>
          <w:bCs/>
          <w:sz w:val="28"/>
          <w:szCs w:val="28"/>
        </w:rPr>
        <w:t>一</w:t>
      </w:r>
      <w:r>
        <w:rPr>
          <w:rStyle w:val="9"/>
          <w:rFonts w:hint="eastAsia" w:ascii="楷体" w:hAnsi="楷体" w:eastAsia="楷体" w:cs="楷体"/>
          <w:b w:val="0"/>
          <w:bCs/>
          <w:sz w:val="28"/>
          <w:szCs w:val="28"/>
          <w:lang w:val="zh-TW"/>
        </w:rPr>
        <w:t>）</w:t>
      </w:r>
      <w:r>
        <w:rPr>
          <w:rStyle w:val="9"/>
          <w:rFonts w:hint="eastAsia" w:ascii="楷体" w:hAnsi="楷体" w:eastAsia="楷体" w:cs="楷体"/>
          <w:b w:val="0"/>
          <w:bCs/>
          <w:sz w:val="28"/>
          <w:szCs w:val="28"/>
          <w:lang w:val="zh-TW" w:eastAsia="zh-TW"/>
        </w:rPr>
        <w:t>坚持依法治</w:t>
      </w:r>
      <w:r>
        <w:rPr>
          <w:rStyle w:val="9"/>
          <w:rFonts w:hint="eastAsia" w:ascii="楷体" w:hAnsi="楷体" w:eastAsia="楷体" w:cs="楷体"/>
          <w:b w:val="0"/>
          <w:bCs/>
          <w:sz w:val="28"/>
          <w:szCs w:val="28"/>
        </w:rPr>
        <w:t>园</w:t>
      </w:r>
      <w:r>
        <w:rPr>
          <w:rStyle w:val="9"/>
          <w:rFonts w:hint="eastAsia" w:ascii="楷体" w:hAnsi="楷体" w:eastAsia="楷体" w:cs="楷体"/>
          <w:b w:val="0"/>
          <w:bCs/>
          <w:sz w:val="28"/>
          <w:szCs w:val="28"/>
          <w:lang w:val="zh-TW" w:eastAsia="zh-TW"/>
        </w:rPr>
        <w:t>，</w:t>
      </w:r>
      <w:r>
        <w:rPr>
          <w:rStyle w:val="9"/>
          <w:rFonts w:hint="eastAsia" w:ascii="楷体" w:hAnsi="楷体" w:eastAsia="楷体" w:cs="楷体"/>
          <w:b w:val="0"/>
          <w:bCs/>
          <w:sz w:val="28"/>
          <w:szCs w:val="28"/>
          <w:lang w:val="zh-TW"/>
        </w:rPr>
        <w:t>规划引领</w:t>
      </w:r>
      <w:r>
        <w:rPr>
          <w:rStyle w:val="9"/>
          <w:rFonts w:hint="eastAsia" w:ascii="楷体" w:hAnsi="楷体" w:eastAsia="楷体" w:cs="楷体"/>
          <w:b w:val="0"/>
          <w:bCs/>
          <w:sz w:val="28"/>
          <w:szCs w:val="28"/>
        </w:rPr>
        <w:t>助力</w:t>
      </w:r>
      <w:r>
        <w:rPr>
          <w:rStyle w:val="9"/>
          <w:rFonts w:hint="eastAsia" w:ascii="楷体" w:hAnsi="楷体" w:eastAsia="楷体" w:cs="楷体"/>
          <w:b w:val="0"/>
          <w:bCs/>
          <w:sz w:val="28"/>
          <w:szCs w:val="28"/>
          <w:lang w:val="zh-TW" w:eastAsia="zh-TW"/>
        </w:rPr>
        <w:t>发展</w:t>
      </w:r>
    </w:p>
    <w:p w14:paraId="60C7B5CC">
      <w:pPr>
        <w:widowControl/>
        <w:spacing w:line="360" w:lineRule="auto"/>
        <w:ind w:firstLine="562" w:firstLineChars="200"/>
        <w:rPr>
          <w:rFonts w:hint="eastAsia"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注重顶层设计。</w:t>
      </w:r>
      <w:r>
        <w:rPr>
          <w:rFonts w:ascii="仿宋" w:hAnsi="仿宋" w:eastAsia="仿宋"/>
          <w:sz w:val="28"/>
          <w:szCs w:val="28"/>
        </w:rPr>
        <w:t>幼儿园制定了《发展中提升，普惠中创优（2024年1月－2028年12月）》五年发展规划，规划的框架结构比较完整，</w:t>
      </w:r>
      <w:r>
        <w:rPr>
          <w:rFonts w:hint="eastAsia" w:ascii="仿宋" w:hAnsi="仿宋" w:eastAsia="仿宋"/>
          <w:sz w:val="28"/>
          <w:szCs w:val="28"/>
        </w:rPr>
        <w:t>特别是在条线工作中将“党组织建设”作为独立的条线进行详细规划，体现了幼儿园对党建工作的高度重视。幼儿园的办园理念、校园文化和课程设置等都能紧密围绕立德树人的根本任务展开，确保教育方向正确，育人目标明确。</w:t>
      </w:r>
    </w:p>
    <w:p w14:paraId="68964DEA">
      <w:pPr>
        <w:pStyle w:val="2"/>
        <w:spacing w:line="360" w:lineRule="auto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注重规范治理。</w:t>
      </w:r>
      <w:r>
        <w:rPr>
          <w:rFonts w:hint="eastAsia" w:ascii="仿宋" w:hAnsi="仿宋" w:eastAsia="仿宋"/>
          <w:sz w:val="28"/>
          <w:szCs w:val="28"/>
        </w:rPr>
        <w:t>幼儿园在党支部的领导下，积极推进制度建设与规范管理，制定了《幼儿园章程》及相关规章制度，初步构建了较为完善的制度体系。党务公开和园务公开工作有序推进，增强了办园过程的透明度与民主化水平。幼儿园理事会成员构成符合相关规定，共5人组成，其中4人具有5年以上教育从业经历，具备较强的专业背景与决策能力。党支部书记进入理事会，有效推动了党组织领导作用的发挥，实现了党建与园务工作的有机融合。近年来，幼儿园坚持依法依规办学，每年召开理事会会议2次以上，围绕发展规划、经费使用、师资建设等重大事项进行审议与决策，会议资料齐全、记录完整，体现了良好的议事规范与治理效能。在积极参与区域教育质量提升和社会文明创建方面，幼儿园也取得了一定成绩。2023和2024学年，先后荣获“上海市安全文明校园”“同心共筑推普梦”等荣誉称号，被评为“闵行区巾帼文明示范岗”，充分展现了幼儿园在综合管理和文化建设方面的积极成效。</w:t>
      </w:r>
    </w:p>
    <w:p w14:paraId="6937FF0B">
      <w:pPr>
        <w:pStyle w:val="2"/>
        <w:spacing w:line="360" w:lineRule="auto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注重家园合作。</w:t>
      </w:r>
      <w:r>
        <w:rPr>
          <w:rFonts w:hint="eastAsia" w:ascii="仿宋" w:hAnsi="仿宋" w:eastAsia="仿宋"/>
          <w:sz w:val="28"/>
          <w:szCs w:val="28"/>
        </w:rPr>
        <w:t>幼儿园高度重视家园协同育人机制建设，积极搭建多元化的家园共育沟通平台，依托家长委员会、家长会等传统渠道，定期开展交流活动，主动听取家长意见与建议，形成良好的互动机制。</w:t>
      </w:r>
    </w:p>
    <w:p w14:paraId="24403E90"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同时，幼儿园创新家校共育形式，组织开展“爸爸沙龙”等特色活动，鼓励父亲积极参与幼儿成长过程，丰富家庭教育角色，提升家庭教育质量。通过免费早教服务向社区延伸教育功能，增强与周边家庭的联系，推动构建“园所—家庭—社区”三位一体的育人生态。此外，幼儿园充分运用新媒体平台，拓展家园沟通的便捷性与时效性，及时传递教育理念与活动信息，增强家长对园所工作的理解与支持。</w:t>
      </w:r>
    </w:p>
    <w:p w14:paraId="4FACCD90"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在持续努力下，家园协同育人机制逐步完善，家长参与度和满意度显著提升，连续多年家长满意率超过95%，形成了家园携手、共育共进的良好育人氛围。</w:t>
      </w:r>
    </w:p>
    <w:p w14:paraId="3356F072">
      <w:p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(二）关注课程管理建设，追求保教研究质量</w:t>
      </w:r>
    </w:p>
    <w:p w14:paraId="295304CE">
      <w:pPr>
        <w:spacing w:line="360" w:lineRule="auto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重视课程建设。</w:t>
      </w:r>
      <w:r>
        <w:rPr>
          <w:rFonts w:hint="eastAsia" w:ascii="仿宋" w:hAnsi="仿宋" w:eastAsia="仿宋"/>
          <w:sz w:val="28"/>
          <w:szCs w:val="28"/>
        </w:rPr>
        <w:t>幼儿园重视课程建设工作，课程方案要素齐全、结构完整、内容全面，能够较好地体现立德树人的育人导向和正确的教育价值追求。在课程实施过程中，注重基础课程的落实，不盲目追求园本化、特色化倾向，有效避免了“小学化”倾向，保障了幼儿学习过程的科学性和适宜性。课程设置与安排充分考虑幼儿的发展水平和成长需求，为幼儿提供了丰富多样的学习经历和体验，体现了以儿童发展为本的教育理念。同时，建立了较为完善的课程质量监控与评价机制，各类活动安排详实，各年龄段主题计划具体可行，确保课程方案的有效落地。在日常保教工作中，学期工作计划、周工作安排、日活动计划等制定科学、执行有序，能够结合幼儿年龄特点与发展目标进行合理调整，充分体现“保教结合”的基本原则。教师在实践中不断反思、持续优化教学策略，推动保教质量稳步提升。教研方面，大教研计划条理清晰、目标明确，活动形式多样、组织规范，做到“有方案、有记录、有反思”，聚焦问题视角，资料整理完整，为教师专业成长和课程实践改进提供了有力支撑。</w:t>
      </w:r>
    </w:p>
    <w:p w14:paraId="70EC1FEF">
      <w:pPr>
        <w:spacing w:line="360" w:lineRule="auto"/>
        <w:ind w:firstLine="562" w:firstLineChars="200"/>
        <w:rPr>
          <w:rFonts w:hint="eastAsia"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组织实施有效。</w:t>
      </w:r>
      <w:r>
        <w:rPr>
          <w:rFonts w:hint="eastAsia" w:ascii="仿宋" w:hAnsi="仿宋" w:eastAsia="仿宋"/>
          <w:sz w:val="28"/>
          <w:szCs w:val="28"/>
        </w:rPr>
        <w:t>幼儿园能够依据科学合理的一日作息制度有序开展各项活动，各环节之间过渡自然、衔接流畅，体现了良好的常规管理和对幼儿学习节奏的尊重。教师在日常教学中教态亲切自然，注重师幼关系的平等与和谐，能够支持幼儿自主选择游戏材料、合作同伴及活动方式，充分尊重幼儿的主体性。在活动中，教师善于运用鼓励、引导、欣赏等多种策略，关注每一名幼儿的情绪体验与成长需求，努力营造宽松、温暖、富有安全感的心理环境。同时，能根据幼儿不同年龄阶段的发展特点以及季节变化的实际需要，科学安排生活、运动、游戏、学习四类基本活动，并有机融合园所特色活动，确保课程实施的多样性与适宜性，有效促进幼儿身心健康和谐发展。</w:t>
      </w:r>
    </w:p>
    <w:p w14:paraId="2D921082">
      <w:pPr>
        <w:spacing w:line="360" w:lineRule="auto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质量监控常态化。</w:t>
      </w:r>
      <w:r>
        <w:rPr>
          <w:rFonts w:hint="eastAsia" w:ascii="仿宋" w:hAnsi="仿宋" w:eastAsia="仿宋"/>
          <w:sz w:val="28"/>
          <w:szCs w:val="28"/>
        </w:rPr>
        <w:t>园长重视课程领导力与保教质量管理工作，制定了具有可操作性的“听评课计划”，并能定时深入教学一线，持续跟进保教工作实施情况，开展有针对性的质量监控与业务指导。在听评课过程中，不仅注重集体教学活动的观察记录，还结合教学设计、师幼互动、目标达成等方面进行系统分析与反馈，有效促进教师专业成长和教学质量提升。同时，幼儿园已建立较为完善的保教质量监控制度，并在实际工作中落实到位。监控记录数量充足、内容详实、覆盖全面，既包括日常教学行为的规范性检查，也涉及课程实施的有效性评估，体现出多维度、全过程的质量管理意识。通过制度保障与过程监管相结合，确保各项教育活动规范有序开展，为保教质量的持续提升提供了坚实支撑。</w:t>
      </w:r>
    </w:p>
    <w:p w14:paraId="5790084B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重视安全工作，保育工作规范有序</w:t>
      </w:r>
    </w:p>
    <w:p w14:paraId="4B9B0082">
      <w:pPr>
        <w:spacing w:line="360" w:lineRule="auto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风险防控基础有保障。</w:t>
      </w:r>
      <w:r>
        <w:rPr>
          <w:rFonts w:hint="eastAsia" w:ascii="仿宋" w:hAnsi="仿宋" w:eastAsia="仿宋"/>
          <w:sz w:val="28"/>
          <w:szCs w:val="28"/>
        </w:rPr>
        <w:t>幼儿园实行园长责任制，架构了安全管理网络、食品安全管理网络，并制定了相应岗位职责、安全管理制度和应急预案；制定了年度安全工作计划、总结，计划框架较清晰，目标比较适切；幼儿园以人防筑基、技防赋能、物防固垒为工作基准落实“三防”建设，有安全台账，比较注重日常巡视检查，呈现了日常行政、班级教师、保安、三大员日常安全巡视检查记录；幼儿园和第三方签订了消防、燃气检测、防虫害、视频监控、建立灯光改造等十二项合同，定期维护。视频监控全覆盖，监控记录达到保存九十天，更好地为安全管理提供保障。</w:t>
      </w:r>
    </w:p>
    <w:p w14:paraId="146F5E36">
      <w:pPr>
        <w:spacing w:line="360" w:lineRule="auto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安全教育扎实有成效。</w:t>
      </w:r>
      <w:r>
        <w:rPr>
          <w:rFonts w:hint="eastAsia" w:ascii="仿宋" w:hAnsi="仿宋" w:eastAsia="仿宋"/>
          <w:sz w:val="28"/>
          <w:szCs w:val="28"/>
        </w:rPr>
        <w:t>幼儿园能够针对幼儿、教职员工、家长三个群体开展不同内容、不同形式的安全教育。幼儿安全教育融入一日活动，以游戏活动为主要载体，每学期开展开学安全周及每周按季节按年龄段开展安全教育活动，体现托、小、中、大班年龄差异；对保教人员开展安全、急救技能培训和演练，全体教职工取得有效急救证达100%。通过家长会、公众号、告家长书等形式向家长进行安全宣教活动，不断提高全园师幼、家长的安全意识和行为。</w:t>
      </w:r>
    </w:p>
    <w:p w14:paraId="0F7DEF13">
      <w:pPr>
        <w:spacing w:line="360" w:lineRule="auto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健康管理重视有成效。</w:t>
      </w:r>
      <w:r>
        <w:rPr>
          <w:rFonts w:hint="eastAsia" w:ascii="仿宋" w:hAnsi="仿宋" w:eastAsia="仿宋"/>
          <w:sz w:val="28"/>
          <w:szCs w:val="28"/>
        </w:rPr>
        <w:t>园长每月对“三大员”进行检查与考核。幼儿入园体检率及定期体检率均达100%，工作人员体检率达100%。定期对保教人员、家长及幼儿开展健康安全教育。2023学年撰写保健专题“幼儿视力保健”。 对体弱儿童及时进行登记管理。2023学年肥胖发生率为3.1%，超重发生率11.6%，营养不良发生率为7.7%，肥胖好转率达40.0%，超重好转率达19.0%，低体重好转率达13.3%，消瘦好转率达37.5%，生长迟缓好转率达11.8%。</w:t>
      </w:r>
    </w:p>
    <w:p w14:paraId="6D495AE1">
      <w:pPr>
        <w:spacing w:line="360" w:lineRule="auto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消毒管理规范有保障。</w:t>
      </w:r>
      <w:r>
        <w:rPr>
          <w:rFonts w:hint="eastAsia" w:ascii="仿宋" w:hAnsi="仿宋" w:eastAsia="仿宋"/>
          <w:sz w:val="28"/>
          <w:szCs w:val="28"/>
        </w:rPr>
        <w:t>每层设有1个保育员操作室，设有1个传染病专用室。当天抽查消毒液浓度正确，制定了传染病应急预案，近2年无肠道传染病及安全事故发生。2024年10月及2025年4月的食具及环境物品表面细菌检测均符合消毒卫生标准。2023学年出勤率较高，达91.6%。2023学年视力不良发生率为7.0%，矫治率为100%；龋齿的发生率为10.5%，矫治率为67.6%。</w:t>
      </w:r>
    </w:p>
    <w:p w14:paraId="323065AC">
      <w:pPr>
        <w:spacing w:line="360" w:lineRule="auto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食品安全监管有力度。</w:t>
      </w:r>
      <w:r>
        <w:rPr>
          <w:rFonts w:hint="eastAsia" w:ascii="仿宋" w:hAnsi="仿宋" w:eastAsia="仿宋"/>
          <w:sz w:val="28"/>
          <w:szCs w:val="28"/>
        </w:rPr>
        <w:t xml:space="preserve">能严格执行食品验收、留样管理等制度，把好食品质量验收关。幼儿与成人伙食严格分开，每周按要求制定带量食谱，体现年龄特点，为体弱儿增加营养餐，不定期研发创新菜。每月进行营养分析。明厨亮灶100%全覆盖。幼儿饮用水为自烧水，符合卫生要求。 </w:t>
      </w:r>
    </w:p>
    <w:p w14:paraId="05B93BBF"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优化园舍配置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资源，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满足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幼儿活动需要</w:t>
      </w:r>
    </w:p>
    <w:p w14:paraId="2E35D412">
      <w:pPr>
        <w:spacing w:line="360" w:lineRule="auto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园舍配置基本到位。</w:t>
      </w:r>
      <w:r>
        <w:rPr>
          <w:rFonts w:hint="eastAsia" w:ascii="仿宋" w:hAnsi="仿宋" w:eastAsia="仿宋"/>
          <w:sz w:val="28"/>
          <w:szCs w:val="28"/>
        </w:rPr>
        <w:t xml:space="preserve">幼儿园生均室外游戏场地、生均用房、生均建筑面积均能达标。基于“幼儿发展优先”理念，能科学合理挖掘户外、室内空间资源，将原有的喷水池有效改造成户外运动、游戏场地，提供比较丰富的游戏材料，支持幼儿户外自主游戏、创意运动。有独立的保健室、观察室（隔离室），有符合要求的厨房、熟食间及基本的食品储存及加工设备；能因地制宜设置保育员操作室；幼儿活动室照明、幼儿图书配备符合标准。家长对环境的满意度达到98.01%。  </w:t>
      </w:r>
    </w:p>
    <w:p w14:paraId="62158D87">
      <w:pPr>
        <w:spacing w:line="360" w:lineRule="auto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经费保障依法实施。</w:t>
      </w:r>
      <w:r>
        <w:rPr>
          <w:rFonts w:hint="eastAsia" w:ascii="仿宋" w:hAnsi="仿宋" w:eastAsia="仿宋"/>
          <w:sz w:val="28"/>
          <w:szCs w:val="28"/>
        </w:rPr>
        <w:t>幼儿园执行《民间非营利组织会计制度》《上海市民办中小学财务管理办法》和《上海市民办中小学校会计核算办法》；按照规定做好会计核算，统一公示收费标准收费，财务人员持证上岗；有办学经费的预决算制度，有财务年度审计，有相关基金设置、使用的董（理）事会决议，有财务年度审计；无关于收费方面的信访；幼儿园校方责任综合保险覆盖率达到100％；参照执行《上海市民办中小学校会计核算办法》，账册、报表资料齐全；按规定做好会计核算。有收费备案，公开、规范收费，开具法定发票。代办服务性收费有家长意见表，师幼分食立账，政府补贴费做到专款专用、能提供普惠性民办园舍维修发票及合同 ；明确区分托育园资产属性，分别建帐，固定资产有总账、分类账，资产账目齐全，账账相符，资产有人负责。</w:t>
      </w:r>
    </w:p>
    <w:p w14:paraId="6FE36FD2"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重视师德师风建设，助推队伍专业成长</w:t>
      </w:r>
    </w:p>
    <w:p w14:paraId="0345CE31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幼儿园党支部重视师德师风建设，构建了“有方案、有活动、有总结、有考核”的闭环工作机制。通过开展“师德师风主题党日”“师德承诺签名仪式”等主题活动，增强教师的职业荣誉感与责任意识；组织党员教职工参观红色教育基地，强化理想信念，提升思想政治素养。同时，设立“党员监督岗”，在日常教学中发挥示范引领作用，规范教师教育教学行为，积极搭建覆盖全面、运行有效的师德监督体系。通过组织主题学习、观看专题视频、参与园本培训等多种形式，推动理论学习与实践反思相结合，持续夯实师德师风建设基础。在教师专业发展方面，制定了《教师专业发展五年规划》及教师个人成长计划，明确不同发展阶段教师的成长路径和支持策略。通过全园教师培训，加强思政教育与专业理论学习，提升综合素养；借助“青蓝工程”实施师徒结对，助力青年教师快速成长；围绕课程建设与教学实践，推动成熟型教师的专业深化；针对骨干教师开展专项培养，提升其课程领导力和研究能力，并依托学区资源，发挥辐射带动作用，全面提升教师队伍的整体素质和专业水平。</w:t>
      </w:r>
    </w:p>
    <w:p w14:paraId="2803EDDE"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园所发展初见成效,幼儿身心和谐发展</w:t>
      </w:r>
    </w:p>
    <w:p w14:paraId="39C91CBE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日常教育过程中，幼儿普遍展现出愉快稳定的情绪状态，性格活泼、乐群友善，在各类活动中表现出较强的参与积极性和良好的适应能力。大多数幼儿能够主动与同伴交流合作，在运动、学习和游戏过程中体验集体活动的乐趣。在社会性发展方面，多数幼儿具备较强的交往意识和初步的社交能力，面对陌生人时表现自然大方，能热情、有礼貌地主动打招呼，并邀请教师或客人参与活动，展现出良好的文明礼仪素养和归属感。生活能力方面，幼儿具备基本的生活自理能力，能够独立完成穿脱衣物、整理物品、如厕盥洗等日常事务，逐步养成良好的生活与卫生习惯。在半日活动中，幼儿表现出较强的自主性和规则意识，能做到自我管理、自觉行动、有序参与。在学习品质方面，幼儿在各类活动中愿意与教师、同伴积极互动，倾听习惯良好，专注力较强。在集体教学活动中，能够认真听讲、积极思考，并主动回应教师提问，展现出良好的学习态度和初步的学习能力。整体来看，幼儿在情感、社会性、生活习惯及学习品质等方面均呈现出健康、协调、积极的发展态势，为其终身发展奠定了坚实基础。</w:t>
      </w:r>
    </w:p>
    <w:p w14:paraId="73606D40">
      <w:pPr>
        <w:pStyle w:val="13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9"/>
          <w:rFonts w:hint="eastAsia" w:ascii="黑体" w:hAnsi="黑体" w:eastAsia="黑体" w:cs="黑体"/>
          <w:b w:val="0"/>
          <w:bCs w:val="0"/>
          <w:sz w:val="28"/>
          <w:szCs w:val="28"/>
          <w:lang w:val="zh-TW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</w:t>
      </w:r>
      <w:r>
        <w:rPr>
          <w:rStyle w:val="9"/>
          <w:rFonts w:hint="eastAsia" w:ascii="黑体" w:hAnsi="黑体" w:eastAsia="黑体" w:cs="黑体"/>
          <w:b w:val="0"/>
          <w:bCs w:val="0"/>
          <w:sz w:val="28"/>
          <w:szCs w:val="28"/>
          <w:lang w:val="zh-TW" w:eastAsia="zh-TW"/>
        </w:rPr>
        <w:t>存在的主要问题与改进建议</w:t>
      </w:r>
    </w:p>
    <w:p w14:paraId="554C3459">
      <w:p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）进一步凝练办园理念和办园目标，提高管理质效</w:t>
      </w:r>
    </w:p>
    <w:p w14:paraId="67811D29">
      <w:pPr>
        <w:widowControl/>
        <w:shd w:val="clear" w:color="auto" w:fill="FFFFFF"/>
        <w:spacing w:line="360" w:lineRule="auto"/>
        <w:ind w:firstLine="560" w:firstLineChars="200"/>
        <w:rPr>
          <w:rFonts w:hint="eastAsia" w:ascii="仿宋" w:hAnsi="仿宋" w:eastAsia="仿宋" w:cs="Arial Unicode MS"/>
          <w:sz w:val="28"/>
          <w:szCs w:val="28"/>
          <w:lang w:val="zh-CN"/>
        </w:rPr>
      </w:pPr>
      <w:r>
        <w:rPr>
          <w:rFonts w:hint="eastAsia" w:ascii="仿宋" w:hAnsi="仿宋" w:eastAsia="仿宋" w:cs="Arial Unicode MS"/>
          <w:sz w:val="28"/>
          <w:szCs w:val="28"/>
          <w:lang w:val="zh-CN"/>
        </w:rPr>
        <w:t>【问题】</w:t>
      </w:r>
      <w:r>
        <w:rPr>
          <w:rFonts w:ascii="仿宋" w:hAnsi="仿宋" w:eastAsia="仿宋" w:cs="仿宋"/>
          <w:sz w:val="28"/>
          <w:szCs w:val="28"/>
        </w:rPr>
        <w:t>发展规划撰写的质量有待提高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条线工作和行动纲领中对办园理念和校园文化等内容的表述不一致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办园理念单纯指向幼儿，不够全面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培养目标和达成标志的针对性和可测性不够。</w:t>
      </w:r>
    </w:p>
    <w:p w14:paraId="5F489E23">
      <w:pPr>
        <w:pStyle w:val="13"/>
        <w:spacing w:line="360" w:lineRule="auto"/>
        <w:ind w:left="420" w:firstLine="0" w:firstLineChars="0"/>
        <w:jc w:val="left"/>
        <w:rPr>
          <w:rFonts w:hint="eastAsia" w:ascii="仿宋" w:hAnsi="仿宋" w:eastAsia="仿宋" w:cs="Arial Unicode MS"/>
          <w:sz w:val="28"/>
          <w:szCs w:val="28"/>
        </w:rPr>
      </w:pPr>
      <w:r>
        <w:rPr>
          <w:rFonts w:hint="eastAsia" w:ascii="仿宋" w:hAnsi="仿宋" w:eastAsia="仿宋" w:cs="Arial Unicode MS"/>
          <w:sz w:val="28"/>
          <w:szCs w:val="28"/>
        </w:rPr>
        <w:t>【建议】进一步明确办园理念对园所发展的顶层设计和校园文化</w:t>
      </w:r>
    </w:p>
    <w:p w14:paraId="7FE7824C">
      <w:pPr>
        <w:pStyle w:val="13"/>
        <w:spacing w:line="360" w:lineRule="auto"/>
        <w:ind w:firstLine="0" w:firstLineChars="0"/>
        <w:jc w:val="left"/>
        <w:rPr>
          <w:rFonts w:hint="eastAsia" w:ascii="仿宋" w:hAnsi="仿宋" w:eastAsia="仿宋" w:cs="Arial Unicode MS"/>
          <w:sz w:val="28"/>
          <w:szCs w:val="28"/>
        </w:rPr>
      </w:pPr>
      <w:r>
        <w:rPr>
          <w:rFonts w:hint="eastAsia" w:ascii="仿宋" w:hAnsi="仿宋" w:eastAsia="仿宋" w:cs="Arial Unicode MS"/>
          <w:sz w:val="28"/>
          <w:szCs w:val="28"/>
        </w:rPr>
        <w:t>的表述和诠释，办园理念的诠释要面向园所、教工、幼儿、家长的成长，体现顶层设计的全面性。根据《指南》的要求制定幼儿培养目标，体现共性和个性，根据教师和三大员不同的岗位特点，制定培养目标，体现师德和专业。</w:t>
      </w:r>
    </w:p>
    <w:p w14:paraId="6F7E98CA">
      <w:pPr>
        <w:numPr>
          <w:ilvl w:val="0"/>
          <w:numId w:val="3"/>
        </w:num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进一步加强课程顶层设计，助推保教质量提升</w:t>
      </w:r>
    </w:p>
    <w:p w14:paraId="66B86EE6"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【问题】课程理念“寓动抒心，健康发展”。身体活动已经做了诠释，但思维的“动”只是在思维的活跃和实践操作，有些局限。</w:t>
      </w:r>
    </w:p>
    <w:p w14:paraId="4C834E96">
      <w:pPr>
        <w:pStyle w:val="13"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【建议】</w:t>
      </w:r>
      <w:r>
        <w:rPr>
          <w:rFonts w:hint="eastAsia" w:ascii="仿宋" w:hAnsi="仿宋" w:eastAsia="仿宋"/>
          <w:sz w:val="28"/>
          <w:szCs w:val="28"/>
        </w:rPr>
        <w:t>在课程方案制定过程中，既要注重自上而下的顶层设计，确保课程理念的方向性和系统性，也要关注自下而上的实践智慧，增强课程的适切性与可操作性。应围绕特色活动的核心理念与目标，进一步甄选符合各年龄段幼儿发展特点的课程内容，并通过调研教师对课程理念的理解与执行情况，深入了解一线教学实际，为课程优化提供依据。同时，深入研究特色活动的有效实施路径，提升课程领导力，推动教师团队在理念理解和实践操作中形成共识与共同愿景。在此基础上，进一步加强“以幼儿发展优先”理念的学习与落实，真正回归幼儿视角。结合实际问题，针对性地制定教研计划，围绕游戏环境与材料投放、观察与支持策略、交流与分享机制等关键议题开展实践研究，不断提升游戏活动的质量与教育价值。</w:t>
      </w:r>
    </w:p>
    <w:p w14:paraId="646AB2F2">
      <w:pPr>
        <w:numPr>
          <w:ilvl w:val="0"/>
          <w:numId w:val="3"/>
        </w:num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进一步提高营养分析能力，根据分析有效改进措施</w:t>
      </w:r>
    </w:p>
    <w:p w14:paraId="6C5FE1AD"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【问题】</w:t>
      </w:r>
      <w:r>
        <w:rPr>
          <w:rFonts w:hint="eastAsia" w:ascii="仿宋" w:hAnsi="仿宋" w:eastAsia="仿宋"/>
          <w:sz w:val="28"/>
          <w:szCs w:val="28"/>
        </w:rPr>
        <w:t>营养分析结果有个别不符合要求，禽肉类、水产类及蛋类的比例不合理。</w:t>
      </w:r>
    </w:p>
    <w:p w14:paraId="35619C0A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【建议】</w:t>
      </w:r>
      <w:r>
        <w:rPr>
          <w:rFonts w:hint="eastAsia" w:ascii="仿宋" w:hAnsi="仿宋" w:eastAsia="仿宋"/>
          <w:sz w:val="28"/>
          <w:szCs w:val="28"/>
        </w:rPr>
        <w:t>营养分析结果不达标，要及时查找、分析原因，在下一个月的菜谱制定中及时进行调整，做到均衡饮食。进一步加强营养员的规范操作，注重细节，保证工作质量。</w:t>
      </w:r>
    </w:p>
    <w:p w14:paraId="7CABFE93">
      <w:pPr>
        <w:numPr>
          <w:ilvl w:val="0"/>
          <w:numId w:val="3"/>
        </w:num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进一步优化资源配置，助推园所高质量建设</w:t>
      </w:r>
    </w:p>
    <w:p w14:paraId="6D525086"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【问题】</w:t>
      </w:r>
      <w:r>
        <w:rPr>
          <w:rFonts w:hint="eastAsia" w:ascii="仿宋" w:hAnsi="仿宋" w:eastAsia="仿宋"/>
          <w:sz w:val="28"/>
          <w:szCs w:val="28"/>
        </w:rPr>
        <w:t>2024年度收支亏损（99.48万元），年度净资产为负数（354.87万元），净资产负债率1076.1%；专用活动室适合年龄特点的必要电化教育设备不足。</w:t>
      </w:r>
    </w:p>
    <w:p w14:paraId="09E82017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建议】进一步加强资金管理，确保幼儿园经费的日常开支和正常运转，加强招生的力度，做好开源节流，有效防范财务风险；适当对专用活动室设备、玩具、材料和必要适合年龄特点的玩具、图书、材料等教学设备设施作一些投入。</w:t>
      </w:r>
    </w:p>
    <w:p w14:paraId="2923CC20">
      <w:pPr>
        <w:numPr>
          <w:ilvl w:val="0"/>
          <w:numId w:val="3"/>
        </w:num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优化队伍建设顶层设计，促进队伍专业自主发展</w:t>
      </w:r>
    </w:p>
    <w:p w14:paraId="5D5AC330"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【问题】</w:t>
      </w:r>
      <w:r>
        <w:rPr>
          <w:rFonts w:hint="eastAsia" w:ascii="仿宋" w:hAnsi="仿宋" w:eastAsia="仿宋"/>
          <w:sz w:val="28"/>
          <w:szCs w:val="28"/>
        </w:rPr>
        <w:t>制度保障机制不够健全，虽制定教师五年发展规划，但缺乏年度建设计划，分层培训标准和指标不明确，过程性资料留存不足；教师考核评价区分度低，难以精准反映工作表现，激励作用未能充分发挥。</w:t>
      </w:r>
    </w:p>
    <w:p w14:paraId="7DFEE0ED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【建议】结合现有五年规划，制定具体年度师资队伍建设计划，明确每学年培养目标、任务安排、实施步骤和预期</w:t>
      </w:r>
      <w:r>
        <w:rPr>
          <w:rFonts w:hint="eastAsia" w:ascii="仿宋" w:hAnsi="仿宋" w:eastAsia="仿宋"/>
          <w:sz w:val="28"/>
          <w:szCs w:val="28"/>
        </w:rPr>
        <w:t>成果。建立分层分类培养制度，按教龄、职称、教学能力等划分层次，按新手教师、成熟教师和骨干教师等来分类别，制定各层次清晰的培训指标和认定标准。做好教师专业发展过程性资料整理归档，为评估培训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效果、优化培养方案提供依据。优化考核指标体系，丰富考核评价方式。综合采用教师自评、同事互评、家长评价</w:t>
      </w:r>
      <w:r>
        <w:rPr>
          <w:rFonts w:hint="eastAsia" w:ascii="仿宋" w:hAnsi="仿宋" w:eastAsia="仿宋"/>
          <w:sz w:val="28"/>
          <w:szCs w:val="28"/>
        </w:rPr>
        <w:t>、园方评价等多元方式，让考核结果真实反映教师工作差异，切实发挥考核评价的激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励作用。</w:t>
      </w:r>
    </w:p>
    <w:p w14:paraId="06167B57">
      <w:pPr>
        <w:spacing w:line="360" w:lineRule="auto"/>
        <w:rPr>
          <w:rFonts w:hint="eastAsia" w:ascii="仿宋" w:hAnsi="仿宋" w:eastAsia="仿宋" w:cs="Arial Unicode MS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Arial Unicode MS"/>
          <w:color w:val="000000"/>
          <w:kern w:val="0"/>
          <w:sz w:val="28"/>
          <w:szCs w:val="28"/>
          <w:lang w:val="zh-CN"/>
        </w:rPr>
        <w:t xml:space="preserve">                                </w:t>
      </w: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7B4B3"/>
    <w:multiLevelType w:val="singleLevel"/>
    <w:tmpl w:val="9E57B4B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AADDEBE"/>
    <w:multiLevelType w:val="singleLevel"/>
    <w:tmpl w:val="CAADDEB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3E88560"/>
    <w:multiLevelType w:val="singleLevel"/>
    <w:tmpl w:val="D3E88560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N2U5OGIwNjJhM2I5MjA5OGMxMTYxMmZiYzYwMmEifQ=="/>
  </w:docVars>
  <w:rsids>
    <w:rsidRoot w:val="00A16601"/>
    <w:rsid w:val="000947FD"/>
    <w:rsid w:val="000B1526"/>
    <w:rsid w:val="000E250B"/>
    <w:rsid w:val="00182F06"/>
    <w:rsid w:val="001E7CBB"/>
    <w:rsid w:val="002037FF"/>
    <w:rsid w:val="00270CE7"/>
    <w:rsid w:val="003153D3"/>
    <w:rsid w:val="00344518"/>
    <w:rsid w:val="003F1170"/>
    <w:rsid w:val="004000B1"/>
    <w:rsid w:val="00487740"/>
    <w:rsid w:val="00516B76"/>
    <w:rsid w:val="0055315C"/>
    <w:rsid w:val="0055406C"/>
    <w:rsid w:val="005C5C15"/>
    <w:rsid w:val="0060515B"/>
    <w:rsid w:val="006C3B76"/>
    <w:rsid w:val="006E473A"/>
    <w:rsid w:val="006E785C"/>
    <w:rsid w:val="007A10CE"/>
    <w:rsid w:val="008250A1"/>
    <w:rsid w:val="008410C1"/>
    <w:rsid w:val="00885635"/>
    <w:rsid w:val="00970B27"/>
    <w:rsid w:val="009D67B1"/>
    <w:rsid w:val="009E71B5"/>
    <w:rsid w:val="00A16601"/>
    <w:rsid w:val="00A2244A"/>
    <w:rsid w:val="00A42BB4"/>
    <w:rsid w:val="00AF2E47"/>
    <w:rsid w:val="00B37EA6"/>
    <w:rsid w:val="00BC3458"/>
    <w:rsid w:val="00C4011A"/>
    <w:rsid w:val="00C4368A"/>
    <w:rsid w:val="00CA62DE"/>
    <w:rsid w:val="00CC76D7"/>
    <w:rsid w:val="00D203A2"/>
    <w:rsid w:val="00D205AE"/>
    <w:rsid w:val="00E00598"/>
    <w:rsid w:val="00E4660B"/>
    <w:rsid w:val="00FA39F6"/>
    <w:rsid w:val="00FA5550"/>
    <w:rsid w:val="01F3149E"/>
    <w:rsid w:val="05E70E81"/>
    <w:rsid w:val="0BE34586"/>
    <w:rsid w:val="0D892CAF"/>
    <w:rsid w:val="0F2B49F8"/>
    <w:rsid w:val="134D130F"/>
    <w:rsid w:val="13640F25"/>
    <w:rsid w:val="16B55893"/>
    <w:rsid w:val="17056755"/>
    <w:rsid w:val="1A0C4C78"/>
    <w:rsid w:val="1EB62E3F"/>
    <w:rsid w:val="259557B7"/>
    <w:rsid w:val="27F536C8"/>
    <w:rsid w:val="29187F65"/>
    <w:rsid w:val="2AA607D0"/>
    <w:rsid w:val="2AB40F49"/>
    <w:rsid w:val="2DE55AB4"/>
    <w:rsid w:val="2E04418C"/>
    <w:rsid w:val="340D4DC7"/>
    <w:rsid w:val="38D43B18"/>
    <w:rsid w:val="39A50CEE"/>
    <w:rsid w:val="3D8C73D8"/>
    <w:rsid w:val="4F0973FC"/>
    <w:rsid w:val="523C29F9"/>
    <w:rsid w:val="53B67EBA"/>
    <w:rsid w:val="54AB59CA"/>
    <w:rsid w:val="55AE1942"/>
    <w:rsid w:val="5B93367E"/>
    <w:rsid w:val="60B4103C"/>
    <w:rsid w:val="61013E09"/>
    <w:rsid w:val="617A3DBC"/>
    <w:rsid w:val="624B38A6"/>
    <w:rsid w:val="6A6F1787"/>
    <w:rsid w:val="6DB427D1"/>
    <w:rsid w:val="72F07194"/>
    <w:rsid w:val="760308A8"/>
    <w:rsid w:val="760C2A3B"/>
    <w:rsid w:val="76FA2C16"/>
    <w:rsid w:val="77FA7033"/>
    <w:rsid w:val="78D85EC6"/>
    <w:rsid w:val="79110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不明显参考1"/>
    <w:basedOn w:val="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customStyle="1" w:styleId="11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2">
    <w:name w:val="正文1"/>
    <w:qFormat/>
    <w:uiPriority w:val="0"/>
    <w:pPr>
      <w:spacing w:before="160" w:line="288" w:lineRule="auto"/>
    </w:pPr>
    <w:rPr>
      <w:rFonts w:ascii="Helvetica" w:hAnsi="Helvetica" w:eastAsia="Helvetica" w:cs="Helvetica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6129</Words>
  <Characters>6270</Characters>
  <Lines>45</Lines>
  <Paragraphs>12</Paragraphs>
  <TotalTime>8</TotalTime>
  <ScaleCrop>false</ScaleCrop>
  <LinksUpToDate>false</LinksUpToDate>
  <CharactersWithSpaces>6354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2021-09-18T09:15:00Z</dcterms:created>
  <dc:creator>LENOVO</dc:creator>
  <cp:lastModifiedBy>董鸣</cp:lastModifiedBy>
  <dcterms:modified xsi:type="dcterms:W3CDTF">2025-07-18T02:39:02Z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539D80AADCD08E58030B55689668BBC5_43</vt:lpwstr>
  </property>
  <property fmtid="{D5CDD505-2E9C-101B-9397-08002B2CF9AE}" pid="4" name="KSOTemplateDocerSaveRecord">
    <vt:lpwstr>eyJoZGlkIjoiZTE1MWFmN2MxNmNlMzBmNGY5MWRlNzhmMmZkNmI2ODEiLCJ1c2VySWQiOiI2NDAxNDU3MzgifQ==</vt:lpwstr>
  </property>
</Properties>
</file>