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397B2">
      <w:pPr>
        <w:widowControl/>
        <w:jc w:val="distribute"/>
        <w:rPr>
          <w:rFonts w:hint="eastAsia" w:ascii="方正小标宋简体" w:hAnsi="宋体" w:eastAsia="方正小标宋简体" w:cs="宋体"/>
          <w:b/>
          <w:kern w:val="0"/>
          <w:sz w:val="48"/>
          <w:szCs w:val="48"/>
        </w:rPr>
      </w:pPr>
      <w:r>
        <w:rPr>
          <w:rFonts w:hint="eastAsia" w:ascii="方正小标宋简体" w:hAnsi="宋体" w:eastAsia="方正小标宋简体" w:cs="宋体"/>
          <w:b/>
          <w:color w:val="FF0000"/>
          <w:kern w:val="0"/>
          <w:sz w:val="48"/>
          <w:szCs w:val="48"/>
        </w:rPr>
        <w:t>上海市闵行区人民政府教育督导室文件</w:t>
      </w:r>
    </w:p>
    <w:p w14:paraId="49FAA24D">
      <w:pPr>
        <w:spacing w:line="500" w:lineRule="exact"/>
        <w:jc w:val="center"/>
        <w:rPr>
          <w:rFonts w:ascii="仿宋_GB2312" w:eastAsia="仿宋_GB2312"/>
          <w:sz w:val="32"/>
        </w:rPr>
      </w:pPr>
    </w:p>
    <w:p w14:paraId="4EDFD40A">
      <w:pPr>
        <w:spacing w:line="500" w:lineRule="exact"/>
        <w:jc w:val="center"/>
        <w:rPr>
          <w:rFonts w:ascii="仿宋_GB2312" w:eastAsia="仿宋_GB2312"/>
          <w:sz w:val="32"/>
        </w:rPr>
      </w:pPr>
    </w:p>
    <w:p w14:paraId="17E4CD29">
      <w:pPr>
        <w:pBdr>
          <w:bottom w:val="single" w:color="FF0000" w:sz="12" w:space="1"/>
        </w:pBdr>
        <w:spacing w:line="560" w:lineRule="exact"/>
        <w:jc w:val="center"/>
        <w:rPr>
          <w:rFonts w:hint="eastAsia" w:ascii="仿宋" w:hAnsi="仿宋" w:eastAsia="仿宋"/>
          <w:sz w:val="32"/>
        </w:rPr>
      </w:pPr>
      <w:r>
        <w:rPr>
          <w:rFonts w:hint="eastAsia" w:ascii="仿宋" w:hAnsi="仿宋" w:eastAsia="仿宋"/>
          <w:sz w:val="32"/>
        </w:rPr>
        <w:t>闵府教督〔202</w:t>
      </w:r>
      <w:r>
        <w:rPr>
          <w:rFonts w:hint="eastAsia" w:ascii="仿宋" w:hAnsi="仿宋" w:eastAsia="仿宋"/>
          <w:sz w:val="32"/>
          <w:lang w:val="en-US" w:eastAsia="zh-CN"/>
        </w:rPr>
        <w:t>5</w:t>
      </w:r>
      <w:r>
        <w:rPr>
          <w:rFonts w:hint="eastAsia" w:ascii="仿宋" w:hAnsi="仿宋" w:eastAsia="仿宋"/>
          <w:sz w:val="32"/>
        </w:rPr>
        <w:t>〕</w:t>
      </w:r>
      <w:r>
        <w:rPr>
          <w:rFonts w:hint="eastAsia" w:ascii="仿宋" w:hAnsi="仿宋" w:eastAsia="仿宋"/>
          <w:sz w:val="32"/>
          <w:lang w:val="en-US" w:eastAsia="zh-CN"/>
        </w:rPr>
        <w:t>10</w:t>
      </w:r>
      <w:r>
        <w:rPr>
          <w:rFonts w:hint="eastAsia" w:ascii="仿宋" w:hAnsi="仿宋" w:eastAsia="仿宋"/>
          <w:sz w:val="32"/>
        </w:rPr>
        <w:t>号</w:t>
      </w:r>
    </w:p>
    <w:p w14:paraId="37AE4BAD">
      <w:pPr>
        <w:jc w:val="center"/>
        <w:rPr>
          <w:rFonts w:ascii="Times New Roman" w:hAnsi="Times New Roman"/>
          <w:szCs w:val="21"/>
        </w:rPr>
      </w:pPr>
      <w:r>
        <w:rPr>
          <w:rFonts w:hint="eastAsia" w:ascii="宋体" w:hAnsi="宋体"/>
          <w:b/>
          <w:szCs w:val="21"/>
        </w:rPr>
        <w:t xml:space="preserve"> </w:t>
      </w:r>
    </w:p>
    <w:p w14:paraId="0751FAE5">
      <w:pPr>
        <w:widowControl/>
        <w:snapToGrid w:val="0"/>
        <w:jc w:val="center"/>
        <w:rPr>
          <w:rFonts w:hint="eastAsia" w:ascii="方正小标宋简体" w:hAnsi="仿宋" w:eastAsia="方正小标宋简体" w:cs="宋体"/>
          <w:color w:val="000000" w:themeColor="text1"/>
          <w:kern w:val="0"/>
          <w:sz w:val="44"/>
          <w:szCs w:val="36"/>
          <w14:textFill>
            <w14:solidFill>
              <w14:schemeClr w14:val="tx1"/>
            </w14:solidFill>
          </w14:textFill>
        </w:rPr>
      </w:pPr>
      <w:r>
        <w:rPr>
          <w:rFonts w:hint="eastAsia" w:ascii="方正小标宋简体" w:hAnsi="仿宋" w:eastAsia="方正小标宋简体" w:cs="宋体"/>
          <w:color w:val="000000" w:themeColor="text1"/>
          <w:kern w:val="0"/>
          <w:sz w:val="44"/>
          <w:szCs w:val="36"/>
          <w14:textFill>
            <w14:solidFill>
              <w14:schemeClr w14:val="tx1"/>
            </w14:solidFill>
          </w14:textFill>
        </w:rPr>
        <w:t>关于印发</w:t>
      </w:r>
      <w:r>
        <w:rPr>
          <w:rFonts w:hint="eastAsia" w:ascii="方正小标宋简体" w:hAnsi="仿宋" w:eastAsia="方正小标宋简体" w:cs="宋体"/>
          <w:color w:val="000000" w:themeColor="text1"/>
          <w:kern w:val="0"/>
          <w:sz w:val="44"/>
          <w:szCs w:val="44"/>
          <w14:textFill>
            <w14:solidFill>
              <w14:schemeClr w14:val="tx1"/>
            </w14:solidFill>
          </w14:textFill>
        </w:rPr>
        <w:t>《</w:t>
      </w:r>
      <w:r>
        <w:rPr>
          <w:rFonts w:hint="eastAsia" w:ascii="方正小标宋简体" w:hAnsi="仿宋" w:eastAsia="方正小标宋简体" w:cs="宋体"/>
          <w:color w:val="000000" w:themeColor="text1"/>
          <w:kern w:val="0"/>
          <w:sz w:val="44"/>
          <w:szCs w:val="44"/>
          <w:lang w:val="en-US" w:eastAsia="zh-CN"/>
          <w14:textFill>
            <w14:solidFill>
              <w14:schemeClr w14:val="tx1"/>
            </w14:solidFill>
          </w14:textFill>
        </w:rPr>
        <w:t>上海</w:t>
      </w:r>
      <w:r>
        <w:rPr>
          <w:rFonts w:hint="eastAsia" w:ascii="方正小标宋简体" w:hAnsi="仿宋" w:eastAsia="方正小标宋简体" w:cs="宋体"/>
          <w:color w:val="000000" w:themeColor="text1"/>
          <w:kern w:val="0"/>
          <w:sz w:val="44"/>
          <w:szCs w:val="36"/>
          <w14:textFill>
            <w14:solidFill>
              <w14:schemeClr w14:val="tx1"/>
            </w14:solidFill>
          </w14:textFill>
        </w:rPr>
        <w:t>闵行</w:t>
      </w:r>
      <w:r>
        <w:rPr>
          <w:rFonts w:hint="eastAsia" w:ascii="方正小标宋简体" w:hAnsi="仿宋" w:eastAsia="方正小标宋简体" w:cs="宋体"/>
          <w:color w:val="000000" w:themeColor="text1"/>
          <w:kern w:val="0"/>
          <w:sz w:val="44"/>
          <w:szCs w:val="36"/>
          <w:lang w:val="en-US" w:eastAsia="zh-CN"/>
          <w14:textFill>
            <w14:solidFill>
              <w14:schemeClr w14:val="tx1"/>
            </w14:solidFill>
          </w14:textFill>
        </w:rPr>
        <w:t>区</w:t>
      </w:r>
      <w:r>
        <w:rPr>
          <w:rFonts w:hint="eastAsia" w:ascii="方正小标宋简体" w:hAnsi="仿宋" w:eastAsia="方正小标宋简体" w:cs="宋体"/>
          <w:color w:val="000000" w:themeColor="text1"/>
          <w:kern w:val="0"/>
          <w:sz w:val="44"/>
          <w:szCs w:val="44"/>
          <w:lang w:val="en-US" w:eastAsia="zh-CN"/>
          <w14:textFill>
            <w14:solidFill>
              <w14:schemeClr w14:val="tx1"/>
            </w14:solidFill>
          </w14:textFill>
        </w:rPr>
        <w:t>爱绿幼儿</w:t>
      </w:r>
      <w:r>
        <w:rPr>
          <w:rFonts w:hint="eastAsia" w:ascii="方正小标宋简体" w:hAnsi="仿宋" w:eastAsia="方正小标宋简体" w:cs="宋体"/>
          <w:color w:val="000000" w:themeColor="text1"/>
          <w:kern w:val="0"/>
          <w:sz w:val="44"/>
          <w:szCs w:val="36"/>
          <w14:textFill>
            <w14:solidFill>
              <w14:schemeClr w14:val="tx1"/>
            </w14:solidFill>
          </w14:textFill>
        </w:rPr>
        <w:t>园办园水</w:t>
      </w:r>
      <w:r>
        <w:rPr>
          <w:rFonts w:hint="eastAsia" w:ascii="方正小标宋简体" w:hAnsi="仿宋" w:eastAsia="方正小标宋简体" w:cs="宋体"/>
          <w:color w:val="000000" w:themeColor="text1"/>
          <w:kern w:val="0"/>
          <w:sz w:val="44"/>
          <w:szCs w:val="44"/>
          <w14:textFill>
            <w14:solidFill>
              <w14:schemeClr w14:val="tx1"/>
            </w14:solidFill>
          </w14:textFill>
        </w:rPr>
        <w:t>平（20</w:t>
      </w:r>
      <w:r>
        <w:rPr>
          <w:rFonts w:hint="eastAsia" w:ascii="方正小标宋简体" w:hAnsi="仿宋" w:eastAsia="方正小标宋简体" w:cs="宋体"/>
          <w:color w:val="000000" w:themeColor="text1"/>
          <w:kern w:val="0"/>
          <w:sz w:val="44"/>
          <w:szCs w:val="44"/>
          <w:lang w:val="en-US" w:eastAsia="zh-CN"/>
          <w14:textFill>
            <w14:solidFill>
              <w14:schemeClr w14:val="tx1"/>
            </w14:solidFill>
          </w14:textFill>
        </w:rPr>
        <w:t>20</w:t>
      </w:r>
      <w:r>
        <w:rPr>
          <w:rFonts w:hint="eastAsia" w:ascii="方正小标宋简体" w:hAnsi="仿宋" w:eastAsia="方正小标宋简体" w:cs="宋体"/>
          <w:color w:val="000000" w:themeColor="text1"/>
          <w:kern w:val="0"/>
          <w:sz w:val="44"/>
          <w:szCs w:val="44"/>
          <w14:textFill>
            <w14:solidFill>
              <w14:schemeClr w14:val="tx1"/>
            </w14:solidFill>
          </w14:textFill>
        </w:rPr>
        <w:t>-202</w:t>
      </w:r>
      <w:r>
        <w:rPr>
          <w:rFonts w:hint="eastAsia" w:ascii="方正小标宋简体" w:hAnsi="仿宋" w:eastAsia="方正小标宋简体" w:cs="宋体"/>
          <w:color w:val="000000" w:themeColor="text1"/>
          <w:kern w:val="0"/>
          <w:sz w:val="44"/>
          <w:szCs w:val="44"/>
          <w:lang w:val="en-US" w:eastAsia="zh-CN"/>
          <w14:textFill>
            <w14:solidFill>
              <w14:schemeClr w14:val="tx1"/>
            </w14:solidFill>
          </w14:textFill>
        </w:rPr>
        <w:t>5</w:t>
      </w:r>
      <w:r>
        <w:rPr>
          <w:rFonts w:hint="eastAsia" w:ascii="方正小标宋简体" w:hAnsi="仿宋" w:eastAsia="方正小标宋简体" w:cs="宋体"/>
          <w:color w:val="000000" w:themeColor="text1"/>
          <w:kern w:val="0"/>
          <w:sz w:val="44"/>
          <w:szCs w:val="44"/>
          <w14:textFill>
            <w14:solidFill>
              <w14:schemeClr w14:val="tx1"/>
            </w14:solidFill>
          </w14:textFill>
        </w:rPr>
        <w:t>）综合督导意见书</w:t>
      </w:r>
      <w:r>
        <w:rPr>
          <w:rFonts w:hint="eastAsia" w:ascii="方正小标宋简体" w:hAnsi="仿宋" w:eastAsia="方正小标宋简体" w:cs="宋体"/>
          <w:color w:val="000000" w:themeColor="text1"/>
          <w:kern w:val="0"/>
          <w:sz w:val="44"/>
          <w:szCs w:val="36"/>
          <w14:textFill>
            <w14:solidFill>
              <w14:schemeClr w14:val="tx1"/>
            </w14:solidFill>
          </w14:textFill>
        </w:rPr>
        <w:t>》的通知</w:t>
      </w:r>
    </w:p>
    <w:p w14:paraId="38769D73">
      <w:pPr>
        <w:snapToGrid w:val="0"/>
        <w:spacing w:line="360" w:lineRule="auto"/>
        <w:rPr>
          <w:rFonts w:hint="eastAsia" w:ascii="仿宋" w:hAnsi="仿宋" w:eastAsia="仿宋"/>
          <w:bCs/>
          <w:color w:val="000000" w:themeColor="text1"/>
          <w:kern w:val="20"/>
          <w:sz w:val="22"/>
          <w:szCs w:val="32"/>
          <w14:textFill>
            <w14:solidFill>
              <w14:schemeClr w14:val="tx1"/>
            </w14:solidFill>
          </w14:textFill>
        </w:rPr>
      </w:pPr>
    </w:p>
    <w:p w14:paraId="1FA9D924">
      <w:pPr>
        <w:snapToGrid w:val="0"/>
        <w:spacing w:line="360" w:lineRule="auto"/>
        <w:rPr>
          <w:rFonts w:hint="eastAsia"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lang w:val="en-US" w:eastAsia="zh-CN"/>
          <w14:textFill>
            <w14:solidFill>
              <w14:schemeClr w14:val="tx1"/>
            </w14:solidFill>
          </w14:textFill>
        </w:rPr>
        <w:t>上海</w:t>
      </w:r>
      <w:r>
        <w:rPr>
          <w:rFonts w:hint="eastAsia" w:ascii="仿宋" w:hAnsi="仿宋" w:eastAsia="仿宋"/>
          <w:color w:val="000000" w:themeColor="text1"/>
          <w:kern w:val="0"/>
          <w:sz w:val="32"/>
          <w:szCs w:val="32"/>
          <w14:textFill>
            <w14:solidFill>
              <w14:schemeClr w14:val="tx1"/>
            </w14:solidFill>
          </w14:textFill>
        </w:rPr>
        <w:t>闵行</w:t>
      </w:r>
      <w:r>
        <w:rPr>
          <w:rFonts w:hint="eastAsia" w:ascii="仿宋" w:hAnsi="仿宋" w:eastAsia="仿宋"/>
          <w:color w:val="000000" w:themeColor="text1"/>
          <w:kern w:val="0"/>
          <w:sz w:val="32"/>
          <w:szCs w:val="32"/>
          <w:lang w:val="en-US" w:eastAsia="zh-CN"/>
          <w14:textFill>
            <w14:solidFill>
              <w14:schemeClr w14:val="tx1"/>
            </w14:solidFill>
          </w14:textFill>
        </w:rPr>
        <w:t>区</w:t>
      </w:r>
      <w:r>
        <w:rPr>
          <w:rFonts w:hint="eastAsia" w:ascii="仿宋" w:hAnsi="仿宋" w:eastAsia="仿宋"/>
          <w:color w:val="000000" w:themeColor="text1"/>
          <w:kern w:val="0"/>
          <w:sz w:val="32"/>
          <w:szCs w:val="32"/>
          <w14:textFill>
            <w14:solidFill>
              <w14:schemeClr w14:val="tx1"/>
            </w14:solidFill>
          </w14:textFill>
        </w:rPr>
        <w:t>爱绿幼儿园：</w:t>
      </w:r>
    </w:p>
    <w:p w14:paraId="0A3E5D19">
      <w:pPr>
        <w:widowControl/>
        <w:snapToGrid w:val="0"/>
        <w:spacing w:line="360" w:lineRule="auto"/>
        <w:ind w:firstLine="640" w:firstLineChars="200"/>
        <w:rPr>
          <w:rFonts w:hint="eastAsia"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现将《</w:t>
      </w:r>
      <w:r>
        <w:rPr>
          <w:rFonts w:hint="eastAsia" w:ascii="仿宋" w:hAnsi="仿宋" w:eastAsia="仿宋"/>
          <w:color w:val="000000" w:themeColor="text1"/>
          <w:kern w:val="0"/>
          <w:sz w:val="32"/>
          <w:szCs w:val="32"/>
          <w:lang w:val="en-US" w:eastAsia="zh-CN"/>
          <w14:textFill>
            <w14:solidFill>
              <w14:schemeClr w14:val="tx1"/>
            </w14:solidFill>
          </w14:textFill>
        </w:rPr>
        <w:t>上海</w:t>
      </w:r>
      <w:r>
        <w:rPr>
          <w:rFonts w:hint="eastAsia" w:ascii="仿宋" w:hAnsi="仿宋" w:eastAsia="仿宋"/>
          <w:color w:val="000000" w:themeColor="text1"/>
          <w:kern w:val="0"/>
          <w:sz w:val="32"/>
          <w:szCs w:val="32"/>
          <w14:textFill>
            <w14:solidFill>
              <w14:schemeClr w14:val="tx1"/>
            </w14:solidFill>
          </w14:textFill>
        </w:rPr>
        <w:t>闵行</w:t>
      </w:r>
      <w:r>
        <w:rPr>
          <w:rFonts w:hint="eastAsia" w:ascii="仿宋" w:hAnsi="仿宋" w:eastAsia="仿宋"/>
          <w:color w:val="000000" w:themeColor="text1"/>
          <w:kern w:val="0"/>
          <w:sz w:val="32"/>
          <w:szCs w:val="32"/>
          <w:lang w:val="en-US" w:eastAsia="zh-CN"/>
          <w14:textFill>
            <w14:solidFill>
              <w14:schemeClr w14:val="tx1"/>
            </w14:solidFill>
          </w14:textFill>
        </w:rPr>
        <w:t>区爱绿</w:t>
      </w:r>
      <w:r>
        <w:rPr>
          <w:rFonts w:hint="eastAsia" w:ascii="仿宋" w:hAnsi="仿宋" w:eastAsia="仿宋"/>
          <w:color w:val="000000" w:themeColor="text1"/>
          <w:kern w:val="0"/>
          <w:sz w:val="32"/>
          <w:szCs w:val="32"/>
          <w14:textFill>
            <w14:solidFill>
              <w14:schemeClr w14:val="tx1"/>
            </w14:solidFill>
          </w14:textFill>
        </w:rPr>
        <w:t>幼儿园办园水平（20</w:t>
      </w:r>
      <w:r>
        <w:rPr>
          <w:rFonts w:hint="eastAsia" w:ascii="仿宋" w:hAnsi="仿宋" w:eastAsia="仿宋"/>
          <w:color w:val="000000" w:themeColor="text1"/>
          <w:kern w:val="0"/>
          <w:sz w:val="32"/>
          <w:szCs w:val="32"/>
          <w:lang w:val="en-US" w:eastAsia="zh-CN"/>
          <w14:textFill>
            <w14:solidFill>
              <w14:schemeClr w14:val="tx1"/>
            </w14:solidFill>
          </w14:textFill>
        </w:rPr>
        <w:t>20</w:t>
      </w:r>
      <w:r>
        <w:rPr>
          <w:rFonts w:hint="eastAsia" w:ascii="仿宋" w:hAnsi="仿宋" w:eastAsia="仿宋"/>
          <w:color w:val="000000" w:themeColor="text1"/>
          <w:kern w:val="0"/>
          <w:sz w:val="32"/>
          <w:szCs w:val="32"/>
          <w14:textFill>
            <w14:solidFill>
              <w14:schemeClr w14:val="tx1"/>
            </w14:solidFill>
          </w14:textFill>
        </w:rPr>
        <w:t>-202</w:t>
      </w:r>
      <w:r>
        <w:rPr>
          <w:rFonts w:hint="eastAsia" w:ascii="仿宋" w:hAnsi="仿宋" w:eastAsia="仿宋"/>
          <w:color w:val="000000" w:themeColor="text1"/>
          <w:kern w:val="0"/>
          <w:sz w:val="32"/>
          <w:szCs w:val="32"/>
          <w:lang w:val="en-US" w:eastAsia="zh-CN"/>
          <w14:textFill>
            <w14:solidFill>
              <w14:schemeClr w14:val="tx1"/>
            </w14:solidFill>
          </w14:textFill>
        </w:rPr>
        <w:t>5</w:t>
      </w:r>
      <w:r>
        <w:rPr>
          <w:rFonts w:hint="eastAsia" w:ascii="仿宋" w:hAnsi="仿宋" w:eastAsia="仿宋"/>
          <w:color w:val="000000" w:themeColor="text1"/>
          <w:kern w:val="0"/>
          <w:sz w:val="32"/>
          <w:szCs w:val="32"/>
          <w14:textFill>
            <w14:solidFill>
              <w14:schemeClr w14:val="tx1"/>
            </w14:solidFill>
          </w14:textFill>
        </w:rPr>
        <w:t>）综合督导意见书》印发给你们。请针对意见书中提出的问题和改进建议，在认真研究的基础上制定出改进计划，在收到意见书的一个月内书面报我室。</w:t>
      </w:r>
    </w:p>
    <w:p w14:paraId="4A2A7F3C">
      <w:pPr>
        <w:widowControl/>
        <w:snapToGrid w:val="0"/>
        <w:spacing w:line="360" w:lineRule="auto"/>
        <w:jc w:val="left"/>
        <w:rPr>
          <w:rFonts w:hint="eastAsia" w:ascii="仿宋" w:hAnsi="仿宋" w:eastAsia="仿宋"/>
          <w:color w:val="000000" w:themeColor="text1"/>
          <w:kern w:val="0"/>
          <w:sz w:val="32"/>
          <w:szCs w:val="32"/>
          <w14:textFill>
            <w14:solidFill>
              <w14:schemeClr w14:val="tx1"/>
            </w14:solidFill>
          </w14:textFill>
        </w:rPr>
      </w:pPr>
    </w:p>
    <w:p w14:paraId="4480131C">
      <w:pPr>
        <w:widowControl/>
        <w:snapToGrid w:val="0"/>
        <w:spacing w:line="360" w:lineRule="auto"/>
        <w:ind w:left="708" w:leftChars="337" w:firstLine="1"/>
        <w:jc w:val="left"/>
        <w:rPr>
          <w:rFonts w:hint="eastAsia"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附件：</w:t>
      </w:r>
      <w:r>
        <w:rPr>
          <w:rFonts w:hint="eastAsia" w:ascii="仿宋" w:hAnsi="仿宋" w:eastAsia="仿宋"/>
          <w:color w:val="000000" w:themeColor="text1"/>
          <w:kern w:val="0"/>
          <w:sz w:val="32"/>
          <w:szCs w:val="32"/>
          <w:lang w:val="en-US" w:eastAsia="zh-CN"/>
          <w14:textFill>
            <w14:solidFill>
              <w14:schemeClr w14:val="tx1"/>
            </w14:solidFill>
          </w14:textFill>
        </w:rPr>
        <w:t>上海</w:t>
      </w:r>
      <w:r>
        <w:rPr>
          <w:rFonts w:hint="eastAsia" w:ascii="仿宋" w:hAnsi="仿宋" w:eastAsia="仿宋"/>
          <w:color w:val="000000" w:themeColor="text1"/>
          <w:kern w:val="0"/>
          <w:sz w:val="32"/>
          <w:szCs w:val="32"/>
          <w14:textFill>
            <w14:solidFill>
              <w14:schemeClr w14:val="tx1"/>
            </w14:solidFill>
          </w14:textFill>
        </w:rPr>
        <w:t>闵行</w:t>
      </w:r>
      <w:r>
        <w:rPr>
          <w:rFonts w:hint="eastAsia" w:ascii="仿宋" w:hAnsi="仿宋" w:eastAsia="仿宋"/>
          <w:color w:val="000000" w:themeColor="text1"/>
          <w:kern w:val="0"/>
          <w:sz w:val="32"/>
          <w:szCs w:val="32"/>
          <w:lang w:val="en-US" w:eastAsia="zh-CN"/>
          <w14:textFill>
            <w14:solidFill>
              <w14:schemeClr w14:val="tx1"/>
            </w14:solidFill>
          </w14:textFill>
        </w:rPr>
        <w:t>区</w:t>
      </w:r>
      <w:r>
        <w:rPr>
          <w:rFonts w:hint="eastAsia" w:ascii="仿宋" w:hAnsi="仿宋" w:eastAsia="仿宋"/>
          <w:color w:val="000000" w:themeColor="text1"/>
          <w:kern w:val="0"/>
          <w:sz w:val="32"/>
          <w:szCs w:val="32"/>
          <w14:textFill>
            <w14:solidFill>
              <w14:schemeClr w14:val="tx1"/>
            </w14:solidFill>
          </w14:textFill>
        </w:rPr>
        <w:t>爱绿幼儿园办园水</w:t>
      </w:r>
      <w:r>
        <w:rPr>
          <w:rFonts w:hint="eastAsia" w:ascii="仿宋" w:hAnsi="仿宋" w:eastAsia="仿宋"/>
          <w:color w:val="000000" w:themeColor="text1"/>
          <w:kern w:val="0"/>
          <w:sz w:val="32"/>
          <w:szCs w:val="32"/>
          <w:lang w:val="en-US" w:eastAsia="zh-CN"/>
          <w14:textFill>
            <w14:solidFill>
              <w14:schemeClr w14:val="tx1"/>
            </w14:solidFill>
          </w14:textFill>
        </w:rPr>
        <w:t>平</w:t>
      </w:r>
      <w:r>
        <w:rPr>
          <w:rFonts w:hint="eastAsia" w:ascii="仿宋" w:hAnsi="仿宋" w:eastAsia="仿宋"/>
          <w:color w:val="000000" w:themeColor="text1"/>
          <w:kern w:val="0"/>
          <w:sz w:val="32"/>
          <w:szCs w:val="32"/>
          <w14:textFill>
            <w14:solidFill>
              <w14:schemeClr w14:val="tx1"/>
            </w14:solidFill>
          </w14:textFill>
        </w:rPr>
        <w:t>（20</w:t>
      </w:r>
      <w:r>
        <w:rPr>
          <w:rFonts w:hint="eastAsia" w:ascii="仿宋" w:hAnsi="仿宋" w:eastAsia="仿宋"/>
          <w:color w:val="000000" w:themeColor="text1"/>
          <w:kern w:val="0"/>
          <w:sz w:val="32"/>
          <w:szCs w:val="32"/>
          <w:lang w:val="en-US" w:eastAsia="zh-CN"/>
          <w14:textFill>
            <w14:solidFill>
              <w14:schemeClr w14:val="tx1"/>
            </w14:solidFill>
          </w14:textFill>
        </w:rPr>
        <w:t>20</w:t>
      </w:r>
      <w:r>
        <w:rPr>
          <w:rFonts w:hint="eastAsia" w:ascii="仿宋" w:hAnsi="仿宋" w:eastAsia="仿宋"/>
          <w:color w:val="000000" w:themeColor="text1"/>
          <w:kern w:val="0"/>
          <w:sz w:val="32"/>
          <w:szCs w:val="32"/>
          <w14:textFill>
            <w14:solidFill>
              <w14:schemeClr w14:val="tx1"/>
            </w14:solidFill>
          </w14:textFill>
        </w:rPr>
        <w:t>-202</w:t>
      </w:r>
      <w:r>
        <w:rPr>
          <w:rFonts w:hint="eastAsia" w:ascii="仿宋" w:hAnsi="仿宋" w:eastAsia="仿宋"/>
          <w:color w:val="000000" w:themeColor="text1"/>
          <w:kern w:val="0"/>
          <w:sz w:val="32"/>
          <w:szCs w:val="32"/>
          <w:lang w:val="en-US" w:eastAsia="zh-CN"/>
          <w14:textFill>
            <w14:solidFill>
              <w14:schemeClr w14:val="tx1"/>
            </w14:solidFill>
          </w14:textFill>
        </w:rPr>
        <w:t>5</w:t>
      </w:r>
      <w:r>
        <w:rPr>
          <w:rFonts w:hint="eastAsia" w:ascii="仿宋" w:hAnsi="仿宋" w:eastAsia="仿宋"/>
          <w:color w:val="000000" w:themeColor="text1"/>
          <w:kern w:val="0"/>
          <w:sz w:val="32"/>
          <w:szCs w:val="32"/>
          <w14:textFill>
            <w14:solidFill>
              <w14:schemeClr w14:val="tx1"/>
            </w14:solidFill>
          </w14:textFill>
        </w:rPr>
        <w:t>）综合督导意见书</w:t>
      </w:r>
    </w:p>
    <w:p w14:paraId="65F81315">
      <w:pPr>
        <w:snapToGrid w:val="0"/>
        <w:spacing w:line="360" w:lineRule="auto"/>
        <w:ind w:firstLine="560" w:firstLineChars="200"/>
        <w:rPr>
          <w:rFonts w:hint="eastAsia" w:ascii="仿宋" w:hAnsi="仿宋" w:eastAsia="仿宋"/>
          <w:color w:val="000000" w:themeColor="text1"/>
          <w:spacing w:val="-20"/>
          <w:kern w:val="0"/>
          <w:sz w:val="32"/>
          <w:szCs w:val="32"/>
          <w14:textFill>
            <w14:solidFill>
              <w14:schemeClr w14:val="tx1"/>
            </w14:solidFill>
          </w14:textFill>
        </w:rPr>
      </w:pPr>
    </w:p>
    <w:p w14:paraId="01543D59">
      <w:pPr>
        <w:pStyle w:val="5"/>
        <w:snapToGrid w:val="0"/>
        <w:spacing w:before="0" w:beforeAutospacing="0" w:after="0" w:afterAutospacing="0" w:line="360" w:lineRule="auto"/>
        <w:ind w:left="2098" w:firstLine="641"/>
        <w:jc w:val="right"/>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闵行区人民政府教育督导室</w:t>
      </w:r>
    </w:p>
    <w:p w14:paraId="279EEA22">
      <w:pPr>
        <w:pStyle w:val="5"/>
        <w:snapToGrid w:val="0"/>
        <w:spacing w:before="0" w:beforeAutospacing="0" w:after="0" w:afterAutospacing="0" w:line="360" w:lineRule="auto"/>
        <w:ind w:left="2098" w:right="506" w:rightChars="241" w:firstLine="641"/>
        <w:jc w:val="right"/>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202</w:t>
      </w:r>
      <w:r>
        <w:rPr>
          <w:rFonts w:hint="eastAsia" w:ascii="仿宋" w:hAnsi="仿宋" w:eastAsia="仿宋"/>
          <w:color w:val="000000" w:themeColor="text1"/>
          <w:sz w:val="32"/>
          <w:szCs w:val="32"/>
          <w:lang w:val="en-US" w:eastAsia="zh-CN"/>
          <w14:textFill>
            <w14:solidFill>
              <w14:schemeClr w14:val="tx1"/>
            </w14:solidFill>
          </w14:textFill>
        </w:rPr>
        <w:t>5</w:t>
      </w:r>
      <w:r>
        <w:rPr>
          <w:rFonts w:hint="eastAsia" w:ascii="仿宋" w:hAnsi="仿宋" w:eastAsia="仿宋"/>
          <w:color w:val="000000" w:themeColor="text1"/>
          <w:sz w:val="32"/>
          <w:szCs w:val="32"/>
          <w14:textFill>
            <w14:solidFill>
              <w14:schemeClr w14:val="tx1"/>
            </w14:solidFill>
          </w14:textFill>
        </w:rPr>
        <w:t>年6月30日</w:t>
      </w:r>
    </w:p>
    <w:p w14:paraId="13A652C4">
      <w:pPr>
        <w:spacing w:after="80" w:line="500" w:lineRule="exact"/>
        <w:ind w:firstLine="280" w:firstLineChars="100"/>
        <w:rPr>
          <w:rFonts w:hint="eastAsia" w:ascii="黑体" w:hAnsi="黑体" w:eastAsia="黑体"/>
          <w:color w:val="000000" w:themeColor="text1"/>
          <w:sz w:val="28"/>
          <w:szCs w:val="28"/>
          <w14:textFill>
            <w14:solidFill>
              <w14:schemeClr w14:val="tx1"/>
            </w14:solidFill>
          </w14:textFill>
        </w:rPr>
      </w:pPr>
      <w:r>
        <w:rPr>
          <w:rFonts w:hint="eastAsia" w:ascii="黑体" w:hAnsi="黑体" w:eastAsia="黑体" w:cs="宋体"/>
          <w:color w:val="000000" w:themeColor="text1"/>
          <w:kern w:val="0"/>
          <w:sz w:val="28"/>
          <w:szCs w:val="28"/>
          <w14:textFill>
            <w14:solidFill>
              <w14:schemeClr w14:val="tx1"/>
            </w14:solidFill>
          </w14:textFill>
        </w:rPr>
        <w:t>公开属性：主动公开</w:t>
      </w:r>
      <w:r>
        <w:rPr>
          <w:rFonts w:hint="eastAsia" w:ascii="黑体" w:hAnsi="黑体" w:eastAsia="黑体"/>
          <w:color w:val="000000" w:themeColor="text1"/>
          <w:sz w:val="28"/>
          <w:szCs w:val="28"/>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384810</wp:posOffset>
                </wp:positionV>
                <wp:extent cx="5734050" cy="0"/>
                <wp:effectExtent l="0" t="4445" r="0" b="508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0pt;margin-top:30.3pt;height:0pt;width:451.5pt;z-index:251659264;mso-width-relative:page;mso-height-relative:page;" filled="f" stroked="t" coordsize="21600,21600" o:gfxdata="UEsDBAoAAAAAAIdO4kAAAAAAAAAAAAAAAAAEAAAAZHJzL1BLAwQUAAAACACHTuJA2CUaEdMAAAAG&#10;AQAADwAAAGRycy9kb3ducmV2LnhtbE2PzU7DMBCE70h9B2uRuFTUbitFJcTpoZAbFwqo1228JBHx&#10;Oo3dH3h6FnGA48ysZr4t1hffqxONsQtsYT4zoIjr4DpuLLy+VLcrUDEhO+wDk4VPirAuJ1cF5i6c&#10;+ZlO29QoKeGYo4U2pSHXOtYteYyzMBBL9h5Gj0nk2Gg34lnKfa8XxmTaY8ey0OJAm5bqj+3RW4jV&#10;Gx2qr2k9NbtlE2hxeHh6RGtvrufmHlSiS/o7hh98QYdSmPbhyC6q3oI8kixkJgMl6Z1ZirH/NXRZ&#10;6P/45TdQSwMEFAAAAAgAh07iQOJuYNvqAQAAuAMAAA4AAABkcnMvZTJvRG9jLnhtbK1TS44TMRDd&#10;I3EHy3vS+RA+rXRmkWjYDBBphgNU3O60he2ybCedXIILILGDFcvZcxuGY1B2J2EYNrOgF5bLVfWq&#10;3qvq2cXeaLaTPii0FR8NhpxJK7BWdlPxDzeXz15xFiLYGjRaWfGDDPxi/vTJrHOlHGOLupaeEYgN&#10;Zecq3sboyqIIopUGwgCdtORs0BuIZPpNUXvoCN3oYjwcvig69LXzKGQI9LrsnfyI6B8DiE2jhFyi&#10;2BppY4/qpYZIlEKrXODz3G3TSBHfN02QkemKE9OYTypC93U6i/kMyo0H1ypxbAEe08IDTgaUpaJn&#10;qCVEYFuv/oEySngM2MSBQFP0RLIixGI0fKDNdQtOZi4kdXBn0cP/gxXvdivPVF3xCWcWDA387vPt&#10;z09ff/34Qufd929skkTqXCgpdmFXPtEUe3vtrlB8DMziogW7kbnZm4MjhFHKKP5KSUZwVGrdvcWa&#10;YmAbMSu2b7xJkKQF2+fBHM6DkfvIBD1OX06eD6c0M3HyFVCeEp0P8Y1Ew9Kl4lrZpBmUsLsKMTUC&#10;5SkkPVu8VFrnuWvLuoq/no6nOSGgVnVyprDgN+uF9mwHaXPyl1mR536Yx62t+yLapjyZl+5Y+cS6&#10;12+N9WHlT9LQQHNvx+VLG3PfzgL++eH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YJRoR0wAA&#10;AAYBAAAPAAAAAAAAAAEAIAAAACIAAABkcnMvZG93bnJldi54bWxQSwECFAAUAAAACACHTuJA4m5g&#10;2+oBAAC4AwAADgAAAAAAAAABACAAAAAiAQAAZHJzL2Uyb0RvYy54bWxQSwUGAAAAAAYABgBZAQAA&#10;fgUAAAAA&#10;">
                <v:fill on="f" focussize="0,0"/>
                <v:stroke color="#000000" joinstyle="round"/>
                <v:imagedata o:title=""/>
                <o:lock v:ext="edit" aspectratio="f"/>
              </v:line>
            </w:pict>
          </mc:Fallback>
        </mc:AlternateContent>
      </w:r>
    </w:p>
    <w:p w14:paraId="0EC712C6">
      <w:pPr>
        <w:spacing w:before="80" w:after="80" w:line="500" w:lineRule="exact"/>
        <w:ind w:firstLine="280" w:firstLineChars="1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抄送：闵行区人民政府办公室、</w:t>
      </w:r>
      <w:r>
        <w:rPr>
          <w:rFonts w:hint="eastAsia" w:ascii="仿宋" w:hAnsi="仿宋" w:eastAsia="仿宋"/>
          <w:color w:val="000000" w:themeColor="text1"/>
          <w:sz w:val="28"/>
          <w:szCs w:val="28"/>
          <w:lang w:val="en-US" w:eastAsia="zh-CN"/>
          <w14:textFill>
            <w14:solidFill>
              <w14:schemeClr w14:val="tx1"/>
            </w14:solidFill>
          </w14:textFill>
        </w:rPr>
        <w:t>虹桥镇</w:t>
      </w:r>
      <w:r>
        <w:rPr>
          <w:rFonts w:hint="eastAsia" w:ascii="仿宋" w:hAnsi="仿宋" w:eastAsia="仿宋"/>
          <w:color w:val="000000" w:themeColor="text1"/>
          <w:sz w:val="28"/>
          <w:szCs w:val="28"/>
          <w14:textFill>
            <w14:solidFill>
              <w14:schemeClr w14:val="tx1"/>
            </w14:solidFill>
          </w14:textFill>
        </w:rPr>
        <w:t>、上海市闵行区教育局</w:t>
      </w:r>
    </w:p>
    <w:p w14:paraId="7F466BF1">
      <w:pPr>
        <w:spacing w:after="80" w:line="500" w:lineRule="exact"/>
        <w:ind w:firstLine="280" w:firstLineChars="100"/>
        <w:rPr>
          <w:rFonts w:hint="eastAsia" w:ascii="仿宋" w:hAnsi="仿宋" w:eastAsia="仿宋"/>
          <w:color w:val="000000" w:themeColor="text1"/>
          <w:sz w:val="28"/>
          <w:szCs w:val="28"/>
          <w14:textFill>
            <w14:solidFill>
              <w14:schemeClr w14:val="tx1"/>
            </w14:solidFill>
          </w14:textFill>
        </w:rPr>
      </w:pPr>
      <w:r>
        <w:rPr>
          <w:rFonts w:hint="eastAsia" w:ascii="Times New Roman" w:hAnsi="Times New Roman" w:eastAsia="宋体"/>
          <w:color w:val="000000" w:themeColor="text1"/>
          <w:sz w:val="28"/>
          <w:szCs w:val="28"/>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-6350</wp:posOffset>
                </wp:positionV>
                <wp:extent cx="5734050" cy="0"/>
                <wp:effectExtent l="0" t="4445" r="0" b="50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0pt;margin-top:-0.5pt;height:0pt;width:451.5pt;z-index:251660288;mso-width-relative:page;mso-height-relative:page;" filled="f" stroked="t" coordsize="21600,21600" o:gfxdata="UEsDBAoAAAAAAIdO4kAAAAAAAAAAAAAAAAAEAAAAZHJzL1BLAwQUAAAACACHTuJAi2Wi+tMAAAAG&#10;AQAADwAAAGRycy9kb3ducmV2LnhtbE2Py07DMBBF90j8gzVIbKrWTishCHG6aMmODQXEdhoPSUQ8&#10;TmP3AV/fqVjAah53dO+ZYnnyvTrQGLvAFrKZAUVcB9dxY+HttZreg4oJ2WEfmCx8U4RleX1VYO7C&#10;kV/osEmNEhOOOVpoUxpyrWPdksc4CwOxaJ9h9JhkHBvtRjyKue/13Jg77bFjSWhxoFVL9ddm7y3E&#10;6p121c+knpiPRRNovls/P6G1tzeZeQSV6JT+juGCL+hQCtM27NlF1VuQR5KFaSZV1AezkGb7u9Bl&#10;of/jl2dQSwMEFAAAAAgAh07iQER3W5/pAQAAuAMAAA4AAABkcnMvZTJvRG9jLnhtbK1TzY7TMBC+&#10;I/EOlu80baD8RE330Gq5LFBplweYOk5jYXss223al+AFkLjBiSN33oblMRg7bVmWyx7IwfJ4Zr6Z&#10;75vJ7GJvNNtJHxTamk9GY86kFdgou6n5+5vLJy85CxFsAxqtrPlBBn4xf/xo1rtKltihbqRnBGJD&#10;1buadzG6qiiC6KSBMEInLTlb9AYimX5TNB56Qje6KMfj50WPvnEehQyBXpeDkx8R/UMAsW2VkEsU&#10;WyNtHFC91BCJUuiUC3yeu21bKeK7tg0yMl1zYhrzSUXovk5nMZ9BtfHgOiWOLcBDWrjHyYCyVPQM&#10;tYQIbOvVP1BGCY8B2zgSaIqBSFaEWEzG97S57sDJzIWkDu4sevh/sOLtbuWZampecmbB0MBvP33/&#10;+fHLrx+f6bz99pWVSaTehYpiF3blE02xt9fuCsWHwCwuOrAbmZu9OThCmKSM4q+UZARHpdb9G2wo&#10;BrYRs2L71psESVqwfR7M4TwYuY9M0OP0xdNn4ynNTJx8BVSnROdDfC3RsHSpuVY2aQYV7K5CTI1A&#10;dQpJzxYvldZ57tqyvuavpuU0JwTUqknOFBb8Zr3Qnu0gbU7+Mivy3A3zuLXNUETblCfz0h0rn1gP&#10;+q2xOaz8SRoaaO7tuHxpY+7aWcA/P9z8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tlovrTAAAA&#10;BgEAAA8AAAAAAAAAAQAgAAAAIgAAAGRycy9kb3ducmV2LnhtbFBLAQIUABQAAAAIAIdO4kBEd1uf&#10;6QEAALgDAAAOAAAAAAAAAAEAIAAAACIBAABkcnMvZTJvRG9jLnhtbFBLBQYAAAAABgAGAFkBAAB9&#10;BQAAAAA=&#10;">
                <v:fill on="f" focussize="0,0"/>
                <v:stroke color="#000000" joinstyle="round"/>
                <v:imagedata o:title=""/>
                <o:lock v:ext="edit" aspectratio="f"/>
              </v:line>
            </w:pict>
          </mc:Fallback>
        </mc:AlternateContent>
      </w:r>
      <w:r>
        <w:rPr>
          <w:rFonts w:hint="eastAsia" w:ascii="Times New Roman" w:hAnsi="Times New Roman" w:eastAsia="宋体"/>
          <w:color w:val="000000" w:themeColor="text1"/>
          <w:sz w:val="28"/>
          <w:szCs w:val="28"/>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374650</wp:posOffset>
                </wp:positionV>
                <wp:extent cx="5734050" cy="0"/>
                <wp:effectExtent l="0" t="4445" r="0" b="508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0pt;margin-top:29.5pt;height:0pt;width:451.5pt;z-index:251660288;mso-width-relative:page;mso-height-relative:page;" filled="f" stroked="t" coordsize="21600,21600" o:gfxdata="UEsDBAoAAAAAAIdO4kAAAAAAAAAAAAAAAAAEAAAAZHJzL1BLAwQUAAAACACHTuJAJgwa19QAAAAG&#10;AQAADwAAAGRycy9kb3ducmV2LnhtbE2Py07DMBBF90j9B2uQ2FTUbisQDXG6KGTHpi2I7TQekoh4&#10;nMbuA76+g1jAah53dO+ZfHn2nTrSENvAFqYTA4q4Cq7l2sLrtrx9ABUTssMuMFn4ogjLYnSVY+bC&#10;idd03KRaiQnHDC00KfWZ1rFqyGOchJ5YtI8weEwyDrV2A57E3Hd6Zsy99tiyJDTY06qh6nNz8BZi&#10;+Ub78ntcjc37vA402z+9PKO1N9dT8wgq0Tn9HcMPvqBDIUy7cGAXVWdBHkkW7hZSRV2YuTS734Uu&#10;cv0fv7gAUEsDBBQAAAAIAIdO4kCuXRZT6QEAALgDAAAOAAAAZHJzL2Uyb0RvYy54bWytU82O0zAQ&#10;viPxDpbvNG2h/ERN99BquSxQaZcHcB2nsbA9lsdt0pfgBZC4wYkjd96G5TEYO21hl8seyMGyZ775&#10;Zuabyfyit4btVUANruKT0Zgz5STU2m0r/v7m8slLzjAKVwsDTlX8oJBfLB4/mne+VFNowdQqMCJx&#10;WHa+4m2MviwKlK2yAkfglSNnA8GKSM+wLeogOmK3ppiOx8+LDkLtA0iFSNbV4ORHxvAQQmgaLdUK&#10;5M4qFwfWoIyI1BK22iNf5GqbRsn4rmlQRWYqTp3GfFISum/SWSzmotwG4VstjyWIh5RwrycrtKOk&#10;Z6qViILtgv6HymoZAKGJIwm2GBrJilAXk/E9ba5b4VXuhaRGfxYd/x+tfLtfB6Zr2gTOnLA08NtP&#10;339+/PLrx2c6b799ZZMkUuexJOzSrUNqU/bu2l+B/IDMwbIVbqtysTcHTww5orgTkh7oKdWmewM1&#10;YcQuQlasb4JNlKQF6/NgDufBqD4yScbZi6fPxjOamTz5ClGeAn3A+FqBZelScaNd0kyUYn+FkUon&#10;6AmSzA4utTF57saxruKvZtNZDkAwuk7OBMOw3SxNYHuRNid/SQciuwMLsHP1YDcuxam8dMfMp64H&#10;/TZQH9YhgZOdBprpjsuXNubvd0b9+eE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mDBrX1AAA&#10;AAYBAAAPAAAAAAAAAAEAIAAAACIAAABkcnMvZG93bnJldi54bWxQSwECFAAUAAAACACHTuJArl0W&#10;U+kBAAC4AwAADgAAAAAAAAABACAAAAAjAQAAZHJzL2Uyb0RvYy54bWxQSwUGAAAAAAYABgBZAQAA&#10;fgUAAAAA&#10;">
                <v:fill on="f" focussize="0,0"/>
                <v:stroke color="#000000" joinstyle="round"/>
                <v:imagedata o:title=""/>
                <o:lock v:ext="edit" aspectratio="f"/>
              </v:line>
            </w:pict>
          </mc:Fallback>
        </mc:AlternateContent>
      </w:r>
      <w:r>
        <w:rPr>
          <w:rFonts w:hint="eastAsia" w:ascii="仿宋" w:hAnsi="仿宋" w:eastAsia="仿宋"/>
          <w:color w:val="000000" w:themeColor="text1"/>
          <w:sz w:val="28"/>
          <w:szCs w:val="28"/>
          <w14:textFill>
            <w14:solidFill>
              <w14:schemeClr w14:val="tx1"/>
            </w14:solidFill>
          </w14:textFill>
        </w:rPr>
        <w:t>闵行区人民政府教育督导室              202</w:t>
      </w:r>
      <w:r>
        <w:rPr>
          <w:rFonts w:hint="eastAsia" w:ascii="仿宋" w:hAnsi="仿宋" w:eastAsia="仿宋"/>
          <w:color w:val="000000" w:themeColor="text1"/>
          <w:sz w:val="28"/>
          <w:szCs w:val="28"/>
          <w:lang w:val="en-US" w:eastAsia="zh-CN"/>
          <w14:textFill>
            <w14:solidFill>
              <w14:schemeClr w14:val="tx1"/>
            </w14:solidFill>
          </w14:textFill>
        </w:rPr>
        <w:t>5</w:t>
      </w:r>
      <w:r>
        <w:rPr>
          <w:rFonts w:hint="eastAsia" w:ascii="仿宋" w:hAnsi="仿宋" w:eastAsia="仿宋"/>
          <w:color w:val="000000" w:themeColor="text1"/>
          <w:sz w:val="28"/>
          <w:szCs w:val="28"/>
          <w14:textFill>
            <w14:solidFill>
              <w14:schemeClr w14:val="tx1"/>
            </w14:solidFill>
          </w14:textFill>
        </w:rPr>
        <w:t>年6月30日印发</w:t>
      </w:r>
    </w:p>
    <w:p w14:paraId="15FD101B">
      <w:pPr>
        <w:rPr>
          <w:rFonts w:hint="eastAsia" w:ascii="黑体" w:hAnsi="黑体" w:eastAsia="黑体" w:cs="仿宋"/>
          <w:color w:val="000000" w:themeColor="text1"/>
          <w:kern w:val="0"/>
          <w:sz w:val="32"/>
          <w:szCs w:val="32"/>
          <w14:textFill>
            <w14:solidFill>
              <w14:schemeClr w14:val="tx1"/>
            </w14:solidFill>
          </w14:textFill>
        </w:rPr>
      </w:pPr>
      <w:r>
        <w:rPr>
          <w:rFonts w:hint="eastAsia" w:ascii="黑体" w:hAnsi="黑体" w:eastAsia="黑体" w:cs="仿宋"/>
          <w:color w:val="000000" w:themeColor="text1"/>
          <w:kern w:val="0"/>
          <w:sz w:val="32"/>
          <w:szCs w:val="32"/>
          <w14:textFill>
            <w14:solidFill>
              <w14:schemeClr w14:val="tx1"/>
            </w14:solidFill>
          </w14:textFill>
        </w:rPr>
        <w:br w:type="page"/>
      </w:r>
    </w:p>
    <w:p w14:paraId="766A84EB">
      <w:pPr>
        <w:widowControl/>
        <w:spacing w:line="360" w:lineRule="auto"/>
        <w:jc w:val="left"/>
        <w:rPr>
          <w:rFonts w:hint="eastAsia" w:ascii="黑体" w:hAnsi="黑体" w:eastAsia="黑体" w:cs="仿宋"/>
          <w:color w:val="000000" w:themeColor="text1"/>
          <w:kern w:val="0"/>
          <w:sz w:val="32"/>
          <w:szCs w:val="32"/>
          <w14:textFill>
            <w14:solidFill>
              <w14:schemeClr w14:val="tx1"/>
            </w14:solidFill>
          </w14:textFill>
        </w:rPr>
      </w:pPr>
      <w:r>
        <w:rPr>
          <w:rFonts w:hint="eastAsia" w:ascii="黑体" w:hAnsi="黑体" w:eastAsia="黑体" w:cs="仿宋"/>
          <w:color w:val="000000" w:themeColor="text1"/>
          <w:kern w:val="0"/>
          <w:sz w:val="32"/>
          <w:szCs w:val="32"/>
          <w14:textFill>
            <w14:solidFill>
              <w14:schemeClr w14:val="tx1"/>
            </w14:solidFill>
          </w14:textFill>
        </w:rPr>
        <w:t>附件</w:t>
      </w:r>
    </w:p>
    <w:p w14:paraId="49EE04F9">
      <w:pPr>
        <w:widowControl/>
        <w:spacing w:line="360" w:lineRule="auto"/>
        <w:jc w:val="center"/>
        <w:rPr>
          <w:rFonts w:hint="eastAsia" w:ascii="方正小标宋简体" w:hAnsi="方正小标宋简体" w:eastAsia="方正小标宋简体" w:cs="方正小标宋简体"/>
          <w:b w:val="0"/>
          <w:bCs/>
          <w:kern w:val="0"/>
          <w:sz w:val="36"/>
          <w:szCs w:val="36"/>
        </w:rPr>
      </w:pPr>
    </w:p>
    <w:p w14:paraId="333511D9">
      <w:pPr>
        <w:widowControl/>
        <w:spacing w:line="360" w:lineRule="auto"/>
        <w:jc w:val="center"/>
        <w:rPr>
          <w:rFonts w:hint="eastAsia" w:ascii="方正小标宋简体" w:hAnsi="方正小标宋简体" w:eastAsia="方正小标宋简体" w:cs="方正小标宋简体"/>
          <w:b w:val="0"/>
          <w:bCs/>
          <w:kern w:val="0"/>
          <w:sz w:val="36"/>
          <w:szCs w:val="36"/>
        </w:rPr>
      </w:pPr>
      <w:r>
        <w:rPr>
          <w:rFonts w:hint="eastAsia" w:ascii="方正小标宋简体" w:hAnsi="方正小标宋简体" w:eastAsia="方正小标宋简体" w:cs="方正小标宋简体"/>
          <w:b w:val="0"/>
          <w:bCs/>
          <w:kern w:val="0"/>
          <w:sz w:val="36"/>
          <w:szCs w:val="36"/>
        </w:rPr>
        <w:t>上海闵行区爱绿幼儿园办园水平（2020-2025）</w:t>
      </w:r>
    </w:p>
    <w:p w14:paraId="48D90ADD">
      <w:pPr>
        <w:widowControl/>
        <w:spacing w:line="360" w:lineRule="auto"/>
        <w:jc w:val="center"/>
        <w:rPr>
          <w:rFonts w:hint="eastAsia" w:ascii="方正小标宋简体" w:hAnsi="方正小标宋简体" w:eastAsia="方正小标宋简体" w:cs="方正小标宋简体"/>
          <w:b w:val="0"/>
          <w:bCs/>
          <w:kern w:val="0"/>
          <w:sz w:val="36"/>
          <w:szCs w:val="36"/>
        </w:rPr>
      </w:pPr>
      <w:r>
        <w:rPr>
          <w:rFonts w:hint="eastAsia" w:ascii="方正小标宋简体" w:hAnsi="方正小标宋简体" w:eastAsia="方正小标宋简体" w:cs="方正小标宋简体"/>
          <w:b w:val="0"/>
          <w:bCs/>
          <w:kern w:val="0"/>
          <w:sz w:val="36"/>
          <w:szCs w:val="36"/>
        </w:rPr>
        <w:t>综合督导意见书</w:t>
      </w:r>
    </w:p>
    <w:p w14:paraId="34D512FA">
      <w:pPr>
        <w:spacing w:line="360" w:lineRule="auto"/>
        <w:ind w:firstLine="560" w:firstLineChars="200"/>
        <w:rPr>
          <w:rFonts w:hint="eastAsia" w:ascii="仿宋" w:hAnsi="仿宋" w:eastAsia="仿宋"/>
          <w:sz w:val="28"/>
          <w:szCs w:val="28"/>
        </w:rPr>
      </w:pPr>
      <w:r>
        <w:rPr>
          <w:rFonts w:hint="eastAsia" w:ascii="仿宋" w:hAnsi="仿宋" w:eastAsia="仿宋" w:cs="仿宋"/>
          <w:sz w:val="28"/>
          <w:szCs w:val="28"/>
        </w:rPr>
        <w:t>根据</w:t>
      </w:r>
      <w:r>
        <w:rPr>
          <w:rFonts w:hint="eastAsia" w:ascii="仿宋" w:hAnsi="仿宋" w:eastAsia="仿宋" w:cs="仿宋"/>
          <w:kern w:val="0"/>
          <w:sz w:val="28"/>
          <w:szCs w:val="28"/>
          <w:lang w:bidi="ar"/>
        </w:rPr>
        <w:t>教育部《幼儿园办园行为督导评估办法》和《上海市教育督导条例》，</w:t>
      </w:r>
      <w:r>
        <w:rPr>
          <w:rFonts w:hint="eastAsia" w:ascii="仿宋" w:hAnsi="仿宋" w:eastAsia="仿宋" w:cs="仿宋"/>
          <w:sz w:val="28"/>
          <w:szCs w:val="28"/>
        </w:rPr>
        <w:t>闵行区人民政府教育督导室于2025年5月30日对上海闵行区爱绿幼儿园办园水平（2020-2025）进行了实地督导评估。实地督导前，督导组审核幼儿园提交的材料；</w:t>
      </w:r>
      <w:r>
        <w:rPr>
          <w:rFonts w:hint="eastAsia" w:ascii="仿宋" w:hAnsi="仿宋" w:eastAsia="仿宋" w:cs="仿宋"/>
          <w:kern w:val="0"/>
          <w:sz w:val="28"/>
          <w:szCs w:val="28"/>
          <w:lang w:bidi="ar"/>
        </w:rPr>
        <w:t>对园内</w:t>
      </w:r>
      <w:r>
        <w:rPr>
          <w:rFonts w:ascii="仿宋" w:hAnsi="仿宋" w:eastAsia="仿宋" w:cs="仿宋"/>
          <w:kern w:val="0"/>
          <w:sz w:val="28"/>
          <w:szCs w:val="28"/>
          <w:lang w:bidi="ar"/>
        </w:rPr>
        <w:t>29名</w:t>
      </w:r>
      <w:r>
        <w:rPr>
          <w:rFonts w:hint="eastAsia" w:ascii="仿宋" w:hAnsi="仿宋" w:eastAsia="仿宋" w:cs="仿宋"/>
          <w:kern w:val="0"/>
          <w:sz w:val="28"/>
          <w:szCs w:val="28"/>
          <w:lang w:bidi="ar"/>
        </w:rPr>
        <w:t>教师以及</w:t>
      </w:r>
      <w:r>
        <w:rPr>
          <w:rFonts w:ascii="仿宋" w:hAnsi="仿宋" w:eastAsia="仿宋" w:cs="仿宋"/>
          <w:kern w:val="0"/>
          <w:sz w:val="28"/>
          <w:szCs w:val="28"/>
          <w:lang w:bidi="ar"/>
        </w:rPr>
        <w:t>46名</w:t>
      </w:r>
      <w:r>
        <w:rPr>
          <w:rFonts w:hint="eastAsia" w:ascii="仿宋" w:hAnsi="仿宋" w:eastAsia="仿宋" w:cs="仿宋"/>
          <w:kern w:val="0"/>
          <w:sz w:val="28"/>
          <w:szCs w:val="28"/>
          <w:lang w:bidi="ar"/>
        </w:rPr>
        <w:t>家长进行问卷调查</w:t>
      </w:r>
      <w:r>
        <w:rPr>
          <w:rFonts w:hint="eastAsia" w:ascii="仿宋" w:hAnsi="仿宋" w:eastAsia="仿宋" w:cs="仿宋"/>
          <w:sz w:val="28"/>
          <w:szCs w:val="28"/>
        </w:rPr>
        <w:t>。实地督导期间，督导组通过听取</w:t>
      </w:r>
      <w:r>
        <w:rPr>
          <w:rFonts w:ascii="仿宋" w:hAnsi="仿宋" w:eastAsia="仿宋" w:cs="仿宋"/>
          <w:sz w:val="28"/>
          <w:szCs w:val="28"/>
        </w:rPr>
        <w:t>罗</w:t>
      </w:r>
      <w:r>
        <w:rPr>
          <w:rFonts w:hint="eastAsia" w:ascii="仿宋" w:hAnsi="仿宋" w:eastAsia="仿宋" w:cs="仿宋"/>
          <w:sz w:val="28"/>
          <w:szCs w:val="28"/>
        </w:rPr>
        <w:t>园长自评汇报，察看园容园貌、现场查阅资料、观摩一日活动各个环节，</w:t>
      </w:r>
      <w:r>
        <w:rPr>
          <w:rFonts w:hint="eastAsia" w:ascii="仿宋" w:hAnsi="仿宋" w:eastAsia="仿宋" w:cs="仿宋"/>
          <w:kern w:val="0"/>
          <w:sz w:val="28"/>
          <w:szCs w:val="28"/>
          <w:lang w:bidi="ar"/>
        </w:rPr>
        <w:t>访谈幼儿园</w:t>
      </w:r>
      <w:r>
        <w:rPr>
          <w:rFonts w:hint="eastAsia" w:ascii="仿宋" w:hAnsi="仿宋" w:eastAsia="仿宋" w:cs="仿宋"/>
          <w:sz w:val="28"/>
          <w:szCs w:val="28"/>
        </w:rPr>
        <w:t>园长、中层干部、教研组长、教师以及三大员17</w:t>
      </w:r>
      <w:r>
        <w:rPr>
          <w:rFonts w:hint="eastAsia" w:ascii="仿宋" w:hAnsi="仿宋" w:eastAsia="仿宋" w:cs="仿宋"/>
          <w:kern w:val="0"/>
          <w:sz w:val="28"/>
          <w:szCs w:val="28"/>
          <w:lang w:bidi="ar"/>
        </w:rPr>
        <w:t>人次。</w:t>
      </w:r>
      <w:r>
        <w:rPr>
          <w:rFonts w:ascii="仿宋" w:hAnsi="仿宋" w:eastAsia="仿宋"/>
          <w:sz w:val="28"/>
          <w:szCs w:val="28"/>
        </w:rPr>
        <w:t xml:space="preserve"> </w:t>
      </w:r>
    </w:p>
    <w:p w14:paraId="6D45C60D">
      <w:pPr>
        <w:spacing w:line="360" w:lineRule="auto"/>
        <w:ind w:firstLine="562" w:firstLineChars="200"/>
        <w:rPr>
          <w:rFonts w:hint="eastAsia" w:ascii="仿宋" w:hAnsi="仿宋" w:eastAsia="仿宋" w:cs="仿宋"/>
          <w:sz w:val="28"/>
          <w:szCs w:val="28"/>
          <w:lang w:eastAsia="zh-TW"/>
        </w:rPr>
      </w:pPr>
      <w:r>
        <w:rPr>
          <w:rStyle w:val="9"/>
          <w:rFonts w:ascii="仿宋" w:hAnsi="仿宋" w:eastAsia="仿宋" w:cs="仿宋_GB2312"/>
          <w:b/>
          <w:bCs/>
          <w:sz w:val="28"/>
          <w:szCs w:val="28"/>
          <w:lang w:val="zh-TW" w:eastAsia="zh-TW"/>
        </w:rPr>
        <w:t>综合分析各类信息，督导组认为：</w:t>
      </w:r>
      <w:r>
        <w:rPr>
          <w:rStyle w:val="9"/>
          <w:rFonts w:hint="eastAsia" w:ascii="仿宋" w:hAnsi="仿宋" w:eastAsia="仿宋" w:cs="仿宋_GB2312"/>
          <w:b w:val="0"/>
          <w:bCs w:val="0"/>
          <w:sz w:val="28"/>
          <w:szCs w:val="28"/>
          <w:lang w:val="en-US" w:eastAsia="zh-CN"/>
        </w:rPr>
        <w:t>上海</w:t>
      </w:r>
      <w:r>
        <w:rPr>
          <w:rFonts w:hint="eastAsia" w:ascii="仿宋" w:hAnsi="仿宋" w:eastAsia="仿宋" w:cs="仿宋"/>
          <w:b w:val="0"/>
          <w:bCs w:val="0"/>
          <w:sz w:val="28"/>
          <w:szCs w:val="28"/>
        </w:rPr>
        <w:t>闵行</w:t>
      </w:r>
      <w:r>
        <w:rPr>
          <w:rFonts w:hint="eastAsia" w:ascii="仿宋" w:hAnsi="仿宋" w:eastAsia="仿宋" w:cs="仿宋"/>
          <w:sz w:val="28"/>
          <w:szCs w:val="28"/>
        </w:rPr>
        <w:t>区爱绿幼儿园初步建立管理制度框架，制定了《幼儿园章程》、五年发展规划及相关制度预案，理事会运作基本规范；关注</w:t>
      </w:r>
      <w:r>
        <w:rPr>
          <w:rFonts w:hint="eastAsia" w:ascii="仿宋" w:hAnsi="仿宋" w:eastAsia="仿宋" w:cs="仿宋"/>
          <w:sz w:val="28"/>
          <w:szCs w:val="28"/>
          <w:lang w:eastAsia="zh-TW"/>
        </w:rPr>
        <w:t>家园社协同育人</w:t>
      </w:r>
      <w:r>
        <w:rPr>
          <w:rFonts w:hint="eastAsia" w:ascii="仿宋" w:hAnsi="仿宋" w:eastAsia="仿宋" w:cs="仿宋"/>
          <w:sz w:val="28"/>
          <w:szCs w:val="28"/>
        </w:rPr>
        <w:t>，家长满意度调查达到100%。但园所规范化管理水平有待提高，风险防控体系存在明显薄弱环节，课程建设质量亟需提升，同时保教质量均衡发展等方面需加强实践探索。</w:t>
      </w:r>
    </w:p>
    <w:p w14:paraId="2F8F40B6">
      <w:pPr>
        <w:widowControl/>
        <w:spacing w:line="360" w:lineRule="auto"/>
        <w:ind w:firstLine="560" w:firstLineChars="200"/>
        <w:rPr>
          <w:rFonts w:hint="eastAsia" w:ascii="仿宋" w:hAnsi="仿宋" w:eastAsia="仿宋"/>
          <w:sz w:val="28"/>
          <w:szCs w:val="28"/>
        </w:rPr>
      </w:pPr>
      <w:r>
        <w:rPr>
          <w:rFonts w:hint="eastAsia" w:ascii="仿宋" w:hAnsi="仿宋" w:eastAsia="仿宋"/>
          <w:sz w:val="28"/>
          <w:szCs w:val="28"/>
        </w:rPr>
        <w:t>依据《2024学年闵行区中小学（幼儿园）办学水平综合督导方案》，对照督导指标，提出如下评估意见。</w:t>
      </w:r>
    </w:p>
    <w:p w14:paraId="25B24103">
      <w:pPr>
        <w:widowControl/>
        <w:spacing w:line="360" w:lineRule="auto"/>
        <w:ind w:firstLine="560" w:firstLineChars="200"/>
        <w:rPr>
          <w:rFonts w:hint="eastAsia" w:ascii="黑体" w:hAnsi="黑体" w:eastAsia="黑体" w:cs="黑体"/>
          <w:b w:val="0"/>
          <w:bCs w:val="0"/>
          <w:sz w:val="28"/>
          <w:szCs w:val="28"/>
        </w:rPr>
      </w:pPr>
      <w:r>
        <w:rPr>
          <w:rFonts w:hint="eastAsia" w:ascii="黑体" w:hAnsi="黑体" w:eastAsia="黑体" w:cs="黑体"/>
          <w:b w:val="0"/>
          <w:bCs w:val="0"/>
          <w:sz w:val="28"/>
          <w:szCs w:val="28"/>
        </w:rPr>
        <w:t>一、主要做法与成效</w:t>
      </w:r>
    </w:p>
    <w:p w14:paraId="4274E116">
      <w:pPr>
        <w:widowControl/>
        <w:spacing w:line="360" w:lineRule="auto"/>
        <w:ind w:firstLine="560" w:firstLineChars="200"/>
        <w:rPr>
          <w:rFonts w:hint="eastAsia" w:ascii="楷体" w:hAnsi="楷体" w:eastAsia="楷体" w:cs="楷体"/>
          <w:b w:val="0"/>
          <w:bCs w:val="0"/>
          <w:sz w:val="28"/>
          <w:szCs w:val="28"/>
          <w:lang w:val="zh-TW" w:eastAsia="zh-TW"/>
        </w:rPr>
      </w:pPr>
      <w:r>
        <w:rPr>
          <w:rFonts w:hint="eastAsia" w:ascii="楷体" w:hAnsi="楷体" w:eastAsia="楷体" w:cs="楷体"/>
          <w:b w:val="0"/>
          <w:bCs w:val="0"/>
          <w:sz w:val="28"/>
          <w:szCs w:val="28"/>
        </w:rPr>
        <w:t>（一）党建融入园所治理，全人教育引领发展</w:t>
      </w:r>
    </w:p>
    <w:p w14:paraId="18EBF065">
      <w:pPr>
        <w:widowControl/>
        <w:spacing w:line="360" w:lineRule="auto"/>
        <w:ind w:firstLine="562" w:firstLineChars="200"/>
        <w:contextualSpacing/>
        <w:rPr>
          <w:rFonts w:hint="eastAsia" w:ascii="仿宋" w:hAnsi="仿宋" w:eastAsia="仿宋"/>
          <w:sz w:val="28"/>
          <w:szCs w:val="28"/>
          <w:lang w:val="zh-TW" w:eastAsia="zh-TW"/>
        </w:rPr>
      </w:pPr>
      <w:r>
        <w:rPr>
          <w:rFonts w:ascii="仿宋" w:hAnsi="仿宋" w:eastAsia="仿宋" w:cs="仿宋"/>
          <w:b/>
          <w:sz w:val="28"/>
          <w:szCs w:val="28"/>
        </w:rPr>
        <w:t>开展党建工作，思政引领团队</w:t>
      </w:r>
      <w:r>
        <w:rPr>
          <w:rFonts w:hint="eastAsia" w:ascii="仿宋" w:hAnsi="仿宋" w:eastAsia="仿宋" w:cs="仿宋"/>
          <w:b/>
          <w:sz w:val="28"/>
          <w:szCs w:val="28"/>
        </w:rPr>
        <w:t>。</w:t>
      </w:r>
      <w:r>
        <w:rPr>
          <w:rFonts w:ascii="仿宋" w:hAnsi="仿宋" w:eastAsia="仿宋" w:cs="仿宋"/>
          <w:bCs/>
          <w:sz w:val="28"/>
          <w:szCs w:val="28"/>
        </w:rPr>
        <w:t>2022年11月幼儿园与龙柏第一幼儿园成立联合党支部，园长作为党建联络员，能认真执行党支部的工作计划，参加党支部组织的各项活动。幼儿园将党组织建设写入《章程》，党建联络员进入理事会，参与幼儿园重大事项的决策。在党支部的领导下，幼儿园工会组织开展了“传统经典读书分享会”、“创意插花”、“书法沙龙”等工会活动，丰富了教职工的生活。园长和工会主席关心教职工的思想、工作和生活。教职工对幼儿园管理团队的工作作风的满意率为100％。</w:t>
      </w:r>
      <w:r>
        <w:rPr>
          <w:rFonts w:ascii="仿宋" w:hAnsi="仿宋" w:eastAsia="仿宋" w:cs="仿宋"/>
          <w:b/>
          <w:sz w:val="28"/>
          <w:szCs w:val="28"/>
        </w:rPr>
        <w:t>倡导全人发展，法人结构合理</w:t>
      </w:r>
      <w:r>
        <w:rPr>
          <w:rFonts w:hint="eastAsia" w:ascii="仿宋" w:hAnsi="仿宋" w:eastAsia="仿宋" w:cs="仿宋"/>
          <w:b/>
          <w:sz w:val="28"/>
          <w:szCs w:val="28"/>
        </w:rPr>
        <w:t>。</w:t>
      </w:r>
      <w:r>
        <w:rPr>
          <w:rFonts w:ascii="仿宋" w:hAnsi="仿宋" w:eastAsia="仿宋" w:cs="仿宋"/>
          <w:bCs/>
          <w:sz w:val="28"/>
          <w:szCs w:val="28"/>
        </w:rPr>
        <w:t>幼儿园制定了五年发展规划，确立了“全人教育，快乐成长”的办园理念，提出了“幼儿全人发展，教师以德为先，家园和谐共育”的办园宗旨，幼儿发展目标和教工发展目标都能凸显立德树人的根本任务。幼儿园能落实全教会制度，召开全教会审议幼儿园重大事项，全教会流程比较规范。幼儿园目前理事会成员5名，其中4名有5年以上教育经历，符合相关规定。理事会每年召开理事会会议，审议幼儿园各项重大事项，会议记录比较详细。</w:t>
      </w:r>
    </w:p>
    <w:p w14:paraId="2E721FA5">
      <w:pPr>
        <w:widowControl/>
        <w:spacing w:line="360" w:lineRule="auto"/>
        <w:ind w:firstLine="560" w:firstLineChars="200"/>
        <w:rPr>
          <w:rFonts w:hint="eastAsia" w:ascii="楷体" w:hAnsi="楷体" w:eastAsia="楷体" w:cs="楷体"/>
          <w:b w:val="0"/>
          <w:bCs w:val="0"/>
          <w:sz w:val="28"/>
          <w:szCs w:val="28"/>
          <w:lang w:val="zh-TW" w:eastAsia="zh-TW"/>
        </w:rPr>
      </w:pPr>
      <w:r>
        <w:rPr>
          <w:rFonts w:hint="eastAsia" w:ascii="楷体" w:hAnsi="楷体" w:eastAsia="楷体" w:cs="楷体"/>
          <w:b w:val="0"/>
          <w:bCs w:val="0"/>
          <w:sz w:val="28"/>
          <w:szCs w:val="28"/>
        </w:rPr>
        <w:t>（二）资质达标队伍稳定，分层培训师德为先</w:t>
      </w:r>
    </w:p>
    <w:p w14:paraId="6B34C552">
      <w:pPr>
        <w:ind w:firstLine="562" w:firstLineChars="200"/>
        <w:jc w:val="left"/>
        <w:rPr>
          <w:rFonts w:hint="eastAsia" w:ascii="仿宋" w:hAnsi="仿宋" w:eastAsia="仿宋" w:cs="仿宋"/>
          <w:bCs/>
          <w:sz w:val="28"/>
          <w:szCs w:val="28"/>
        </w:rPr>
      </w:pPr>
      <w:r>
        <w:rPr>
          <w:rFonts w:hint="eastAsia" w:ascii="仿宋" w:hAnsi="仿宋" w:eastAsia="仿宋" w:cs="仿宋"/>
          <w:b/>
          <w:sz w:val="28"/>
          <w:szCs w:val="28"/>
        </w:rPr>
        <w:t>一是注重持证上岗，教工队伍稳定。</w:t>
      </w:r>
      <w:r>
        <w:rPr>
          <w:rFonts w:hint="eastAsia" w:ascii="仿宋" w:hAnsi="仿宋" w:eastAsia="仿宋" w:cs="仿宋"/>
          <w:bCs/>
          <w:sz w:val="28"/>
          <w:szCs w:val="28"/>
        </w:rPr>
        <w:t>幼儿园执行教工准入查询制度，园长和全园教职工均持证上岗，中籍教师100%持有本科学历，3名外籍老师中1名为研究生学历，2名为本科学历。教师平均教龄达12年。在保障教职工稳定性方面，幼儿园完善薪酬福利制度，规范签订劳动合同，为全体教工足额缴纳社会保险和公积金，较好地保障了队伍的稳定性。</w:t>
      </w:r>
      <w:r>
        <w:rPr>
          <w:rFonts w:hint="eastAsia" w:ascii="仿宋" w:hAnsi="仿宋" w:eastAsia="仿宋" w:cs="仿宋"/>
          <w:b/>
          <w:sz w:val="28"/>
          <w:szCs w:val="28"/>
        </w:rPr>
        <w:t>二是细化师德管理，落实分层培训。</w:t>
      </w:r>
      <w:r>
        <w:rPr>
          <w:rFonts w:hint="eastAsia" w:ascii="仿宋" w:hAnsi="仿宋" w:eastAsia="仿宋" w:cs="仿宋"/>
          <w:bCs/>
          <w:sz w:val="28"/>
          <w:szCs w:val="28"/>
        </w:rPr>
        <w:t>幼儿园制定师德考核细则与师德考核实施方案，将师德表现与教工评优评先和考核直接挂钩，同时注重考核分析汇总，制定并落实师德师风培训计划。通过组织教工政治学习、师德培训、分享师德案例、撰写学习体会，开展志愿服务、文化体验和实地操作等实践活动，提升职业道德素养。园所荣获上海市民办幼儿园 “唱响爱之歌”师德教育活动最佳风采奖。</w:t>
      </w:r>
    </w:p>
    <w:p w14:paraId="6282C676">
      <w:pPr>
        <w:ind w:firstLine="560" w:firstLineChars="200"/>
        <w:jc w:val="left"/>
        <w:rPr>
          <w:rFonts w:hint="eastAsia" w:ascii="楷体" w:hAnsi="楷体" w:eastAsia="楷体" w:cs="楷体"/>
          <w:b w:val="0"/>
          <w:bCs/>
          <w:sz w:val="28"/>
          <w:szCs w:val="28"/>
        </w:rPr>
      </w:pPr>
      <w:r>
        <w:rPr>
          <w:rFonts w:hint="eastAsia" w:ascii="楷体" w:hAnsi="楷体" w:eastAsia="楷体" w:cs="楷体"/>
          <w:b w:val="0"/>
          <w:bCs/>
          <w:sz w:val="28"/>
          <w:szCs w:val="28"/>
        </w:rPr>
        <w:t>（三）课程框架基本建立，园本教研有序开展</w:t>
      </w:r>
    </w:p>
    <w:p w14:paraId="4E047774">
      <w:pPr>
        <w:ind w:firstLine="562" w:firstLineChars="200"/>
        <w:jc w:val="left"/>
        <w:rPr>
          <w:rFonts w:hint="eastAsia" w:ascii="仿宋" w:hAnsi="仿宋" w:eastAsia="仿宋" w:cs="仿宋"/>
          <w:bCs/>
          <w:sz w:val="28"/>
          <w:szCs w:val="28"/>
        </w:rPr>
      </w:pPr>
      <w:r>
        <w:rPr>
          <w:rFonts w:hint="eastAsia" w:ascii="仿宋" w:hAnsi="仿宋" w:eastAsia="仿宋" w:cs="仿宋"/>
          <w:b/>
          <w:sz w:val="28"/>
          <w:szCs w:val="28"/>
        </w:rPr>
        <w:t>一是课程实施方案基本要素齐全。</w:t>
      </w:r>
      <w:r>
        <w:rPr>
          <w:rFonts w:ascii="仿宋" w:hAnsi="仿宋" w:eastAsia="仿宋"/>
          <w:sz w:val="28"/>
          <w:szCs w:val="28"/>
        </w:rPr>
        <w:t>幼儿园</w:t>
      </w:r>
      <w:r>
        <w:rPr>
          <w:rFonts w:hint="eastAsia" w:ascii="仿宋" w:hAnsi="仿宋" w:eastAsia="仿宋"/>
          <w:sz w:val="28"/>
          <w:szCs w:val="28"/>
        </w:rPr>
        <w:t>基于背景与条件分析，</w:t>
      </w:r>
      <w:r>
        <w:rPr>
          <w:rFonts w:ascii="仿宋" w:hAnsi="仿宋" w:eastAsia="仿宋"/>
          <w:sz w:val="28"/>
          <w:szCs w:val="28"/>
        </w:rPr>
        <w:t>依据课程理念，</w:t>
      </w:r>
      <w:r>
        <w:rPr>
          <w:rFonts w:hint="eastAsia" w:ascii="仿宋" w:hAnsi="仿宋" w:eastAsia="仿宋"/>
          <w:sz w:val="28"/>
          <w:szCs w:val="28"/>
        </w:rPr>
        <w:t>制定了体现</w:t>
      </w:r>
      <w:r>
        <w:rPr>
          <w:rFonts w:ascii="仿宋" w:hAnsi="仿宋" w:eastAsia="仿宋"/>
          <w:sz w:val="28"/>
          <w:szCs w:val="28"/>
        </w:rPr>
        <w:t>“多元文化”特色</w:t>
      </w:r>
      <w:r>
        <w:rPr>
          <w:rFonts w:hint="eastAsia" w:ascii="仿宋" w:hAnsi="仿宋" w:eastAsia="仿宋"/>
          <w:sz w:val="28"/>
          <w:szCs w:val="28"/>
        </w:rPr>
        <w:t>的园本课程实施方案，</w:t>
      </w:r>
      <w:r>
        <w:rPr>
          <w:rFonts w:hint="eastAsia" w:ascii="仿宋" w:hAnsi="仿宋" w:eastAsia="仿宋" w:cs="仿宋"/>
          <w:bCs/>
          <w:sz w:val="28"/>
          <w:szCs w:val="28"/>
        </w:rPr>
        <w:t>课程理念的定位整体上符合国家学前教育政策导向。课程设置与活动安排能为各年龄段幼儿提供多样化的活动经历，丰富幼儿的体验与经验。</w:t>
      </w:r>
      <w:r>
        <w:rPr>
          <w:rFonts w:hint="eastAsia" w:ascii="仿宋" w:hAnsi="仿宋" w:eastAsia="仿宋"/>
          <w:b/>
          <w:sz w:val="28"/>
          <w:szCs w:val="28"/>
        </w:rPr>
        <w:t>二</w:t>
      </w:r>
      <w:r>
        <w:rPr>
          <w:rFonts w:ascii="仿宋" w:hAnsi="仿宋" w:eastAsia="仿宋"/>
          <w:b/>
          <w:sz w:val="28"/>
          <w:szCs w:val="28"/>
        </w:rPr>
        <w:t>是教研机制</w:t>
      </w:r>
      <w:r>
        <w:rPr>
          <w:rFonts w:hint="eastAsia" w:ascii="仿宋" w:hAnsi="仿宋" w:eastAsia="仿宋"/>
          <w:b/>
          <w:sz w:val="28"/>
          <w:szCs w:val="28"/>
        </w:rPr>
        <w:t>较齐全</w:t>
      </w:r>
      <w:r>
        <w:rPr>
          <w:rFonts w:ascii="仿宋" w:hAnsi="仿宋" w:eastAsia="仿宋"/>
          <w:b/>
          <w:sz w:val="28"/>
          <w:szCs w:val="28"/>
        </w:rPr>
        <w:t>。</w:t>
      </w:r>
      <w:r>
        <w:rPr>
          <w:rFonts w:hint="eastAsia" w:ascii="仿宋" w:hAnsi="仿宋" w:eastAsia="仿宋" w:cs="仿宋"/>
          <w:bCs/>
          <w:sz w:val="28"/>
          <w:szCs w:val="28"/>
        </w:rPr>
        <w:t>幼儿园教研资料基本齐全，计划、总结表述清晰，教研内容着眼于解决教师困惑，教研专题能聚焦教师实践，如：幼儿一日活动中各环节观察与指导的研究、幼儿自主性游戏中环境创设和材料提供的研究、教师在游戏中观察与评价的研究等。教研形式较为多样。采用了不同的教研方式激发教师教研积极性和主动性。如：案例分析、现场观摩、理论学习等多元方式，鼓励教师分享经验。</w:t>
      </w:r>
    </w:p>
    <w:p w14:paraId="1C678E23">
      <w:pPr>
        <w:widowControl/>
        <w:spacing w:line="360" w:lineRule="auto"/>
        <w:ind w:firstLine="560" w:firstLineChars="200"/>
        <w:contextualSpacing/>
        <w:rPr>
          <w:rFonts w:hint="eastAsia" w:ascii="仿宋" w:hAnsi="仿宋" w:eastAsia="仿宋" w:cs="仿宋"/>
          <w:b/>
          <w:sz w:val="28"/>
          <w:szCs w:val="28"/>
        </w:rPr>
      </w:pPr>
      <w:r>
        <w:rPr>
          <w:rFonts w:hint="eastAsia" w:ascii="楷体" w:hAnsi="楷体" w:eastAsia="楷体" w:cs="楷体"/>
          <w:b w:val="0"/>
          <w:bCs/>
          <w:sz w:val="28"/>
          <w:szCs w:val="28"/>
        </w:rPr>
        <w:t>（四）活动开展平稳有序，师幼关系自然融洽</w:t>
      </w:r>
    </w:p>
    <w:p w14:paraId="4BC484E5">
      <w:pPr>
        <w:widowControl/>
        <w:spacing w:line="360" w:lineRule="auto"/>
        <w:ind w:firstLine="562" w:firstLineChars="200"/>
        <w:contextualSpacing/>
        <w:rPr>
          <w:rFonts w:hint="eastAsia" w:ascii="仿宋" w:hAnsi="仿宋" w:eastAsia="仿宋" w:cs="仿宋"/>
          <w:bCs/>
          <w:sz w:val="28"/>
          <w:szCs w:val="28"/>
        </w:rPr>
      </w:pPr>
      <w:r>
        <w:rPr>
          <w:rFonts w:hint="eastAsia" w:ascii="仿宋" w:hAnsi="仿宋" w:eastAsia="仿宋" w:cs="仿宋"/>
          <w:b/>
          <w:sz w:val="28"/>
          <w:szCs w:val="28"/>
        </w:rPr>
        <w:t>一日活动实施能按计划落实。</w:t>
      </w:r>
      <w:r>
        <w:rPr>
          <w:rFonts w:hint="eastAsia" w:ascii="仿宋" w:hAnsi="仿宋" w:eastAsia="仿宋" w:cs="仿宋"/>
          <w:bCs/>
          <w:sz w:val="28"/>
          <w:szCs w:val="28"/>
        </w:rPr>
        <w:t>四类活动的组织和实施与计划匹配，能按照计划中的作息安排开展各类活动。运动在现有场地条件下，配备篮球架、各种球类、小车、轮胎、攀岩设施等运动器械，基本满足幼儿的运动需求。幼儿有一定的安全意识与自我保护能力。学习活动中，小班、中班教师在学习活动中均能采用游戏化教学方式，与幼儿共同感知、实践、体验，给予幼儿表达与表现机会。大班幼儿在学习中体现出专注、认真，倾听习惯较好。</w:t>
      </w:r>
      <w:r>
        <w:rPr>
          <w:rFonts w:hint="eastAsia" w:ascii="仿宋" w:hAnsi="仿宋" w:eastAsia="仿宋" w:cs="仿宋"/>
          <w:b/>
          <w:sz w:val="28"/>
          <w:szCs w:val="28"/>
        </w:rPr>
        <w:t>师幼关系较为和谐，满足幼儿归属感需求。</w:t>
      </w:r>
      <w:r>
        <w:rPr>
          <w:rFonts w:hint="eastAsia" w:ascii="仿宋" w:hAnsi="仿宋" w:eastAsia="仿宋" w:cs="仿宋"/>
          <w:bCs/>
          <w:sz w:val="28"/>
          <w:szCs w:val="28"/>
        </w:rPr>
        <w:t>师幼之间能构建起和谐亲密的互动关系，小年龄班级能营造家庭式的氛围，通过配备小沙发、铺设地毯、展示家人照片等举措，满足了幼儿尤其是低龄幼儿对归属感的需求。幼儿基本的自我服务意识得到一定的培养，大班幼儿能主动帮助同伴，形成良好的互助氛围。</w:t>
      </w:r>
    </w:p>
    <w:p w14:paraId="4D2B172A">
      <w:pPr>
        <w:spacing w:line="360" w:lineRule="auto"/>
        <w:ind w:firstLine="560" w:firstLineChars="200"/>
        <w:rPr>
          <w:rFonts w:hint="eastAsia" w:ascii="黑体" w:hAnsi="黑体" w:eastAsia="黑体" w:cs="黑体"/>
          <w:b w:val="0"/>
          <w:bCs w:val="0"/>
          <w:sz w:val="28"/>
          <w:szCs w:val="28"/>
          <w:lang w:val="zh-TW"/>
        </w:rPr>
      </w:pPr>
      <w:r>
        <w:rPr>
          <w:rFonts w:hint="eastAsia" w:ascii="黑体" w:hAnsi="黑体" w:eastAsia="黑体" w:cs="黑体"/>
          <w:b w:val="0"/>
          <w:bCs w:val="0"/>
          <w:sz w:val="28"/>
          <w:szCs w:val="28"/>
          <w:lang w:eastAsia="zh-TW"/>
        </w:rPr>
        <w:t>二、</w:t>
      </w:r>
      <w:r>
        <w:rPr>
          <w:rFonts w:hint="eastAsia" w:ascii="黑体" w:hAnsi="黑体" w:eastAsia="黑体" w:cs="黑体"/>
          <w:b w:val="0"/>
          <w:bCs w:val="0"/>
          <w:sz w:val="28"/>
          <w:szCs w:val="28"/>
          <w:lang w:val="zh-TW" w:eastAsia="zh-TW"/>
        </w:rPr>
        <w:t>存在的主要问题与改进建议</w:t>
      </w:r>
    </w:p>
    <w:p w14:paraId="09247529">
      <w:pPr>
        <w:pStyle w:val="2"/>
        <w:spacing w:line="360" w:lineRule="auto"/>
        <w:ind w:firstLine="560" w:firstLineChars="200"/>
        <w:rPr>
          <w:rFonts w:hint="eastAsia" w:ascii="楷体" w:hAnsi="楷体" w:eastAsia="楷体" w:cs="楷体"/>
          <w:b w:val="0"/>
          <w:bCs/>
          <w:sz w:val="28"/>
          <w:szCs w:val="28"/>
        </w:rPr>
      </w:pPr>
      <w:r>
        <w:rPr>
          <w:rFonts w:hint="eastAsia" w:ascii="楷体" w:hAnsi="楷体" w:eastAsia="楷体" w:cs="楷体"/>
          <w:b w:val="0"/>
          <w:bCs/>
          <w:sz w:val="28"/>
          <w:szCs w:val="28"/>
        </w:rPr>
        <w:t>（一）幼儿园五年发展规划需优化结构，完善各要素内容，细化目标，规范文本，提升规划质量</w:t>
      </w:r>
    </w:p>
    <w:p w14:paraId="56AF63A2">
      <w:pPr>
        <w:spacing w:line="360" w:lineRule="auto"/>
        <w:ind w:firstLine="560" w:firstLineChars="200"/>
        <w:rPr>
          <w:rFonts w:hint="eastAsia" w:ascii="仿宋" w:hAnsi="仿宋" w:eastAsia="仿宋" w:cs="仿宋"/>
          <w:sz w:val="28"/>
          <w:szCs w:val="28"/>
        </w:rPr>
      </w:pPr>
      <w:r>
        <w:rPr>
          <w:rFonts w:hint="eastAsia" w:ascii="仿宋" w:hAnsi="仿宋" w:eastAsia="仿宋"/>
          <w:bCs/>
          <w:sz w:val="28"/>
          <w:szCs w:val="28"/>
        </w:rPr>
        <w:t>【问题】</w:t>
      </w:r>
      <w:r>
        <w:rPr>
          <w:rFonts w:ascii="仿宋" w:hAnsi="仿宋" w:eastAsia="仿宋" w:cs="仿宋"/>
          <w:sz w:val="28"/>
          <w:szCs w:val="28"/>
        </w:rPr>
        <w:t>一是规划结构要素不够齐全，没有标题、没有重点发展项目、没有党建工作、没有教代会审议；二是办园目标不够全面，没有包含党组织建设、保教工作、安全卫生等内容；三是教工发展目标比较笼统，没有体现教师与三大员的专业差异；四是文本撰写不够规范，文中多处出现错别字，达成标志与年度措施的文字表述混淆，规划调整的落款时间与文本中的表述不匹配。</w:t>
      </w:r>
    </w:p>
    <w:p w14:paraId="218E3178">
      <w:pPr>
        <w:spacing w:line="360" w:lineRule="auto"/>
        <w:ind w:firstLine="560" w:firstLineChars="200"/>
        <w:rPr>
          <w:rFonts w:hint="eastAsia" w:ascii="仿宋" w:hAnsi="仿宋" w:eastAsia="仿宋" w:cs="仿宋"/>
          <w:sz w:val="28"/>
          <w:szCs w:val="28"/>
        </w:rPr>
      </w:pPr>
      <w:r>
        <w:rPr>
          <w:rFonts w:hint="eastAsia" w:ascii="仿宋" w:hAnsi="仿宋" w:eastAsia="仿宋"/>
          <w:bCs/>
          <w:sz w:val="28"/>
          <w:szCs w:val="28"/>
        </w:rPr>
        <w:t>【建议】</w:t>
      </w:r>
      <w:r>
        <w:rPr>
          <w:rFonts w:ascii="仿宋" w:hAnsi="仿宋" w:eastAsia="仿宋" w:cs="仿宋"/>
          <w:sz w:val="28"/>
          <w:szCs w:val="28"/>
        </w:rPr>
        <w:t>幼儿园要充分依托虹桥镇学前教育的优质资源，争取学区办和学前联盟的支持，向辖区内的公办幼儿园和优质民办幼儿园取经，组织中层干部开展规划撰写的培训，了解五年发展规划的结构框架、文本要素和撰写规范，使爱绿幼儿园“全人发展”的理念能体现在规划中，使规划真正成为幼儿园各项工作有序推进的重要蓝本。</w:t>
      </w:r>
    </w:p>
    <w:p w14:paraId="670C867C">
      <w:pPr>
        <w:spacing w:line="360" w:lineRule="auto"/>
        <w:ind w:firstLine="560" w:firstLineChars="200"/>
        <w:rPr>
          <w:rFonts w:hint="eastAsia" w:ascii="楷体" w:hAnsi="楷体" w:eastAsia="楷体" w:cs="楷体"/>
          <w:b w:val="0"/>
          <w:bCs/>
          <w:sz w:val="28"/>
          <w:szCs w:val="28"/>
        </w:rPr>
      </w:pPr>
      <w:r>
        <w:rPr>
          <w:rFonts w:hint="eastAsia" w:ascii="楷体" w:hAnsi="楷体" w:eastAsia="楷体" w:cs="楷体"/>
          <w:b w:val="0"/>
          <w:bCs/>
          <w:sz w:val="28"/>
          <w:szCs w:val="28"/>
        </w:rPr>
        <w:t>（二）幼儿园园务管理需强化规范意识，对标普及普惠指标，建章立制，落实闭环管理，提升管理实效</w:t>
      </w:r>
    </w:p>
    <w:p w14:paraId="66901E3C">
      <w:pPr>
        <w:spacing w:line="360" w:lineRule="auto"/>
        <w:ind w:firstLine="560" w:firstLineChars="200"/>
        <w:rPr>
          <w:rFonts w:hint="eastAsia" w:ascii="仿宋" w:hAnsi="仿宋" w:eastAsia="仿宋" w:cs="仿宋"/>
          <w:sz w:val="28"/>
          <w:szCs w:val="28"/>
        </w:rPr>
      </w:pPr>
      <w:bookmarkStart w:id="0" w:name="OLE_LINK90"/>
      <w:bookmarkStart w:id="1" w:name="OLE_LINK134"/>
      <w:r>
        <w:rPr>
          <w:rFonts w:hint="eastAsia" w:ascii="仿宋" w:hAnsi="仿宋" w:eastAsia="仿宋"/>
          <w:bCs/>
          <w:sz w:val="28"/>
          <w:szCs w:val="28"/>
        </w:rPr>
        <w:t>【问题】</w:t>
      </w:r>
      <w:bookmarkEnd w:id="0"/>
      <w:bookmarkEnd w:id="1"/>
      <w:r>
        <w:rPr>
          <w:rFonts w:ascii="仿宋" w:hAnsi="仿宋" w:eastAsia="仿宋" w:cs="仿宋"/>
          <w:sz w:val="28"/>
          <w:szCs w:val="28"/>
        </w:rPr>
        <w:t>幼儿园园务管理目前存在一些问题，一是园内环境存在较多卫生死角；二是各项安全措施未得到有效落实，存在明显安全隐患；三是日常工作常态化不够规范；四是普及普惠多项指标不达标。</w:t>
      </w:r>
    </w:p>
    <w:p w14:paraId="41E4BFCF">
      <w:pPr>
        <w:widowControl/>
        <w:shd w:val="clear" w:color="auto" w:fill="FFFFFF"/>
        <w:spacing w:line="360" w:lineRule="auto"/>
        <w:ind w:firstLine="560" w:firstLineChars="200"/>
        <w:rPr>
          <w:rStyle w:val="8"/>
          <w:rFonts w:ascii="Segoe UI" w:hAnsi="Segoe UI" w:eastAsia="Segoe UI" w:cs="Segoe UI"/>
          <w:color w:val="404040"/>
          <w:sz w:val="24"/>
          <w:szCs w:val="24"/>
          <w:shd w:val="clear" w:color="auto" w:fill="FFFFFF"/>
        </w:rPr>
      </w:pPr>
      <w:r>
        <w:rPr>
          <w:rFonts w:hint="eastAsia" w:ascii="仿宋" w:hAnsi="仿宋" w:eastAsia="仿宋"/>
          <w:bCs/>
          <w:sz w:val="28"/>
          <w:szCs w:val="28"/>
        </w:rPr>
        <w:t>【建议】</w:t>
      </w:r>
      <w:r>
        <w:rPr>
          <w:rFonts w:ascii="仿宋" w:hAnsi="仿宋" w:eastAsia="仿宋" w:cs="仿宋"/>
          <w:sz w:val="28"/>
          <w:szCs w:val="28"/>
        </w:rPr>
        <w:t>一是幼儿园要树立规范办园意识，从建章立制着手，根据幼儿园目前存在的管理缺陷制定符合幼儿园实际需要的规章制度。二是幼儿园要树立“知行合一”意识，把文本要求通过培训和考核落实到实际工作中，尤其是安全工作需要引起加倍重视。三是要树立全区一盘棋意识，对照普及普惠指标，认真查找问题，制定整改方案，想方设法实现各类数据的达标，且能与实际相符，为闵行区普及普惠全面达标贡献幼儿园的力量。</w:t>
      </w:r>
    </w:p>
    <w:p w14:paraId="7F9F4422">
      <w:pPr>
        <w:widowControl/>
        <w:shd w:val="clear" w:color="auto" w:fill="FFFFFF"/>
        <w:spacing w:line="360" w:lineRule="auto"/>
        <w:ind w:firstLine="560" w:firstLineChars="200"/>
        <w:rPr>
          <w:rFonts w:hint="eastAsia" w:ascii="楷体" w:hAnsi="楷体" w:eastAsia="楷体" w:cs="楷体"/>
          <w:b w:val="0"/>
          <w:bCs w:val="0"/>
          <w:sz w:val="28"/>
          <w:szCs w:val="28"/>
        </w:rPr>
      </w:pPr>
      <w:r>
        <w:rPr>
          <w:rFonts w:hint="eastAsia" w:ascii="楷体" w:hAnsi="楷体" w:eastAsia="楷体" w:cs="楷体"/>
          <w:b w:val="0"/>
          <w:bCs w:val="0"/>
          <w:sz w:val="28"/>
          <w:szCs w:val="28"/>
        </w:rPr>
        <w:t>（三）幼儿园财务管理需加强风险防控，规范代办费清退，优化资源配置，确保合规运行和可持续发展</w:t>
      </w:r>
    </w:p>
    <w:p w14:paraId="1C05C7B0">
      <w:pPr>
        <w:spacing w:line="360" w:lineRule="auto"/>
        <w:ind w:firstLine="560" w:firstLineChars="200"/>
        <w:rPr>
          <w:rFonts w:hint="eastAsia" w:ascii="仿宋" w:hAnsi="仿宋" w:eastAsia="仿宋" w:cs="仿宋"/>
          <w:sz w:val="28"/>
          <w:szCs w:val="28"/>
        </w:rPr>
      </w:pPr>
      <w:r>
        <w:rPr>
          <w:rFonts w:hint="eastAsia" w:ascii="仿宋" w:hAnsi="仿宋" w:eastAsia="仿宋"/>
          <w:bCs/>
          <w:sz w:val="28"/>
          <w:szCs w:val="28"/>
        </w:rPr>
        <w:t>【问题】</w:t>
      </w:r>
      <w:r>
        <w:rPr>
          <w:rFonts w:hint="eastAsia" w:ascii="仿宋" w:hAnsi="仿宋" w:eastAsia="仿宋" w:cs="仿宋"/>
          <w:sz w:val="28"/>
          <w:szCs w:val="28"/>
        </w:rPr>
        <w:t>当年度手指亏损276.1万元（因亏损，未计提风险发展基金）净资产为负716.32万元，资产负债率3106.24%；代办费中的校车费未及时清退；相应设施设备比较薄弱，适合年龄特点的玩具、图书、材料及必要的教育设施设备不够</w:t>
      </w:r>
    </w:p>
    <w:p w14:paraId="24CA5DD1">
      <w:pPr>
        <w:widowControl/>
        <w:shd w:val="clear" w:color="auto" w:fill="FFFFFF"/>
        <w:spacing w:line="360" w:lineRule="auto"/>
        <w:ind w:firstLine="560" w:firstLineChars="200"/>
        <w:rPr>
          <w:rFonts w:hint="eastAsia" w:ascii="仿宋" w:hAnsi="仿宋" w:eastAsia="仿宋" w:cs="仿宋"/>
          <w:sz w:val="28"/>
          <w:szCs w:val="28"/>
        </w:rPr>
      </w:pPr>
      <w:r>
        <w:rPr>
          <w:rFonts w:hint="eastAsia" w:ascii="仿宋" w:hAnsi="仿宋" w:eastAsia="仿宋"/>
          <w:bCs/>
          <w:sz w:val="28"/>
          <w:szCs w:val="28"/>
        </w:rPr>
        <w:t>【建议】</w:t>
      </w:r>
      <w:r>
        <w:rPr>
          <w:rFonts w:hint="eastAsia" w:ascii="仿宋" w:hAnsi="仿宋" w:eastAsia="仿宋" w:cs="仿宋"/>
          <w:b/>
          <w:bCs/>
          <w:sz w:val="28"/>
          <w:szCs w:val="28"/>
        </w:rPr>
        <w:t>一是</w:t>
      </w:r>
      <w:r>
        <w:rPr>
          <w:rFonts w:hint="eastAsia" w:ascii="仿宋" w:hAnsi="仿宋" w:eastAsia="仿宋" w:cs="仿宋"/>
          <w:sz w:val="28"/>
          <w:szCs w:val="28"/>
        </w:rPr>
        <w:t>进一步加强资金管理，优化管理流程，创新服务模式，同时积极争取政策扶持与社会资源，确保幼儿园经费的日常开支和正常运转，加强招生的力量，做好开源节流，有效防范财务风险；</w:t>
      </w:r>
      <w:r>
        <w:rPr>
          <w:rFonts w:hint="eastAsia" w:ascii="仿宋" w:hAnsi="仿宋" w:eastAsia="仿宋" w:cs="仿宋"/>
          <w:b/>
          <w:bCs/>
          <w:sz w:val="28"/>
          <w:szCs w:val="28"/>
        </w:rPr>
        <w:t>二是</w:t>
      </w:r>
      <w:r>
        <w:rPr>
          <w:rFonts w:hint="eastAsia" w:ascii="仿宋" w:hAnsi="仿宋" w:eastAsia="仿宋" w:cs="仿宋"/>
          <w:sz w:val="28"/>
          <w:szCs w:val="28"/>
        </w:rPr>
        <w:t>校车费作为代办服务费，必须按月及时清退缺勤费用，应建立清晰台账，依据当月实际缺勤天数计算退费金额，并退还给家长，确保操作透明合规，保障家长的权益；</w:t>
      </w:r>
      <w:r>
        <w:rPr>
          <w:rFonts w:hint="eastAsia" w:ascii="仿宋" w:hAnsi="仿宋" w:eastAsia="仿宋" w:cs="仿宋"/>
          <w:b/>
          <w:bCs/>
          <w:sz w:val="28"/>
          <w:szCs w:val="28"/>
        </w:rPr>
        <w:t>三是</w:t>
      </w:r>
      <w:r>
        <w:rPr>
          <w:rFonts w:hint="eastAsia" w:ascii="仿宋" w:hAnsi="仿宋" w:eastAsia="仿宋" w:cs="仿宋"/>
          <w:sz w:val="28"/>
          <w:szCs w:val="28"/>
        </w:rPr>
        <w:t>在经费条件允许的情况下，确保适合年龄特点的玩具、图书、材料及必要教育设备、配备得到逐步更新、改善。</w:t>
      </w:r>
    </w:p>
    <w:p w14:paraId="027DDB38">
      <w:pPr>
        <w:widowControl/>
        <w:shd w:val="clear" w:color="auto" w:fill="FFFFFF"/>
        <w:spacing w:line="360" w:lineRule="auto"/>
        <w:ind w:firstLine="560" w:firstLineChars="200"/>
        <w:rPr>
          <w:rFonts w:hint="eastAsia" w:ascii="楷体" w:hAnsi="楷体" w:eastAsia="楷体" w:cs="楷体"/>
          <w:b w:val="0"/>
          <w:bCs w:val="0"/>
          <w:sz w:val="28"/>
          <w:szCs w:val="28"/>
        </w:rPr>
      </w:pPr>
      <w:r>
        <w:rPr>
          <w:rFonts w:hint="eastAsia" w:ascii="楷体" w:hAnsi="楷体" w:eastAsia="楷体" w:cs="楷体"/>
          <w:b w:val="0"/>
          <w:bCs w:val="0"/>
          <w:sz w:val="28"/>
          <w:szCs w:val="28"/>
        </w:rPr>
        <w:t>（四）幼儿园课程方案需严格对标政策指南，规范课程结构设置，科学调整活动目标与作息安排，杜绝小学化倾向</w:t>
      </w:r>
    </w:p>
    <w:p w14:paraId="314FA0FA">
      <w:pPr>
        <w:widowControl/>
        <w:shd w:val="clear" w:color="auto" w:fill="FFFFFF"/>
        <w:spacing w:line="360" w:lineRule="auto"/>
        <w:ind w:firstLine="560" w:firstLineChars="200"/>
        <w:rPr>
          <w:rFonts w:hint="eastAsia" w:ascii="仿宋" w:hAnsi="仿宋" w:eastAsia="仿宋" w:cs="仿宋"/>
          <w:sz w:val="28"/>
          <w:szCs w:val="28"/>
        </w:rPr>
      </w:pPr>
      <w:r>
        <w:rPr>
          <w:rFonts w:ascii="仿宋" w:hAnsi="仿宋" w:eastAsia="仿宋" w:cs="仿宋"/>
          <w:sz w:val="28"/>
          <w:szCs w:val="28"/>
        </w:rPr>
        <w:t>【问题】幼儿园课程实施方案存在以下突出问题：</w:t>
      </w:r>
      <w:r>
        <w:rPr>
          <w:rFonts w:hint="eastAsia" w:ascii="仿宋" w:hAnsi="仿宋" w:eastAsia="仿宋" w:cs="仿宋"/>
          <w:sz w:val="28"/>
          <w:szCs w:val="28"/>
        </w:rPr>
        <w:t>一是</w:t>
      </w:r>
      <w:r>
        <w:rPr>
          <w:rFonts w:ascii="仿宋" w:hAnsi="仿宋" w:eastAsia="仿宋" w:cs="仿宋"/>
          <w:sz w:val="28"/>
          <w:szCs w:val="28"/>
        </w:rPr>
        <w:t>课程框架与附件内容不一致，特色活动板块虽已删除"英文语言"项目，但附件仍保留大量英文教学目标，存在明显矛盾；</w:t>
      </w:r>
      <w:r>
        <w:rPr>
          <w:rFonts w:hint="eastAsia" w:ascii="仿宋" w:hAnsi="仿宋" w:eastAsia="仿宋" w:cs="仿宋"/>
          <w:sz w:val="28"/>
          <w:szCs w:val="28"/>
        </w:rPr>
        <w:t>二是</w:t>
      </w:r>
      <w:r>
        <w:rPr>
          <w:rFonts w:ascii="仿宋" w:hAnsi="仿宋" w:eastAsia="仿宋" w:cs="仿宋"/>
          <w:sz w:val="28"/>
          <w:szCs w:val="28"/>
        </w:rPr>
        <w:t>各年龄段作息安排不合理，集体学习活动时间超标，四类活动时间配比失衡；</w:t>
      </w:r>
      <w:r>
        <w:rPr>
          <w:rFonts w:hint="eastAsia" w:ascii="仿宋" w:hAnsi="仿宋" w:eastAsia="仿宋" w:cs="仿宋"/>
          <w:sz w:val="28"/>
          <w:szCs w:val="28"/>
        </w:rPr>
        <w:t>三是</w:t>
      </w:r>
      <w:r>
        <w:rPr>
          <w:rFonts w:ascii="仿宋" w:hAnsi="仿宋" w:eastAsia="仿宋" w:cs="仿宋"/>
          <w:sz w:val="28"/>
          <w:szCs w:val="28"/>
        </w:rPr>
        <w:t>目标设置欠规范，基础性课程中游戏活动不应设置发展目标，特色活动目标存在数量过多（6-8条/年龄段）、适切性不足等问题。</w:t>
      </w:r>
    </w:p>
    <w:p w14:paraId="56DF620D">
      <w:pPr>
        <w:widowControl/>
        <w:shd w:val="clear" w:color="auto" w:fill="FFFFFF"/>
        <w:spacing w:line="360" w:lineRule="auto"/>
        <w:ind w:firstLine="560" w:firstLineChars="200"/>
        <w:rPr>
          <w:rFonts w:hint="eastAsia" w:ascii="仿宋" w:hAnsi="仿宋" w:eastAsia="仿宋" w:cs="仿宋"/>
          <w:sz w:val="28"/>
          <w:szCs w:val="28"/>
        </w:rPr>
      </w:pPr>
      <w:r>
        <w:rPr>
          <w:rFonts w:ascii="仿宋" w:hAnsi="仿宋" w:eastAsia="仿宋" w:cs="仿宋"/>
          <w:sz w:val="28"/>
          <w:szCs w:val="28"/>
        </w:rPr>
        <w:t>【建议】现提出整改要求：</w:t>
      </w:r>
      <w:r>
        <w:rPr>
          <w:rFonts w:hint="eastAsia" w:ascii="仿宋" w:hAnsi="仿宋" w:eastAsia="仿宋" w:cs="仿宋"/>
          <w:sz w:val="28"/>
          <w:szCs w:val="28"/>
        </w:rPr>
        <w:t>一要</w:t>
      </w:r>
      <w:r>
        <w:rPr>
          <w:rFonts w:ascii="仿宋" w:hAnsi="仿宋" w:eastAsia="仿宋" w:cs="仿宋"/>
          <w:sz w:val="28"/>
          <w:szCs w:val="28"/>
        </w:rPr>
        <w:t>立即组织专题学习，深入研读《</w:t>
      </w:r>
      <w:r>
        <w:rPr>
          <w:rFonts w:hint="eastAsia" w:ascii="仿宋" w:hAnsi="仿宋" w:eastAsia="仿宋" w:cs="仿宋"/>
          <w:sz w:val="28"/>
          <w:szCs w:val="28"/>
        </w:rPr>
        <w:t>中华人民共和国</w:t>
      </w:r>
      <w:r>
        <w:rPr>
          <w:rFonts w:ascii="仿宋" w:hAnsi="仿宋" w:eastAsia="仿宋" w:cs="仿宋"/>
          <w:sz w:val="28"/>
          <w:szCs w:val="28"/>
        </w:rPr>
        <w:t>学前教育法》</w:t>
      </w:r>
      <w:r>
        <w:rPr>
          <w:rFonts w:hint="eastAsia" w:ascii="仿宋" w:hAnsi="仿宋" w:eastAsia="仿宋" w:cs="仿宋"/>
          <w:sz w:val="28"/>
          <w:szCs w:val="28"/>
        </w:rPr>
        <w:t>《3—6岁儿童学习与发展指南》</w:t>
      </w:r>
      <w:r>
        <w:rPr>
          <w:rFonts w:ascii="仿宋" w:hAnsi="仿宋" w:eastAsia="仿宋" w:cs="仿宋"/>
          <w:sz w:val="28"/>
          <w:szCs w:val="28"/>
        </w:rPr>
        <w:t>及</w:t>
      </w:r>
      <w:r>
        <w:rPr>
          <w:rFonts w:hint="eastAsia" w:ascii="仿宋" w:hAnsi="仿宋" w:eastAsia="仿宋" w:cs="仿宋"/>
          <w:sz w:val="28"/>
          <w:szCs w:val="28"/>
        </w:rPr>
        <w:t>《上海学前教育</w:t>
      </w:r>
      <w:r>
        <w:rPr>
          <w:rFonts w:ascii="仿宋" w:hAnsi="仿宋" w:eastAsia="仿宋" w:cs="仿宋"/>
          <w:sz w:val="28"/>
          <w:szCs w:val="28"/>
        </w:rPr>
        <w:t>课程指南</w:t>
      </w:r>
      <w:r>
        <w:rPr>
          <w:rFonts w:hint="eastAsia" w:ascii="仿宋" w:hAnsi="仿宋" w:eastAsia="仿宋" w:cs="仿宋"/>
          <w:sz w:val="28"/>
          <w:szCs w:val="28"/>
        </w:rPr>
        <w:t>》</w:t>
      </w:r>
      <w:r>
        <w:rPr>
          <w:rFonts w:ascii="仿宋" w:hAnsi="仿宋" w:eastAsia="仿宋" w:cs="仿宋"/>
          <w:sz w:val="28"/>
          <w:szCs w:val="28"/>
        </w:rPr>
        <w:t>；</w:t>
      </w:r>
      <w:r>
        <w:rPr>
          <w:rFonts w:hint="eastAsia" w:ascii="仿宋" w:hAnsi="仿宋" w:eastAsia="仿宋" w:cs="仿宋"/>
          <w:sz w:val="28"/>
          <w:szCs w:val="28"/>
        </w:rPr>
        <w:t>二要</w:t>
      </w:r>
      <w:r>
        <w:rPr>
          <w:rFonts w:ascii="仿宋" w:hAnsi="仿宋" w:eastAsia="仿宋" w:cs="仿宋"/>
          <w:sz w:val="28"/>
          <w:szCs w:val="28"/>
        </w:rPr>
        <w:t>系统修订课程方案，重点整改三项内容：全面核查特色活动目标体系，消除内容矛盾；科学调整各年龄段作息，确保四类活动时间配比符合标准；规范目标设置，</w:t>
      </w:r>
      <w:r>
        <w:rPr>
          <w:rFonts w:hint="eastAsia" w:ascii="仿宋" w:hAnsi="仿宋" w:eastAsia="仿宋" w:cs="仿宋"/>
          <w:sz w:val="28"/>
          <w:szCs w:val="28"/>
        </w:rPr>
        <w:t>游戏活动的目标</w:t>
      </w:r>
      <w:r>
        <w:rPr>
          <w:rFonts w:ascii="仿宋" w:hAnsi="仿宋" w:eastAsia="仿宋" w:cs="仿宋"/>
          <w:sz w:val="28"/>
          <w:szCs w:val="28"/>
        </w:rPr>
        <w:t>改用观察要点，特色</w:t>
      </w:r>
      <w:r>
        <w:rPr>
          <w:rFonts w:hint="eastAsia" w:ascii="仿宋" w:hAnsi="仿宋" w:eastAsia="仿宋" w:cs="仿宋"/>
          <w:sz w:val="28"/>
          <w:szCs w:val="28"/>
        </w:rPr>
        <w:t>活动</w:t>
      </w:r>
      <w:r>
        <w:rPr>
          <w:rFonts w:ascii="仿宋" w:hAnsi="仿宋" w:eastAsia="仿宋" w:cs="仿宋"/>
          <w:sz w:val="28"/>
          <w:szCs w:val="28"/>
        </w:rPr>
        <w:t>目标精简至</w:t>
      </w:r>
      <w:r>
        <w:rPr>
          <w:rFonts w:hint="eastAsia" w:ascii="仿宋" w:hAnsi="仿宋" w:eastAsia="仿宋" w:cs="仿宋"/>
          <w:sz w:val="28"/>
          <w:szCs w:val="28"/>
        </w:rPr>
        <w:t>2</w:t>
      </w:r>
      <w:r>
        <w:rPr>
          <w:rFonts w:ascii="仿宋" w:hAnsi="仿宋" w:eastAsia="仿宋" w:cs="仿宋"/>
          <w:sz w:val="28"/>
          <w:szCs w:val="28"/>
        </w:rPr>
        <w:t>-4条/年龄段。</w:t>
      </w:r>
    </w:p>
    <w:p w14:paraId="52C16549">
      <w:pPr>
        <w:widowControl/>
        <w:shd w:val="clear" w:color="auto" w:fill="FFFFFF"/>
        <w:spacing w:line="360" w:lineRule="auto"/>
        <w:ind w:firstLine="560" w:firstLineChars="200"/>
        <w:rPr>
          <w:rFonts w:hint="eastAsia" w:ascii="楷体" w:hAnsi="楷体" w:eastAsia="楷体" w:cs="楷体"/>
          <w:b w:val="0"/>
          <w:bCs w:val="0"/>
          <w:sz w:val="28"/>
          <w:szCs w:val="28"/>
        </w:rPr>
      </w:pPr>
      <w:r>
        <w:rPr>
          <w:rFonts w:hint="eastAsia" w:ascii="楷体" w:hAnsi="楷体" w:eastAsia="楷体" w:cs="楷体"/>
          <w:b w:val="0"/>
          <w:bCs w:val="0"/>
          <w:sz w:val="28"/>
          <w:szCs w:val="28"/>
        </w:rPr>
        <w:t>（五）幼儿园需着力构建完善的保教质量监控体系，强化质量监控的指导性，提升保教管理团队课程领导力</w:t>
      </w:r>
    </w:p>
    <w:p w14:paraId="6057962E">
      <w:pPr>
        <w:widowControl/>
        <w:shd w:val="clear" w:color="auto" w:fill="FFFFFF"/>
        <w:spacing w:line="360" w:lineRule="auto"/>
        <w:ind w:firstLine="560" w:firstLineChars="200"/>
        <w:rPr>
          <w:rFonts w:hint="eastAsia" w:ascii="仿宋" w:hAnsi="仿宋" w:eastAsia="仿宋" w:cs="仿宋"/>
          <w:sz w:val="28"/>
          <w:szCs w:val="28"/>
        </w:rPr>
      </w:pPr>
      <w:r>
        <w:rPr>
          <w:rFonts w:ascii="仿宋" w:hAnsi="仿宋" w:eastAsia="仿宋" w:cs="仿宋"/>
          <w:sz w:val="28"/>
          <w:szCs w:val="28"/>
        </w:rPr>
        <w:t>【问题】 督查发现，幼儿园保教质量监控工作存在形式化倾向，现有监控机制未能有效发挥指导作用。具体表现为质量监控资料内容空泛，缺乏对保教实践的过程性记录与分析；管理层对课程实施的督导浮于表面，未能针对教师专业发展需求提供实质性指导；质量评估结果运用不足，难以为保教质量提升提供有效依据。这些问题直接影响幼儿园教育教学质量的持续改进。</w:t>
      </w:r>
    </w:p>
    <w:p w14:paraId="1B295BCC">
      <w:pPr>
        <w:widowControl/>
        <w:shd w:val="clear" w:color="auto" w:fill="FFFFFF"/>
        <w:spacing w:line="360" w:lineRule="auto"/>
        <w:ind w:firstLine="560" w:firstLineChars="200"/>
        <w:rPr>
          <w:rFonts w:hint="eastAsia" w:ascii="仿宋" w:hAnsi="仿宋" w:eastAsia="仿宋" w:cs="仿宋"/>
          <w:sz w:val="28"/>
          <w:szCs w:val="28"/>
        </w:rPr>
      </w:pPr>
      <w:r>
        <w:rPr>
          <w:rFonts w:ascii="仿宋" w:hAnsi="仿宋" w:eastAsia="仿宋" w:cs="仿宋"/>
          <w:sz w:val="28"/>
          <w:szCs w:val="28"/>
        </w:rPr>
        <w:t>【建议】 现要求幼儿园重点做好以下整改工作：要着力构建科学有效的质量监控体系，转变重形式轻实效的工作方式，建立基于实证的过程性评估机制。管理层特别是园长和保教主任要切实提升专业指导能力，通过深入班级观察、定期教研指导等方式，为教师提供专业支持。同时要完善质量评估结果运用机制，将分析结果切实转化为改进措施。</w:t>
      </w:r>
    </w:p>
    <w:p w14:paraId="1CB368F8">
      <w:pPr>
        <w:widowControl/>
        <w:numPr>
          <w:ilvl w:val="0"/>
          <w:numId w:val="1"/>
        </w:numPr>
        <w:shd w:val="clear" w:color="auto" w:fill="FFFFFF"/>
        <w:spacing w:line="360" w:lineRule="auto"/>
        <w:ind w:firstLine="560" w:firstLineChars="200"/>
        <w:rPr>
          <w:rFonts w:hint="eastAsia" w:ascii="楷体" w:hAnsi="楷体" w:eastAsia="楷体" w:cs="楷体"/>
          <w:b w:val="0"/>
          <w:bCs w:val="0"/>
          <w:sz w:val="28"/>
          <w:szCs w:val="28"/>
        </w:rPr>
      </w:pPr>
      <w:r>
        <w:rPr>
          <w:rFonts w:hint="eastAsia" w:ascii="楷体" w:hAnsi="楷体" w:eastAsia="楷体" w:cs="楷体"/>
          <w:b w:val="0"/>
          <w:bCs w:val="0"/>
          <w:sz w:val="28"/>
          <w:szCs w:val="28"/>
        </w:rPr>
        <w:t>应深入贯彻“幼儿发展优先”理念，理解幼儿学习方式和特点，优化四类活动组织与实施，提升保教质量</w:t>
      </w:r>
    </w:p>
    <w:p w14:paraId="29CEACFD">
      <w:pPr>
        <w:widowControl/>
        <w:spacing w:line="360" w:lineRule="auto"/>
        <w:ind w:firstLine="560" w:firstLineChars="200"/>
        <w:contextualSpacing/>
        <w:rPr>
          <w:rFonts w:hint="eastAsia" w:ascii="仿宋" w:hAnsi="仿宋" w:eastAsia="仿宋" w:cs="仿宋"/>
          <w:bCs/>
          <w:sz w:val="28"/>
          <w:szCs w:val="28"/>
        </w:rPr>
      </w:pPr>
      <w:r>
        <w:rPr>
          <w:rFonts w:ascii="仿宋" w:hAnsi="仿宋" w:eastAsia="仿宋" w:cs="仿宋"/>
          <w:sz w:val="28"/>
          <w:szCs w:val="28"/>
        </w:rPr>
        <w:t>【</w:t>
      </w:r>
      <w:r>
        <w:rPr>
          <w:rFonts w:hint="eastAsia" w:ascii="仿宋" w:hAnsi="仿宋" w:eastAsia="仿宋" w:cs="仿宋"/>
          <w:sz w:val="28"/>
          <w:szCs w:val="28"/>
        </w:rPr>
        <w:t>问题</w:t>
      </w:r>
      <w:r>
        <w:rPr>
          <w:rFonts w:ascii="仿宋" w:hAnsi="仿宋" w:eastAsia="仿宋" w:cs="仿宋"/>
          <w:sz w:val="28"/>
          <w:szCs w:val="28"/>
        </w:rPr>
        <w:t>】</w:t>
      </w:r>
      <w:r>
        <w:rPr>
          <w:rFonts w:hint="eastAsia" w:ascii="仿宋" w:hAnsi="仿宋" w:eastAsia="仿宋" w:cs="仿宋"/>
          <w:sz w:val="28"/>
          <w:szCs w:val="28"/>
        </w:rPr>
        <w:t>一是</w:t>
      </w:r>
      <w:r>
        <w:rPr>
          <w:rFonts w:hint="eastAsia" w:ascii="仿宋" w:hAnsi="仿宋" w:eastAsia="仿宋" w:cs="仿宋"/>
          <w:bCs/>
          <w:sz w:val="28"/>
          <w:szCs w:val="28"/>
        </w:rPr>
        <w:t>生活环境在体现儿童视角方面存在不足，生活习惯培养有缺失。二是运动场地规划不合理导致幼儿运动挑战性不足，特别是缺乏长距离跑项目和大班对抗类游戏；三是集体教学活动反映出教师对幼儿的学习方式和特点理解不够，活动重难点把握不到位；四是游戏活动材料单一，未能充分满足幼儿发展需求。这些问题直接影响幼儿各领域的学习与发展。</w:t>
      </w:r>
    </w:p>
    <w:p w14:paraId="78CF36E8">
      <w:pPr>
        <w:widowControl/>
        <w:spacing w:line="360" w:lineRule="auto"/>
        <w:ind w:firstLine="560" w:firstLineChars="200"/>
        <w:contextualSpacing/>
        <w:rPr>
          <w:rFonts w:hint="eastAsia" w:ascii="仿宋" w:hAnsi="仿宋" w:eastAsia="仿宋" w:cs="仿宋"/>
          <w:bCs/>
          <w:sz w:val="28"/>
          <w:szCs w:val="28"/>
        </w:rPr>
      </w:pPr>
      <w:r>
        <w:rPr>
          <w:rFonts w:ascii="仿宋" w:hAnsi="仿宋" w:eastAsia="仿宋" w:cs="仿宋"/>
          <w:sz w:val="28"/>
          <w:szCs w:val="28"/>
        </w:rPr>
        <w:t>【建议】</w:t>
      </w:r>
      <w:r>
        <w:rPr>
          <w:rFonts w:hint="eastAsia" w:ascii="仿宋" w:hAnsi="仿宋" w:eastAsia="仿宋" w:cs="仿宋"/>
          <w:b/>
          <w:bCs/>
          <w:sz w:val="28"/>
          <w:szCs w:val="28"/>
        </w:rPr>
        <w:t>生活活动：</w:t>
      </w:r>
      <w:r>
        <w:rPr>
          <w:rFonts w:hint="eastAsia" w:ascii="仿宋" w:hAnsi="仿宋" w:eastAsia="仿宋" w:cs="仿宋"/>
          <w:sz w:val="28"/>
          <w:szCs w:val="28"/>
        </w:rPr>
        <w:t>要</w:t>
      </w:r>
      <w:r>
        <w:rPr>
          <w:rFonts w:hint="eastAsia" w:ascii="仿宋" w:hAnsi="仿宋" w:eastAsia="仿宋" w:cs="仿宋"/>
          <w:bCs/>
          <w:sz w:val="28"/>
          <w:szCs w:val="28"/>
        </w:rPr>
        <w:t>从儿童视角出发重新规划生活环境，呈现必要的生活标识；为幼儿提供更多自我服务的机会，为幼儿生活能力的可持续发展奠定基础。</w:t>
      </w:r>
      <w:r>
        <w:rPr>
          <w:rFonts w:hint="eastAsia" w:ascii="仿宋" w:hAnsi="仿宋" w:eastAsia="仿宋" w:cs="仿宋"/>
          <w:b/>
          <w:sz w:val="28"/>
          <w:szCs w:val="28"/>
        </w:rPr>
        <w:t>运动活动：</w:t>
      </w:r>
      <w:r>
        <w:rPr>
          <w:rFonts w:hint="eastAsia" w:ascii="仿宋" w:hAnsi="仿宋" w:eastAsia="仿宋" w:cs="仿宋"/>
          <w:bCs/>
          <w:sz w:val="28"/>
          <w:szCs w:val="28"/>
        </w:rPr>
        <w:t>要对现有运动场地进行合理规划与改造，利用有限空间设计长距离的路线；针对大班幼儿，增设小型对抗类游戏项目，提升运动挑战性。</w:t>
      </w:r>
      <w:r>
        <w:rPr>
          <w:rFonts w:hint="eastAsia" w:ascii="仿宋" w:hAnsi="仿宋" w:eastAsia="仿宋" w:cs="仿宋"/>
          <w:b/>
          <w:sz w:val="28"/>
          <w:szCs w:val="28"/>
        </w:rPr>
        <w:t>学习活动</w:t>
      </w:r>
      <w:r>
        <w:rPr>
          <w:rFonts w:hint="eastAsia" w:ascii="仿宋" w:hAnsi="仿宋" w:eastAsia="仿宋" w:cs="仿宋"/>
          <w:bCs/>
          <w:sz w:val="28"/>
          <w:szCs w:val="28"/>
        </w:rPr>
        <w:t>，要理解幼儿学习方式和特点，特别是大班集体教学活动中需要鼓励幼儿通过观察、记录、表征、讨论、质疑、与同伴交流、共同分享等形式进行生生互动，给予幼儿更多亲身体验、实际操作的机会。</w:t>
      </w:r>
      <w:r>
        <w:rPr>
          <w:rFonts w:hint="eastAsia" w:ascii="仿宋" w:hAnsi="仿宋" w:eastAsia="仿宋" w:cs="仿宋"/>
          <w:b/>
          <w:sz w:val="28"/>
          <w:szCs w:val="28"/>
        </w:rPr>
        <w:t>游戏活动：</w:t>
      </w:r>
      <w:r>
        <w:rPr>
          <w:rFonts w:hint="eastAsia" w:ascii="仿宋" w:hAnsi="仿宋" w:eastAsia="仿宋" w:cs="仿宋"/>
          <w:bCs/>
          <w:sz w:val="28"/>
          <w:szCs w:val="28"/>
        </w:rPr>
        <w:t>游戏的材料需要根据幼儿年龄特点进行调整；要与幼儿经常开展游戏分享、讨论、一对一倾听等，了解幼儿游戏的感受，和幼儿共建游戏的环境，不断丰富幼儿游戏的内容。</w:t>
      </w:r>
    </w:p>
    <w:p w14:paraId="407A49AF">
      <w:pPr>
        <w:widowControl/>
        <w:numPr>
          <w:ilvl w:val="0"/>
          <w:numId w:val="1"/>
        </w:numPr>
        <w:spacing w:line="360" w:lineRule="auto"/>
        <w:ind w:firstLine="560" w:firstLineChars="200"/>
        <w:contextualSpacing/>
        <w:rPr>
          <w:rFonts w:hint="eastAsia" w:ascii="楷体" w:hAnsi="楷体" w:eastAsia="楷体" w:cs="楷体"/>
          <w:b w:val="0"/>
          <w:bCs/>
          <w:sz w:val="28"/>
          <w:szCs w:val="28"/>
        </w:rPr>
      </w:pPr>
      <w:r>
        <w:rPr>
          <w:rFonts w:hint="eastAsia" w:ascii="楷体" w:hAnsi="楷体" w:eastAsia="楷体" w:cs="楷体"/>
          <w:b w:val="0"/>
          <w:bCs/>
          <w:sz w:val="28"/>
          <w:szCs w:val="28"/>
        </w:rPr>
        <w:t>幼儿园应加强卫生保健规范化管理，将科学保育理念融入三大员工作全过程各环节，保障幼儿健康成长</w:t>
      </w:r>
    </w:p>
    <w:p w14:paraId="2E698B87">
      <w:pPr>
        <w:ind w:firstLine="560" w:firstLineChars="200"/>
        <w:rPr>
          <w:rFonts w:hint="eastAsia" w:ascii="仿宋" w:hAnsi="仿宋" w:eastAsia="仿宋"/>
          <w:sz w:val="28"/>
          <w:szCs w:val="28"/>
        </w:rPr>
      </w:pPr>
      <w:r>
        <w:rPr>
          <w:rFonts w:ascii="仿宋" w:hAnsi="仿宋" w:eastAsia="仿宋" w:cs="仿宋"/>
          <w:sz w:val="28"/>
          <w:szCs w:val="28"/>
        </w:rPr>
        <w:t>【</w:t>
      </w:r>
      <w:r>
        <w:rPr>
          <w:rFonts w:hint="eastAsia" w:ascii="仿宋" w:hAnsi="仿宋" w:eastAsia="仿宋" w:cs="仿宋"/>
          <w:sz w:val="28"/>
          <w:szCs w:val="28"/>
        </w:rPr>
        <w:t>问题</w:t>
      </w:r>
      <w:r>
        <w:rPr>
          <w:rFonts w:ascii="仿宋" w:hAnsi="仿宋" w:eastAsia="仿宋" w:cs="仿宋"/>
          <w:sz w:val="28"/>
          <w:szCs w:val="28"/>
        </w:rPr>
        <w:t>】</w:t>
      </w:r>
      <w:r>
        <w:rPr>
          <w:rFonts w:hint="eastAsia" w:ascii="仿宋" w:hAnsi="仿宋" w:eastAsia="仿宋" w:cs="仿宋"/>
          <w:sz w:val="28"/>
          <w:szCs w:val="28"/>
        </w:rPr>
        <w:t>实地督导当日，各班</w:t>
      </w:r>
      <w:r>
        <w:rPr>
          <w:rFonts w:hint="eastAsia" w:ascii="仿宋" w:hAnsi="仿宋" w:eastAsia="仿宋"/>
          <w:sz w:val="28"/>
          <w:szCs w:val="28"/>
        </w:rPr>
        <w:t>早点的牛奶和饼干剩余量较多，午餐中米饭也未定量进班；菜谱食谱框架欠合理，无创新菜研发，抽查一个月的营养分析，结果显示荤菜摄入量偏高，禽肉类、水产类及蛋类的比例不合理、钙不达标，油、盐摄入量超标；个别老师对本班体弱儿不掌握，过敏儿提供医院过敏源检测报告，龋齿、视力矫治率不高；“六一”体检中体重超均值达45.05%，身高超均值达40.66%，均未达均值；</w:t>
      </w:r>
    </w:p>
    <w:p w14:paraId="221A826D">
      <w:pPr>
        <w:ind w:firstLine="560" w:firstLineChars="200"/>
        <w:rPr>
          <w:rFonts w:hint="eastAsia" w:ascii="仿宋" w:hAnsi="仿宋" w:eastAsia="仿宋"/>
          <w:sz w:val="28"/>
          <w:szCs w:val="28"/>
        </w:rPr>
      </w:pPr>
      <w:r>
        <w:rPr>
          <w:rFonts w:ascii="仿宋" w:hAnsi="仿宋" w:eastAsia="仿宋" w:cs="仿宋"/>
          <w:sz w:val="28"/>
          <w:szCs w:val="28"/>
        </w:rPr>
        <w:t>【建议】</w:t>
      </w:r>
      <w:r>
        <w:rPr>
          <w:rFonts w:hint="eastAsia" w:ascii="仿宋" w:hAnsi="仿宋" w:eastAsia="仿宋" w:cs="仿宋"/>
          <w:sz w:val="28"/>
          <w:szCs w:val="28"/>
        </w:rPr>
        <w:t>一要</w:t>
      </w:r>
      <w:r>
        <w:rPr>
          <w:rFonts w:hint="eastAsia" w:ascii="仿宋" w:hAnsi="仿宋" w:eastAsia="仿宋"/>
          <w:sz w:val="28"/>
          <w:szCs w:val="28"/>
        </w:rPr>
        <w:t>进一步加强园领导对“三大员”的日常巡查，规范各环节操作流程，围绕常规、专项巡查、半日跟踪等落实日常巡查、问题梳理与反馈整改机制；二要注重食谱框架的科学性合理性，针对营养分析结果不达标，要及时查找、分析原因，及时整改；结合幼儿喜好、年龄特点、季节、营养价值、合理搭配等相关因素，加强创新菜的研发。三要进一步加强对体弱儿的管理，加强原因分析、措施跟进及宣教，采取家、园、医协同配合，同时加强全日观察及个性化保育、护理。四要做好体检数据分析，根据体检中体重、身高均未达均值这一情况，及时查找原因，加强分析，采取相应措施，提高幼儿生长发育水平。</w:t>
      </w:r>
    </w:p>
    <w:p w14:paraId="3E62F33B">
      <w:pPr>
        <w:spacing w:line="360" w:lineRule="auto"/>
        <w:jc w:val="right"/>
        <w:rPr>
          <w:rFonts w:hint="eastAsia" w:ascii="仿宋" w:hAnsi="仿宋" w:eastAsia="仿宋" w:cs="Arial Unicode MS"/>
          <w:b/>
          <w:color w:val="FF0000"/>
          <w:kern w:val="0"/>
          <w:sz w:val="28"/>
          <w:szCs w:val="28"/>
          <w:u w:val="dottedHeavy"/>
          <w:lang w:val="zh-CN"/>
        </w:rPr>
      </w:pPr>
      <w:bookmarkStart w:id="2" w:name="_GoBack"/>
      <w:bookmarkEnd w:id="2"/>
    </w:p>
    <w:sectPr>
      <w:pgSz w:w="11906" w:h="16838"/>
      <w:pgMar w:top="1276" w:right="1800" w:bottom="12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微软雅黑 Light">
    <w:panose1 w:val="020B0502040204020203"/>
    <w:charset w:val="86"/>
    <w:family w:val="auto"/>
    <w:pitch w:val="default"/>
    <w:sig w:usb0="80000287" w:usb1="2ACF001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33BCC3"/>
    <w:multiLevelType w:val="singleLevel"/>
    <w:tmpl w:val="6B33BCC3"/>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jMGEwMjY4ZmZiOTk2OTE4Mzc5NzlmOTY1ZWMzNWYifQ=="/>
    <w:docVar w:name="KSO_WPS_MARK_KEY" w:val="611f836a-a1c6-4273-89e4-7b37859200a9"/>
  </w:docVars>
  <w:rsids>
    <w:rsidRoot w:val="00A16601"/>
    <w:rsid w:val="000947FD"/>
    <w:rsid w:val="000B1526"/>
    <w:rsid w:val="000E250B"/>
    <w:rsid w:val="0011400F"/>
    <w:rsid w:val="00182F06"/>
    <w:rsid w:val="001F6182"/>
    <w:rsid w:val="00270CE7"/>
    <w:rsid w:val="003153D3"/>
    <w:rsid w:val="00344518"/>
    <w:rsid w:val="003E5AE3"/>
    <w:rsid w:val="004000B1"/>
    <w:rsid w:val="00413731"/>
    <w:rsid w:val="00487740"/>
    <w:rsid w:val="00516B76"/>
    <w:rsid w:val="0055315C"/>
    <w:rsid w:val="005C5C15"/>
    <w:rsid w:val="0060515B"/>
    <w:rsid w:val="006C3B76"/>
    <w:rsid w:val="006E785C"/>
    <w:rsid w:val="00783442"/>
    <w:rsid w:val="007A10CE"/>
    <w:rsid w:val="008250A1"/>
    <w:rsid w:val="008410C1"/>
    <w:rsid w:val="008E4613"/>
    <w:rsid w:val="00970B27"/>
    <w:rsid w:val="009D67B1"/>
    <w:rsid w:val="009E71B5"/>
    <w:rsid w:val="00A16601"/>
    <w:rsid w:val="00A2244A"/>
    <w:rsid w:val="00A42BB4"/>
    <w:rsid w:val="00AF2E47"/>
    <w:rsid w:val="00B37EA6"/>
    <w:rsid w:val="00BC3458"/>
    <w:rsid w:val="00C4011A"/>
    <w:rsid w:val="00C4368A"/>
    <w:rsid w:val="00CC76D7"/>
    <w:rsid w:val="00D203A2"/>
    <w:rsid w:val="00D205AE"/>
    <w:rsid w:val="00E00598"/>
    <w:rsid w:val="00E4660B"/>
    <w:rsid w:val="00FA39F6"/>
    <w:rsid w:val="00FA5550"/>
    <w:rsid w:val="05660D2B"/>
    <w:rsid w:val="0A335B9D"/>
    <w:rsid w:val="0D892CAF"/>
    <w:rsid w:val="0F8F4C54"/>
    <w:rsid w:val="0FC226D4"/>
    <w:rsid w:val="17FF9975"/>
    <w:rsid w:val="1EEE9640"/>
    <w:rsid w:val="1F7D26F8"/>
    <w:rsid w:val="2225635A"/>
    <w:rsid w:val="23280EAC"/>
    <w:rsid w:val="23850D4F"/>
    <w:rsid w:val="259D531E"/>
    <w:rsid w:val="27BB6807"/>
    <w:rsid w:val="2AB40F49"/>
    <w:rsid w:val="32577224"/>
    <w:rsid w:val="380555A0"/>
    <w:rsid w:val="387243E8"/>
    <w:rsid w:val="39A50CEE"/>
    <w:rsid w:val="3EE33583"/>
    <w:rsid w:val="482E20D9"/>
    <w:rsid w:val="4CD709BB"/>
    <w:rsid w:val="4D6D5452"/>
    <w:rsid w:val="53475881"/>
    <w:rsid w:val="5C7FBF03"/>
    <w:rsid w:val="6ACB3360"/>
    <w:rsid w:val="6EFF64A6"/>
    <w:rsid w:val="6F7F8155"/>
    <w:rsid w:val="70550939"/>
    <w:rsid w:val="7773AEE4"/>
    <w:rsid w:val="79C45D4D"/>
    <w:rsid w:val="7BF78FA0"/>
    <w:rsid w:val="7C59712E"/>
    <w:rsid w:val="7FBD42E2"/>
    <w:rsid w:val="7FBEB085"/>
    <w:rsid w:val="96F70F65"/>
    <w:rsid w:val="9FB46D12"/>
    <w:rsid w:val="CE5F401D"/>
    <w:rsid w:val="DFFBF271"/>
    <w:rsid w:val="EB3F2098"/>
    <w:rsid w:val="ECDF7724"/>
    <w:rsid w:val="F77BC665"/>
    <w:rsid w:val="F7E45390"/>
    <w:rsid w:val="FBDB9EA6"/>
    <w:rsid w:val="FFDD40EE"/>
    <w:rsid w:val="FFF660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0"/>
    <w:rPr>
      <w:rFonts w:ascii="宋体" w:hAnsi="Courier New" w:cs="Courier New"/>
      <w:szCs w:val="21"/>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rPr>
      <w:sz w:val="24"/>
    </w:rPr>
  </w:style>
  <w:style w:type="character" w:styleId="8">
    <w:name w:val="Strong"/>
    <w:qFormat/>
    <w:uiPriority w:val="0"/>
    <w:rPr>
      <w:b/>
      <w:bCs/>
    </w:rPr>
  </w:style>
  <w:style w:type="character" w:styleId="9">
    <w:name w:val="page number"/>
    <w:basedOn w:val="7"/>
    <w:qFormat/>
    <w:uiPriority w:val="0"/>
  </w:style>
  <w:style w:type="character" w:customStyle="1" w:styleId="10">
    <w:name w:val="不明显参考1"/>
    <w:basedOn w:val="7"/>
    <w:qFormat/>
    <w:uiPriority w:val="31"/>
    <w:rPr>
      <w:smallCaps/>
      <w:color w:val="C0504D" w:themeColor="accent2"/>
      <w:u w:val="single"/>
      <w14:textFill>
        <w14:solidFill>
          <w14:schemeClr w14:val="accent2"/>
        </w14:solidFill>
      </w14:textFill>
    </w:rPr>
  </w:style>
  <w:style w:type="paragraph" w:customStyle="1" w:styleId="11">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12">
    <w:name w:val="正文1"/>
    <w:qFormat/>
    <w:uiPriority w:val="0"/>
    <w:pPr>
      <w:spacing w:before="160" w:line="288" w:lineRule="auto"/>
    </w:pPr>
    <w:rPr>
      <w:rFonts w:ascii="Helvetica" w:hAnsi="Helvetica" w:eastAsia="Helvetica" w:cs="Helvetica"/>
      <w:color w:val="000000"/>
      <w:sz w:val="24"/>
      <w:szCs w:val="24"/>
      <w:lang w:val="en-US" w:eastAsia="zh-CN" w:bidi="ar-SA"/>
    </w:rPr>
  </w:style>
  <w:style w:type="paragraph" w:styleId="13">
    <w:name w:val="List Paragraph"/>
    <w:basedOn w:val="1"/>
    <w:qFormat/>
    <w:uiPriority w:val="99"/>
    <w:pPr>
      <w:ind w:firstLine="420" w:firstLineChars="200"/>
    </w:pPr>
  </w:style>
  <w:style w:type="character" w:customStyle="1" w:styleId="14">
    <w:name w:val="页眉 字符"/>
    <w:basedOn w:val="7"/>
    <w:link w:val="4"/>
    <w:qFormat/>
    <w:uiPriority w:val="99"/>
    <w:rPr>
      <w:kern w:val="2"/>
      <w:sz w:val="18"/>
      <w:szCs w:val="18"/>
    </w:rPr>
  </w:style>
  <w:style w:type="character" w:customStyle="1" w:styleId="15">
    <w:name w:val="页脚 字符"/>
    <w:basedOn w:val="7"/>
    <w:link w:val="3"/>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4735</Words>
  <Characters>4807</Characters>
  <Lines>35</Lines>
  <Paragraphs>9</Paragraphs>
  <TotalTime>2</TotalTime>
  <ScaleCrop>false</ScaleCrop>
  <LinksUpToDate>false</LinksUpToDate>
  <CharactersWithSpaces>4891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2021-09-19T09:15:00Z</dcterms:created>
  <dc:creator>LENOVO</dc:creator>
  <cp:lastModifiedBy>董鸣</cp:lastModifiedBy>
  <dcterms:modified xsi:type="dcterms:W3CDTF">2025-07-11T08:45:54Z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9EC84D92A527EA05E04D4968CDF49A00_43</vt:lpwstr>
  </property>
  <property fmtid="{D5CDD505-2E9C-101B-9397-08002B2CF9AE}" pid="4" name="KSOTemplateDocerSaveRecord">
    <vt:lpwstr>eyJoZGlkIjoiOTVmN2I2MzI3M2Y4ZjJkODBmNTc3ZDkzMjE1ODg4ZTYiLCJ1c2VySWQiOiI2NDAxNDU3MzgifQ==</vt:lpwstr>
  </property>
</Properties>
</file>