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七宝中心幼儿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园办园水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  <w14:textFill>
            <w14:solidFill>
              <w14:schemeClr w14:val="tx1"/>
            </w14:solidFill>
          </w14:textFill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七宝中心幼儿园：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现将《闵行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区七宝中心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七宝中心幼儿园办园水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543D59">
      <w:pPr>
        <w:pStyle w:val="6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闵行区人民政府教育督导室</w:t>
      </w:r>
    </w:p>
    <w:p w14:paraId="279EEA22">
      <w:pPr>
        <w:pStyle w:val="6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年6月30日</w:t>
      </w: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384810</wp:posOffset>
                </wp:positionV>
                <wp:extent cx="57340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七宝镇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57340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340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年6月30日印发</w:t>
      </w:r>
    </w:p>
    <w:p w14:paraId="15FD101B">
      <w:pP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66A84EB">
      <w:pPr>
        <w:widowControl/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3C696866">
      <w:pPr>
        <w:widowControl/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960C01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闵行区七宝中心幼儿园办园水平（2020-2025）</w:t>
      </w:r>
    </w:p>
    <w:p w14:paraId="0092C2D9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综合督导意见书</w:t>
      </w:r>
    </w:p>
    <w:bookmarkEnd w:id="1"/>
    <w:p w14:paraId="6094C023">
      <w:pPr>
        <w:widowControl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教育部《幼儿园办园行为督导评估办法》和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《上海市教育督导条例》，</w:t>
      </w:r>
      <w:r>
        <w:rPr>
          <w:rFonts w:hint="eastAsia" w:ascii="仿宋" w:hAnsi="仿宋" w:eastAsia="仿宋"/>
          <w:sz w:val="28"/>
          <w:szCs w:val="28"/>
        </w:rPr>
        <w:t>闵行区人民政府教育督导室于2025年5月16日对上海市闵行区七宝中心幼儿园办园水平（2020-2025）进行了实地督导评估。实地督导前，督</w:t>
      </w:r>
      <w:r>
        <w:rPr>
          <w:rFonts w:hint="eastAsia" w:ascii="仿宋_GB2312" w:hAnsi="仿宋_GB2312" w:eastAsia="仿宋_GB2312" w:cs="仿宋_GB2312"/>
          <w:sz w:val="28"/>
          <w:szCs w:val="28"/>
        </w:rPr>
        <w:t>导组审核幼儿园提交的材料；</w:t>
      </w:r>
      <w:r>
        <w:rPr>
          <w:rFonts w:hint="eastAsia" w:ascii="仿宋" w:hAnsi="仿宋" w:eastAsia="仿宋" w:cs="仿宋"/>
          <w:kern w:val="0"/>
          <w:sz w:val="28"/>
          <w:szCs w:val="28"/>
        </w:rPr>
        <w:t>对园内146名教师以及953位家长进行问卷调查</w:t>
      </w:r>
      <w:r>
        <w:rPr>
          <w:rFonts w:hint="eastAsia" w:ascii="仿宋_GB2312" w:hAnsi="仿宋_GB2312" w:eastAsia="仿宋_GB2312" w:cs="仿宋_GB2312"/>
          <w:sz w:val="28"/>
          <w:szCs w:val="28"/>
        </w:rPr>
        <w:t>。实地督导期间，督导组通过</w:t>
      </w:r>
      <w:r>
        <w:rPr>
          <w:rFonts w:hint="eastAsia" w:ascii="仿宋" w:hAnsi="仿宋" w:eastAsia="仿宋"/>
          <w:sz w:val="28"/>
          <w:szCs w:val="28"/>
        </w:rPr>
        <w:t>听取丁春燕园长自评汇报，察看园容园貌、</w:t>
      </w:r>
      <w:r>
        <w:rPr>
          <w:rFonts w:hint="eastAsia" w:ascii="仿宋_GB2312" w:hAnsi="仿宋_GB2312" w:eastAsia="仿宋_GB2312" w:cs="仿宋_GB2312"/>
          <w:sz w:val="28"/>
          <w:szCs w:val="28"/>
        </w:rPr>
        <w:t>现场查阅资料、</w:t>
      </w:r>
      <w:r>
        <w:rPr>
          <w:rFonts w:hint="eastAsia" w:ascii="仿宋" w:hAnsi="仿宋" w:eastAsia="仿宋"/>
          <w:sz w:val="28"/>
          <w:szCs w:val="28"/>
        </w:rPr>
        <w:t>观摩一日活动各个环节，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访谈幼儿园</w:t>
      </w:r>
      <w:r>
        <w:rPr>
          <w:rFonts w:hint="eastAsia" w:ascii="仿宋" w:hAnsi="仿宋" w:eastAsia="仿宋"/>
          <w:sz w:val="28"/>
          <w:szCs w:val="28"/>
        </w:rPr>
        <w:t>园长、中层干部、教研组长、教师以及三大员16</w:t>
      </w:r>
      <w:r>
        <w:rPr>
          <w:rFonts w:hint="eastAsia" w:ascii="仿宋" w:hAnsi="仿宋" w:eastAsia="仿宋" w:cs="仿宋"/>
          <w:kern w:val="0"/>
          <w:sz w:val="28"/>
          <w:szCs w:val="28"/>
        </w:rPr>
        <w:t>人次。</w:t>
      </w:r>
    </w:p>
    <w:p w14:paraId="0BC24C79">
      <w:pPr>
        <w:spacing w:line="360" w:lineRule="auto"/>
        <w:ind w:firstLine="562" w:firstLineChars="200"/>
        <w:rPr>
          <w:rFonts w:ascii="Segoe UI" w:hAnsi="Segoe UI" w:eastAsia="Segoe UI" w:cs="Segoe UI"/>
          <w:sz w:val="24"/>
          <w:szCs w:val="24"/>
          <w:shd w:val="clear" w:color="auto" w:fill="FFFFFF"/>
          <w:lang w:val="zh-TW"/>
        </w:rPr>
      </w:pPr>
      <w:r>
        <w:rPr>
          <w:rStyle w:val="10"/>
          <w:rFonts w:ascii="仿宋" w:hAnsi="仿宋" w:eastAsia="仿宋" w:cs="仿宋_GB2312"/>
          <w:b/>
          <w:bCs/>
          <w:sz w:val="28"/>
          <w:szCs w:val="28"/>
          <w:lang w:val="zh-TW" w:eastAsia="zh-TW"/>
        </w:rPr>
        <w:t>综合分析各类信息，督导组认为：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上海市闵行区</w:t>
      </w:r>
      <w:r>
        <w:rPr>
          <w:rFonts w:hint="eastAsia" w:ascii="仿宋" w:hAnsi="仿宋" w:eastAsia="仿宋"/>
          <w:sz w:val="28"/>
          <w:szCs w:val="28"/>
        </w:rPr>
        <w:t>七宝中心幼儿园“一园五部”办园规模，现有36个班级861名幼儿，与七宝幼儿园（示范园）同属一个支部、一个行政团队管理，形成“一体化发展”模式。园所秉承“时尚、传承、和谐”办园理念与“根植童心 育德启蒙”教育理念，五部自主发展、协同共进。近五年获上海市文明单位等多项市级荣誉，是闵行区多项培训基地。以传统民俗文化为特色，培育出兼具传统情与创新力的“七宝智慧娃”，打造出专业自信的教师团队和高执行力的管理团队，园所发展在区域乃至上海市颇具影响力。</w:t>
      </w:r>
    </w:p>
    <w:p w14:paraId="1EB381AF">
      <w:pPr>
        <w:widowControl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依据《闵行区中小学（幼儿园）办学水平（2020-2025）综合督导方案》，对照督导指标，提出如下评估意见。</w:t>
      </w:r>
    </w:p>
    <w:p w14:paraId="38799B89">
      <w:pPr>
        <w:widowControl/>
        <w:numPr>
          <w:ilvl w:val="0"/>
          <w:numId w:val="1"/>
        </w:numPr>
        <w:spacing w:line="360" w:lineRule="auto"/>
        <w:ind w:firstLine="560" w:firstLineChars="200"/>
        <w:rPr>
          <w:rStyle w:val="10"/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主要做法与成效</w:t>
      </w:r>
    </w:p>
    <w:p w14:paraId="499BAC50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  <w:t>党建领航，多园部治理显示现代化成效</w:t>
      </w:r>
    </w:p>
    <w:p w14:paraId="035C0E0E">
      <w:pPr>
        <w:widowControl/>
        <w:spacing w:line="360" w:lineRule="auto"/>
        <w:ind w:firstLine="560" w:firstLineChars="200"/>
        <w:rPr>
          <w:rStyle w:val="10"/>
          <w:rFonts w:ascii="仿宋" w:hAnsi="仿宋" w:eastAsia="仿宋" w:cs="仿宋_GB2312"/>
          <w:bCs/>
          <w:sz w:val="28"/>
          <w:szCs w:val="28"/>
        </w:rPr>
      </w:pPr>
      <w:r>
        <w:rPr>
          <w:rStyle w:val="10"/>
          <w:rFonts w:ascii="仿宋" w:hAnsi="仿宋" w:eastAsia="仿宋" w:cs="仿宋_GB2312"/>
          <w:bCs/>
          <w:sz w:val="28"/>
          <w:szCs w:val="28"/>
        </w:rPr>
        <w:t>幼儿园以党建引领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推进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园务治理现代化，构建 “党建引领、业务融合、协同发展”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管理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模式，创新“1+5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”支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部联建模式，将党组织领导的园长负责制纳入章程，完善党员积分管理与 “三会一课”制度，年均开展主题党日等浸润式教育活动超12场，依托《发挥党组织在学校治理中领导作用研究》市级课题研究，彰显党建引领实效。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彰显党建引领成效。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园所确立“时尚、传承、和谐”办园理念与“以人为本，相互成就”文化核心，通过多方调研制定兼具前瞻性与实操性的五年发展规划，形成“目标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—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执行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—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反思”闭环管理机制，精准对接学期计划与部门工作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，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推动“七宝智慧娃”培养体系全面落地。构建以章程为核心的制度体系，落实“立改废”动态优化机制，依托教代会推进 “三重一大”决策公开，通过提案征集、集体决策、结果公示的闭环管理强化民主监督，搭建教职工、家长、社区多方参与的治理平台，联合社区共建“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3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公里”特色活动圈开发民俗课程，形成“园所主导、家庭配合、社区支持”的多元共育生态，实现管理流程透明化与制度执行规范化，全面提升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多园部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治理效能。教师与家长总体满意率超 97%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。</w:t>
      </w:r>
    </w:p>
    <w:p w14:paraId="18F2CC6E">
      <w:pPr>
        <w:widowControl/>
        <w:spacing w:line="360" w:lineRule="auto"/>
        <w:ind w:firstLine="560" w:firstLineChars="200"/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  <w:t>课程赋能，五部协同提升保教实施质量</w:t>
      </w:r>
    </w:p>
    <w:p w14:paraId="129A41BD">
      <w:pPr>
        <w:widowControl/>
        <w:spacing w:line="360" w:lineRule="auto"/>
        <w:ind w:firstLine="560" w:firstLineChars="200"/>
        <w:rPr>
          <w:rStyle w:val="10"/>
          <w:rFonts w:ascii="仿宋" w:hAnsi="仿宋" w:eastAsia="仿宋" w:cs="仿宋_GB2312"/>
          <w:bCs/>
          <w:sz w:val="28"/>
          <w:szCs w:val="28"/>
        </w:rPr>
      </w:pP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幼儿园以“根植童心 育德启蒙”为核心理念，构建“基础+特色”双轨课程方案：基础性课程保障幼儿全面发展，特色课程五个园部各展所长：广海园“民俗+阅读”、莱茵园“民俗+泥塑”、叠彩园“民俗+体育”、佳宝园“民俗+纸艺”、万泰园“民俗+艺术”，从文化感知、动手实践、体能锻炼等多维度落实课程理念。幼儿园构建“制度-监控-教研”三位一体保教管理体系，推行“园部自治、班级自理”分级管理，平衡规范与创新；质量监控引入示范园骨干教师驻点陪伴机制、专项督导介入，帮助教师优化课程实施，结合园长统筹、家长监督、幼儿参与的多主体评价，反哺实践动态调整教学策略；实施“大教研统整、小教研突破”模式，聚焦课程优化与教学细节攻坚，推动教研成果高效转化。保教实施中，践行“幼儿发展优先”理念，推行“块面式”弹性作息适时调整活动；通过深度观察、一对一倾听提供分层支持；追随幼儿兴趣需求更新环境，关注幼儿创新思维培养，运用“幼儿自评+同伴互评+教师点评”三方评价，让教学成为幼儿的主张和主体，保教管理与实施互为作用，实现教育质量整体提升。</w:t>
      </w:r>
    </w:p>
    <w:p w14:paraId="3FDDE876">
      <w:pPr>
        <w:widowControl/>
        <w:spacing w:line="360" w:lineRule="auto"/>
        <w:ind w:firstLine="560" w:firstLineChars="200"/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三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  <w:t>多维强基，分层培育促进教师梯队成长</w:t>
      </w:r>
    </w:p>
    <w:p w14:paraId="47A3E737">
      <w:pPr>
        <w:widowControl/>
        <w:spacing w:line="360" w:lineRule="auto"/>
        <w:ind w:firstLine="560" w:firstLineChars="200"/>
        <w:rPr>
          <w:rStyle w:val="10"/>
          <w:rFonts w:ascii="仿宋" w:hAnsi="仿宋" w:eastAsia="仿宋" w:cs="仿宋_GB2312"/>
          <w:bCs/>
          <w:sz w:val="28"/>
          <w:szCs w:val="28"/>
        </w:rPr>
      </w:pPr>
      <w:r>
        <w:rPr>
          <w:rStyle w:val="10"/>
          <w:rFonts w:ascii="仿宋" w:hAnsi="仿宋" w:eastAsia="仿宋" w:cs="仿宋_GB2312"/>
          <w:bCs/>
          <w:sz w:val="28"/>
          <w:szCs w:val="28"/>
        </w:rPr>
        <w:t>幼儿园以“夯实基础，分层培养”为抓手推进队伍建设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，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科学配置师资力量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。五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园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部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133名教职工服务36个班级861名幼儿，师生比达标，专任教师学历100%合格，平均年龄33.69 岁，含正高级教师1人、高级教师 3人等多层次专业人才，全员持证上岗，结构合理；强化师德师风建设，制定《师德建设规章制度》，实施承诺书签订、月考核及“一票否决”机制，通过“师道论坛”等活动弘扬“七幼精神，形成“以人为本，相互成就”的文化氛围；构建“职初型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—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发展型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—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骨干型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”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三级培养梯队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和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“师德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—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专业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—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协作”三位一体的教师发展体系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，青年教师“青研社”、骨干教师工作室、学科带头人学联体等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打造结构优化、师德过硬、业务精湛的师资队伍。2024 年党支部发布了自编的《师德师风手册》实施“双培”工程，将骨干教师培养成党员、党员教师培养成骨干，充分发挥骨干党员的示范引领作用，形成了“红雁齐飞”的骨干团队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，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充分发挥教师专业共同体的加速度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发展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 xml:space="preserve">。 </w:t>
      </w:r>
    </w:p>
    <w:p w14:paraId="42E034A0">
      <w:pPr>
        <w:widowControl/>
        <w:spacing w:line="360" w:lineRule="auto"/>
        <w:ind w:firstLine="560" w:firstLineChars="200"/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四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  <w:t>防控筑堤，全方位守护幼儿身心健康</w:t>
      </w:r>
    </w:p>
    <w:p w14:paraId="55C494BD">
      <w:pPr>
        <w:widowControl/>
        <w:spacing w:line="360" w:lineRule="auto"/>
        <w:ind w:firstLine="560" w:firstLineChars="200"/>
        <w:rPr>
          <w:rFonts w:ascii="Segoe UI" w:hAnsi="Segoe UI" w:eastAsia="Segoe UI" w:cs="Segoe UI"/>
          <w:kern w:val="0"/>
          <w:sz w:val="24"/>
          <w:szCs w:val="24"/>
          <w:shd w:val="clear" w:color="auto" w:fill="FFFFFF"/>
        </w:rPr>
      </w:pPr>
      <w:r>
        <w:rPr>
          <w:rStyle w:val="10"/>
          <w:rFonts w:ascii="仿宋" w:hAnsi="仿宋" w:eastAsia="仿宋" w:cs="仿宋_GB2312"/>
          <w:bCs/>
          <w:sz w:val="28"/>
          <w:szCs w:val="28"/>
        </w:rPr>
        <w:t>幼儿园通过“5S管理法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”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细化后勤操作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，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建立“预警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—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响应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—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处置”传染病应急机制，结合“明厨亮灶”全覆盖监督食品加工流程，全链条筑牢风险屏障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，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部分园区获“市级食品安全示范店”称号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。积极开展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课题研究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提升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健康管理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水平，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规范梳理保健档案与数据，2023-2024学年幼儿视力低常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发生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率从6.05% 降至5.31%，龋齿发生率4.89%且100%落实矫治，以科学数据支撑健康干预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。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五园部食具环境物品表面细菌检测连续两年符合卫生标准，通过标准化操作阻断传染风险；结合季节与幼儿特点制定带量食谱并公示，每月开展营养分析、推出创新菜品，落实行政陪餐收集反馈，确保膳食科学均衡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。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实施“一人一策”个性化方案，联合社区医院建立肥胖儿护理手册与矫治网络，通过手环数据跟踪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，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“园所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—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家庭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—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社区”协同机制，实现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科学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化健康支持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和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全方位安全卫生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守护。</w:t>
      </w:r>
    </w:p>
    <w:p w14:paraId="5247217B">
      <w:pPr>
        <w:widowControl/>
        <w:spacing w:line="360" w:lineRule="auto"/>
        <w:ind w:firstLine="560" w:firstLineChars="200"/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  <w:t>资源固本，安全和经费</w:t>
      </w:r>
      <w:bookmarkStart w:id="0" w:name="OLE_LINK8"/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  <w:t>使用高效协同</w:t>
      </w:r>
    </w:p>
    <w:p w14:paraId="13C1DF3F">
      <w:pPr>
        <w:widowControl/>
        <w:spacing w:line="360" w:lineRule="auto"/>
        <w:ind w:firstLine="560" w:firstLineChars="200"/>
        <w:rPr>
          <w:rStyle w:val="10"/>
          <w:rFonts w:ascii="仿宋" w:hAnsi="仿宋" w:eastAsia="仿宋" w:cs="仿宋_GB2312"/>
          <w:bCs/>
          <w:sz w:val="28"/>
          <w:szCs w:val="28"/>
        </w:rPr>
      </w:pP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五个园部在园舍、场地条件和绿化率均符合标准，均配置了大型运动器械以及各类运动材料，材料丰富，沙水池和种植园地，操作材料丰富。聚焦幼儿发展和安全需求，对每个园部进行硬件翻新和升级改建。</w:t>
      </w:r>
      <w:bookmarkEnd w:id="0"/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20余项安全制度覆盖关键岗位、重点部位、安全预案，严格落实一园五址层级报送、逐级监督的检查巡视，形成“计划—执行—监督—反馈 ”的闭环管理机制。全员签订安全责任书和完成急救培训，实现“岗位到人、责任到点”，近三年责任事故“零发生”。创新采用“警园家 ”三方联动模式，开展安全教育活动和安全演练活动、宣教，注重日常安全检查、定期校园技防设施设备的维保和监控视频全覆盖，落实“日、周、月”三级巡检机制。财务管理制度完善，资产管理专人专岗，建立动态台账记录。执行代办费征询、“阳光收费”公示、伙食费专款专用制度，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伙食费盈亏控制在 ±2% 以内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，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资源配置、安全保障与经费使用高效协同。</w:t>
      </w:r>
    </w:p>
    <w:p w14:paraId="23B80304">
      <w:pPr>
        <w:widowControl/>
        <w:spacing w:line="360" w:lineRule="auto"/>
        <w:ind w:firstLine="560" w:firstLineChars="200"/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六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  <w:t>示范立峰，园所发展形成辐射型效应</w:t>
      </w:r>
    </w:p>
    <w:p w14:paraId="158C13DE">
      <w:pPr>
        <w:widowControl/>
        <w:spacing w:line="360" w:lineRule="auto"/>
        <w:ind w:firstLine="560" w:firstLineChars="200"/>
        <w:rPr>
          <w:rStyle w:val="10"/>
          <w:rFonts w:ascii="仿宋" w:hAnsi="仿宋" w:eastAsia="仿宋" w:cs="仿宋_GB2312"/>
          <w:bCs/>
          <w:sz w:val="28"/>
          <w:szCs w:val="28"/>
        </w:rPr>
      </w:pPr>
      <w:r>
        <w:rPr>
          <w:rStyle w:val="10"/>
          <w:rFonts w:ascii="仿宋" w:hAnsi="仿宋" w:eastAsia="仿宋" w:cs="仿宋_GB2312"/>
          <w:bCs/>
          <w:sz w:val="28"/>
          <w:szCs w:val="28"/>
        </w:rPr>
        <w:t>幼儿园以幼儿发展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优先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为核心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理念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，通过多元培育实现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幼儿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多领域成长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。幼儿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对人大方有礼，运动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中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动作协调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有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安全意识，生活中呈现有序从容的自我管理能力；幼儿参与班级公约制定、社区民俗场馆实践及活动节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，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能自信清晰分享观点、提出疑问，实现语言与思维的协同发展，充分体现健康、社会、学习等领域的综合发展成效。</w:t>
      </w:r>
    </w:p>
    <w:p w14:paraId="7A1AAEC4">
      <w:pPr>
        <w:widowControl/>
        <w:spacing w:line="360" w:lineRule="auto"/>
        <w:ind w:firstLine="560" w:firstLineChars="200"/>
        <w:rPr>
          <w:rStyle w:val="10"/>
          <w:rFonts w:ascii="仿宋" w:hAnsi="仿宋" w:eastAsia="仿宋" w:cs="仿宋_GB2312"/>
          <w:bCs/>
          <w:sz w:val="28"/>
          <w:szCs w:val="28"/>
          <w:lang w:val="zh-TW"/>
        </w:rPr>
      </w:pP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幼儿园充分发挥示范辐射作用。园长为上海市特级园长、正高级职称，担任区园长培训基地及攻关计划项目主持人，承接上海市教师专业发展基地、区特色课程基地等九类重点培训任务。累计承担市、区级课题94项，发表文章13篇，出版专著三部。近年来获上海市文明单位、上海市三八红旗集体等10余项荣誉，连续多年蝉联区绩效考核一等奖，办园成效获广泛认可。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“多园部协同治理”吸引市内外园所参访，形成 “理念统一、特色多元、资源共享”的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辐射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效应，构建超大型园所治理的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有效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范式。</w:t>
      </w:r>
    </w:p>
    <w:p w14:paraId="5713649F">
      <w:pPr>
        <w:widowControl/>
        <w:spacing w:line="360" w:lineRule="auto"/>
        <w:ind w:firstLine="560" w:firstLineChars="200"/>
        <w:rPr>
          <w:rStyle w:val="10"/>
          <w:rFonts w:hint="eastAsia" w:ascii="黑体" w:hAnsi="黑体" w:eastAsia="黑体" w:cs="黑体"/>
          <w:b w:val="0"/>
          <w:bCs w:val="0"/>
          <w:sz w:val="28"/>
          <w:szCs w:val="28"/>
          <w:lang w:val="zh-TW"/>
        </w:rPr>
      </w:pPr>
      <w:r>
        <w:rPr>
          <w:rStyle w:val="10"/>
          <w:rFonts w:hint="eastAsia" w:ascii="黑体" w:hAnsi="黑体" w:eastAsia="黑体" w:cs="黑体"/>
          <w:b w:val="0"/>
          <w:bCs w:val="0"/>
          <w:sz w:val="28"/>
          <w:szCs w:val="28"/>
          <w:lang w:val="zh-TW"/>
        </w:rPr>
        <w:t>二、</w:t>
      </w:r>
      <w:r>
        <w:rPr>
          <w:rStyle w:val="10"/>
          <w:rFonts w:hint="eastAsia" w:ascii="黑体" w:hAnsi="黑体" w:eastAsia="黑体" w:cs="黑体"/>
          <w:b w:val="0"/>
          <w:bCs w:val="0"/>
          <w:sz w:val="28"/>
          <w:szCs w:val="28"/>
          <w:lang w:val="zh-TW" w:eastAsia="zh-TW"/>
        </w:rPr>
        <w:t>存在的主要问题与改进建议</w:t>
      </w:r>
    </w:p>
    <w:p w14:paraId="068BCC22">
      <w:pPr>
        <w:widowControl/>
        <w:spacing w:line="360" w:lineRule="auto"/>
        <w:ind w:firstLine="560" w:firstLineChars="200"/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zh-TW"/>
        </w:rPr>
      </w:pP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zh-CN"/>
        </w:rPr>
        <w:t>（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zh-CN"/>
        </w:rPr>
        <w:t>）进一步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  <w:t>聚力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zh-CN"/>
        </w:rPr>
        <w:t>制度文化双驱，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  <w:t>提升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zh-CN"/>
        </w:rPr>
        <w:t>多部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  <w:t>管理精度</w:t>
      </w:r>
    </w:p>
    <w:p w14:paraId="0066AB36">
      <w:pPr>
        <w:widowControl/>
        <w:spacing w:line="360" w:lineRule="auto"/>
        <w:ind w:firstLine="560" w:firstLineChars="200"/>
        <w:rPr>
          <w:rFonts w:ascii="仿宋" w:hAnsi="仿宋" w:eastAsia="仿宋" w:cs="Arial Unicode MS"/>
          <w:sz w:val="28"/>
          <w:szCs w:val="28"/>
        </w:rPr>
      </w:pPr>
      <w:r>
        <w:rPr>
          <w:rStyle w:val="10"/>
          <w:rFonts w:hint="eastAsia" w:ascii="仿宋" w:hAnsi="仿宋" w:eastAsia="仿宋" w:cs="仿宋_GB2312"/>
          <w:bCs/>
          <w:sz w:val="28"/>
          <w:szCs w:val="28"/>
          <w:lang w:val="zh-CN"/>
        </w:rPr>
        <w:t>【问题】</w:t>
      </w:r>
      <w:r>
        <w:rPr>
          <w:rStyle w:val="10"/>
          <w:rFonts w:ascii="仿宋" w:hAnsi="仿宋" w:eastAsia="仿宋" w:cs="仿宋_GB2312"/>
          <w:bCs/>
          <w:sz w:val="28"/>
          <w:szCs w:val="28"/>
        </w:rPr>
        <w:t>一园五部协同发展中精细化管理待提升，“以人为本” 文化理念缺乏系统规划。</w:t>
      </w:r>
      <w:r>
        <w:rPr>
          <w:rFonts w:ascii="仿宋" w:hAnsi="仿宋" w:eastAsia="仿宋" w:cs="Arial Unicode MS"/>
          <w:sz w:val="28"/>
          <w:szCs w:val="28"/>
        </w:rPr>
        <w:br w:type="textWrapping"/>
      </w:r>
      <w:r>
        <w:rPr>
          <w:rFonts w:hint="eastAsia" w:ascii="仿宋" w:hAnsi="仿宋" w:eastAsia="仿宋" w:cs="Arial Unicode MS"/>
          <w:sz w:val="28"/>
          <w:szCs w:val="28"/>
        </w:rPr>
        <w:t xml:space="preserve">    【建议】</w:t>
      </w:r>
      <w:r>
        <w:rPr>
          <w:rFonts w:ascii="仿宋" w:hAnsi="仿宋" w:eastAsia="仿宋" w:cs="Arial Unicode MS"/>
          <w:sz w:val="28"/>
          <w:szCs w:val="28"/>
        </w:rPr>
        <w:t>构建“总园统筹—分园自治”管理网络，制定《跨园部操作手册》，</w:t>
      </w:r>
      <w:r>
        <w:rPr>
          <w:rFonts w:hint="eastAsia" w:ascii="仿宋" w:hAnsi="仿宋" w:eastAsia="仿宋" w:cs="Arial Unicode MS"/>
          <w:sz w:val="28"/>
          <w:szCs w:val="28"/>
        </w:rPr>
        <w:t>明确管理协同、课程资源共享等标准化流程，对园部发展共性瓶颈</w:t>
      </w:r>
      <w:r>
        <w:rPr>
          <w:rFonts w:ascii="仿宋" w:hAnsi="仿宋" w:eastAsia="仿宋" w:cs="Arial Unicode MS"/>
          <w:sz w:val="28"/>
          <w:szCs w:val="28"/>
        </w:rPr>
        <w:t>实施“分层分类”靶向管理；将文化理念纳入五年规划，通过“理念可视化（环境创设）</w:t>
      </w:r>
      <w:r>
        <w:rPr>
          <w:rFonts w:hint="eastAsia" w:ascii="仿宋" w:hAnsi="仿宋" w:eastAsia="仿宋" w:cs="Arial Unicode MS"/>
          <w:sz w:val="28"/>
          <w:szCs w:val="28"/>
        </w:rPr>
        <w:t>—</w:t>
      </w:r>
      <w:r>
        <w:rPr>
          <w:rFonts w:ascii="仿宋" w:hAnsi="仿宋" w:eastAsia="仿宋" w:cs="Arial Unicode MS"/>
          <w:sz w:val="28"/>
          <w:szCs w:val="28"/>
        </w:rPr>
        <w:t>行为规范化（教职工公约）</w:t>
      </w:r>
      <w:r>
        <w:rPr>
          <w:rFonts w:hint="eastAsia" w:ascii="仿宋" w:hAnsi="仿宋" w:eastAsia="仿宋" w:cs="Arial Unicode MS"/>
          <w:sz w:val="28"/>
          <w:szCs w:val="28"/>
        </w:rPr>
        <w:t>—</w:t>
      </w:r>
      <w:r>
        <w:rPr>
          <w:rFonts w:ascii="仿宋" w:hAnsi="仿宋" w:eastAsia="仿宋" w:cs="Arial Unicode MS"/>
          <w:sz w:val="28"/>
          <w:szCs w:val="28"/>
        </w:rPr>
        <w:t>成效量化评估（文化认同度调研）”三阶路径，推动“相互成就”理念融入教研活动、</w:t>
      </w:r>
      <w:r>
        <w:rPr>
          <w:rFonts w:hint="eastAsia" w:ascii="仿宋" w:hAnsi="仿宋" w:eastAsia="仿宋" w:cs="Arial Unicode MS"/>
          <w:sz w:val="28"/>
          <w:szCs w:val="28"/>
        </w:rPr>
        <w:t>教学现场、</w:t>
      </w:r>
      <w:r>
        <w:rPr>
          <w:rFonts w:ascii="仿宋" w:hAnsi="仿宋" w:eastAsia="仿宋" w:cs="Arial Unicode MS"/>
          <w:sz w:val="28"/>
          <w:szCs w:val="28"/>
        </w:rPr>
        <w:t>家长</w:t>
      </w:r>
      <w:r>
        <w:rPr>
          <w:rFonts w:hint="eastAsia" w:ascii="仿宋" w:hAnsi="仿宋" w:eastAsia="仿宋" w:cs="Arial Unicode MS"/>
          <w:sz w:val="28"/>
          <w:szCs w:val="28"/>
        </w:rPr>
        <w:t>共育</w:t>
      </w:r>
      <w:r>
        <w:rPr>
          <w:rFonts w:ascii="仿宋" w:hAnsi="仿宋" w:eastAsia="仿宋" w:cs="Arial Unicode MS"/>
          <w:sz w:val="28"/>
          <w:szCs w:val="28"/>
        </w:rPr>
        <w:t>等场景</w:t>
      </w:r>
      <w:r>
        <w:rPr>
          <w:rFonts w:hint="eastAsia" w:ascii="仿宋" w:hAnsi="仿宋" w:eastAsia="仿宋" w:cs="Arial Unicode MS"/>
          <w:sz w:val="28"/>
          <w:szCs w:val="28"/>
        </w:rPr>
        <w:t>，</w:t>
      </w:r>
      <w:r>
        <w:rPr>
          <w:rFonts w:ascii="仿宋" w:hAnsi="仿宋" w:eastAsia="仿宋" w:cs="Arial Unicode MS"/>
          <w:sz w:val="28"/>
          <w:szCs w:val="28"/>
        </w:rPr>
        <w:t>每年开展文化落地成效评估，确保理念转化为治理效能。</w:t>
      </w:r>
    </w:p>
    <w:p w14:paraId="72D56F64">
      <w:pPr>
        <w:widowControl/>
        <w:spacing w:line="360" w:lineRule="auto"/>
        <w:ind w:firstLine="560" w:firstLineChars="200"/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Style w:val="10"/>
          <w:rFonts w:hint="eastAsia" w:ascii="楷体" w:hAnsi="楷体" w:eastAsia="楷体" w:cs="楷体"/>
          <w:b w:val="0"/>
          <w:bCs w:val="0"/>
          <w:sz w:val="28"/>
          <w:szCs w:val="28"/>
        </w:rPr>
        <w:t>进一步聚焦艺术素养培育，促进课程均衡发展</w:t>
      </w:r>
    </w:p>
    <w:p w14:paraId="0A28A345">
      <w:pPr>
        <w:widowControl/>
        <w:spacing w:line="360" w:lineRule="auto"/>
        <w:ind w:firstLine="560" w:firstLineChars="200"/>
        <w:rPr>
          <w:rStyle w:val="10"/>
          <w:rFonts w:ascii="仿宋" w:hAnsi="仿宋" w:eastAsia="仿宋" w:cs="仿宋_GB2312"/>
          <w:bCs/>
          <w:sz w:val="28"/>
          <w:szCs w:val="28"/>
        </w:rPr>
      </w:pPr>
      <w:r>
        <w:rPr>
          <w:rStyle w:val="10"/>
          <w:rFonts w:hint="eastAsia" w:ascii="仿宋" w:hAnsi="仿宋" w:eastAsia="仿宋" w:cs="仿宋_GB2312"/>
          <w:bCs/>
          <w:sz w:val="28"/>
          <w:szCs w:val="28"/>
          <w:lang w:val="zh-CN"/>
        </w:rPr>
        <w:t>【问题】</w:t>
      </w: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艺术领域发展薄弱，课程均衡性不足，环境材料与教研支持缺乏系统性设计。未充分发挥对幼儿艺术素养的培养价值。</w:t>
      </w:r>
    </w:p>
    <w:p w14:paraId="0B0EFE3D">
      <w:pPr>
        <w:widowControl/>
        <w:spacing w:line="360" w:lineRule="auto"/>
        <w:ind w:firstLine="560" w:firstLineChars="200"/>
        <w:rPr>
          <w:rFonts w:ascii="仿宋" w:hAnsi="仿宋" w:eastAsia="仿宋" w:cs="Arial Unicode MS"/>
          <w:sz w:val="28"/>
          <w:szCs w:val="28"/>
        </w:rPr>
      </w:pPr>
      <w:r>
        <w:rPr>
          <w:rStyle w:val="10"/>
          <w:rFonts w:hint="eastAsia" w:ascii="仿宋" w:hAnsi="仿宋" w:eastAsia="仿宋" w:cs="仿宋_GB2312"/>
          <w:bCs/>
          <w:sz w:val="28"/>
          <w:szCs w:val="28"/>
        </w:rPr>
        <w:t>【建议】以“多维融合创新突破，协同赋能艺术发展”为导向推进改进：在课程融合层面，将科学运动、民俗童谣、传统工艺等元素转化为音乐、美术课程内容，设计主题鲜明的艺术活动，鼓励幼儿在探究和游戏中深化体验；环境优化上，设立“艺术材料角”并投放发声工具、半成品材料，打造动态展示区与开放性空间，营造浸润式艺术表达氛围，支持幼儿自主创造；教研引领方面，开展“各领域+艺术”主题教研，联合特级教师组建骨干团队，将艺术领域培养要求转化为课程实施能力，建立资源库并立项重点课题，提升艺术</w:t>
      </w:r>
      <w:r>
        <w:rPr>
          <w:rFonts w:hint="eastAsia" w:ascii="仿宋" w:hAnsi="仿宋" w:eastAsia="仿宋" w:cs="Arial Unicode MS"/>
          <w:sz w:val="28"/>
          <w:szCs w:val="28"/>
        </w:rPr>
        <w:t>教育系统性与幼儿艺术素养培育成效，在区域范围内形成可辐射的教研经验。</w:t>
      </w:r>
    </w:p>
    <w:p w14:paraId="35ADB610">
      <w:pPr>
        <w:widowControl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进一步提质骨干队伍建设，拓展专业辐射能级</w:t>
      </w:r>
    </w:p>
    <w:p w14:paraId="512D4332">
      <w:pPr>
        <w:widowControl/>
        <w:spacing w:line="360" w:lineRule="auto"/>
        <w:ind w:firstLine="560" w:firstLineChars="200"/>
        <w:rPr>
          <w:rFonts w:ascii="仿宋" w:hAnsi="仿宋" w:eastAsia="仿宋" w:cs="Arial Unicode MS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Arial Unicode MS"/>
          <w:sz w:val="28"/>
          <w:szCs w:val="28"/>
        </w:rPr>
        <w:t>高级教师比例偏低，骨干引领不足，管理团队年轻化，不同梯队教师专业话语权与影响力有待提升。</w:t>
      </w:r>
    </w:p>
    <w:p w14:paraId="76C6585F">
      <w:pPr>
        <w:widowControl/>
        <w:spacing w:line="360" w:lineRule="auto"/>
        <w:ind w:firstLine="560" w:firstLineChars="200"/>
        <w:rPr>
          <w:rFonts w:ascii="仿宋" w:hAnsi="仿宋" w:eastAsia="仿宋" w:cs="Arial Unicode MS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</w:rPr>
        <w:t>【建议】一方面聚焦高级教师培养，通过系统研修提升专业水准，建立职称晋升激励机制，靶向突破专业发展瓶颈；另一方面精准规划青年教师成长路径，依托“名师引领 + 个性化培养”模式助力其向名教师转型；拓展骨干教师辐射能级，通过跨园教学指导、区域教研联动等形式扩大专业影响力，逐步构建“结构优化、骨干引领、辐射广泛”的教师队伍发展新格局，切实提升园所教育品牌的区域竞争力。</w:t>
      </w:r>
    </w:p>
    <w:p w14:paraId="542BF7FC">
      <w:pPr>
        <w:widowControl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进一步强化保教协同机制，细化卫生保健管理</w:t>
      </w:r>
    </w:p>
    <w:p w14:paraId="55AD197C">
      <w:pPr>
        <w:widowControl/>
        <w:spacing w:line="360" w:lineRule="auto"/>
        <w:ind w:firstLine="560" w:firstLineChars="200"/>
        <w:rPr>
          <w:rFonts w:ascii="仿宋" w:hAnsi="仿宋" w:eastAsia="仿宋" w:cs="Arial Unicode MS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Arial Unicode MS"/>
          <w:sz w:val="28"/>
          <w:szCs w:val="28"/>
        </w:rPr>
        <w:t>幼儿缺勤健康追踪机制不健全，</w:t>
      </w:r>
      <w:r>
        <w:rPr>
          <w:rFonts w:ascii="仿宋" w:hAnsi="仿宋" w:eastAsia="仿宋" w:cs="Arial Unicode MS"/>
          <w:sz w:val="28"/>
          <w:szCs w:val="28"/>
        </w:rPr>
        <w:t>未及时准确掌握幼儿缺勤原因，缺乏因病缺勤的诊断证明收集与系统记录；</w:t>
      </w:r>
      <w:r>
        <w:rPr>
          <w:rFonts w:hint="eastAsia" w:ascii="仿宋" w:hAnsi="仿宋" w:eastAsia="仿宋" w:cs="Arial Unicode MS"/>
          <w:sz w:val="28"/>
          <w:szCs w:val="28"/>
        </w:rPr>
        <w:t>体弱儿界定模糊，保教配合缺乏明确依据</w:t>
      </w:r>
      <w:r>
        <w:rPr>
          <w:rFonts w:ascii="仿宋" w:hAnsi="仿宋" w:eastAsia="仿宋" w:cs="Arial Unicode MS"/>
          <w:sz w:val="28"/>
          <w:szCs w:val="28"/>
        </w:rPr>
        <w:t>，协同护理的默契度与专业性不足。</w:t>
      </w:r>
    </w:p>
    <w:p w14:paraId="1419D252">
      <w:pPr>
        <w:widowControl/>
        <w:spacing w:line="360" w:lineRule="auto"/>
        <w:ind w:firstLine="560" w:firstLineChars="200"/>
        <w:rPr>
          <w:rFonts w:ascii="仿宋" w:hAnsi="仿宋" w:eastAsia="仿宋" w:cs="Arial Unicode MS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</w:rPr>
        <w:t>【建议】三措并举：</w:t>
      </w:r>
      <w:r>
        <w:rPr>
          <w:rFonts w:ascii="仿宋" w:hAnsi="仿宋" w:eastAsia="仿宋" w:cs="Arial Unicode MS"/>
          <w:sz w:val="28"/>
          <w:szCs w:val="28"/>
        </w:rPr>
        <w:t>一是加强教师卫生保健知识宣教，构建“缺勤</w:t>
      </w:r>
      <w:r>
        <w:rPr>
          <w:rFonts w:hint="eastAsia" w:ascii="仿宋" w:hAnsi="仿宋" w:eastAsia="仿宋" w:cs="Arial Unicode MS"/>
          <w:sz w:val="28"/>
          <w:szCs w:val="28"/>
        </w:rPr>
        <w:t>登记</w:t>
      </w:r>
      <w:r>
        <w:rPr>
          <w:rFonts w:ascii="仿宋" w:hAnsi="仿宋" w:eastAsia="仿宋" w:cs="Arial Unicode MS"/>
          <w:sz w:val="28"/>
          <w:szCs w:val="28"/>
        </w:rPr>
        <w:t>-诊断证明-</w:t>
      </w:r>
      <w:r>
        <w:rPr>
          <w:rFonts w:hint="eastAsia" w:ascii="仿宋" w:hAnsi="仿宋" w:eastAsia="仿宋" w:cs="Arial Unicode MS"/>
          <w:sz w:val="28"/>
          <w:szCs w:val="28"/>
        </w:rPr>
        <w:t>观察</w:t>
      </w:r>
      <w:r>
        <w:rPr>
          <w:rFonts w:ascii="仿宋" w:hAnsi="仿宋" w:eastAsia="仿宋" w:cs="Arial Unicode MS"/>
          <w:sz w:val="28"/>
          <w:szCs w:val="28"/>
        </w:rPr>
        <w:t>随访”的闭环追踪机制，动态监测缺勤幼儿健康状况</w:t>
      </w:r>
      <w:r>
        <w:rPr>
          <w:rFonts w:hint="eastAsia" w:ascii="仿宋" w:hAnsi="仿宋" w:eastAsia="仿宋" w:cs="Arial Unicode MS"/>
          <w:sz w:val="28"/>
          <w:szCs w:val="28"/>
        </w:rPr>
        <w:t>，</w:t>
      </w:r>
      <w:r>
        <w:rPr>
          <w:rFonts w:ascii="仿宋" w:hAnsi="仿宋" w:eastAsia="仿宋" w:cs="Arial Unicode MS"/>
          <w:sz w:val="28"/>
          <w:szCs w:val="28"/>
        </w:rPr>
        <w:t>确保病因信息准确可追溯；二是结合园所实际与专业标准，明确体弱儿的判定指标与分类标准，形成可视化的护理指南；三是在体弱儿进餐环节深化保教协同，制定进餐护理分工细则，开展联合培训，提升教师与保育员对体弱儿进餐护理的配合度，共同关注进食量、进餐速度等细节，以科学干预提升矫治率，推动相关指标逐年下降，切实提升卫生保健工作的精细化与专业性。</w:t>
      </w:r>
    </w:p>
    <w:p w14:paraId="0A6722AD">
      <w:pPr>
        <w:widowControl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进一步夯实设施标准配置，提升安全管理效能</w:t>
      </w:r>
    </w:p>
    <w:p w14:paraId="05325610">
      <w:pPr>
        <w:widowControl/>
        <w:spacing w:line="360" w:lineRule="auto"/>
        <w:ind w:firstLine="560" w:firstLineChars="200"/>
        <w:rPr>
          <w:rFonts w:ascii="仿宋" w:hAnsi="仿宋" w:eastAsia="仿宋" w:cs="Arial Unicode MS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  <w:lang w:val="zh-CN"/>
        </w:rPr>
        <w:t>【问题】</w:t>
      </w:r>
      <w:r>
        <w:rPr>
          <w:rFonts w:ascii="仿宋" w:hAnsi="仿宋" w:eastAsia="仿宋" w:cs="Arial Unicode MS"/>
          <w:sz w:val="28"/>
          <w:szCs w:val="28"/>
        </w:rPr>
        <w:t>五个园部楼梯未安装防护栏，灯光照明不符合《上海市中小学及幼儿园教室照明设计规范》，</w:t>
      </w:r>
      <w:r>
        <w:rPr>
          <w:rFonts w:hint="eastAsia" w:ascii="仿宋" w:hAnsi="仿宋" w:eastAsia="仿宋" w:cs="Arial Unicode MS"/>
          <w:sz w:val="28"/>
          <w:szCs w:val="28"/>
        </w:rPr>
        <w:t>存在</w:t>
      </w:r>
      <w:r>
        <w:rPr>
          <w:rFonts w:ascii="仿宋" w:hAnsi="仿宋" w:eastAsia="仿宋" w:cs="Arial Unicode MS"/>
          <w:sz w:val="28"/>
          <w:szCs w:val="28"/>
        </w:rPr>
        <w:t>插电板安装高度过低、防夹手装置硬度不足等安全隐患，</w:t>
      </w:r>
      <w:r>
        <w:rPr>
          <w:rFonts w:hint="eastAsia" w:ascii="仿宋" w:hAnsi="仿宋" w:eastAsia="仿宋" w:cs="Arial Unicode MS"/>
          <w:sz w:val="28"/>
          <w:szCs w:val="28"/>
        </w:rPr>
        <w:t>硬件设施与</w:t>
      </w:r>
      <w:r>
        <w:rPr>
          <w:rFonts w:ascii="仿宋" w:hAnsi="仿宋" w:eastAsia="仿宋" w:cs="Arial Unicode MS"/>
          <w:sz w:val="28"/>
          <w:szCs w:val="28"/>
        </w:rPr>
        <w:t>制度执行的精细仍需加强。</w:t>
      </w:r>
    </w:p>
    <w:p w14:paraId="0341A74C">
      <w:pPr>
        <w:widowControl/>
        <w:spacing w:line="360" w:lineRule="auto"/>
        <w:ind w:firstLine="560" w:firstLineChars="200"/>
        <w:rPr>
          <w:rFonts w:ascii="仿宋" w:hAnsi="仿宋" w:eastAsia="仿宋" w:cs="Arial Unicode MS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</w:rPr>
        <w:t>【建议】</w:t>
      </w:r>
      <w:r>
        <w:rPr>
          <w:rFonts w:ascii="仿宋" w:hAnsi="仿宋" w:eastAsia="仿宋" w:cs="Arial Unicode MS"/>
          <w:sz w:val="28"/>
          <w:szCs w:val="28"/>
        </w:rPr>
        <w:t>依据《上海市幼儿园装备指南》</w:t>
      </w:r>
      <w:r>
        <w:rPr>
          <w:rFonts w:hint="eastAsia" w:ascii="仿宋" w:hAnsi="仿宋" w:eastAsia="仿宋" w:cs="Arial Unicode MS"/>
          <w:sz w:val="28"/>
          <w:szCs w:val="28"/>
        </w:rPr>
        <w:t>，</w:t>
      </w:r>
      <w:r>
        <w:rPr>
          <w:rFonts w:ascii="仿宋" w:hAnsi="仿宋" w:eastAsia="仿宋" w:cs="Arial Unicode MS"/>
          <w:sz w:val="28"/>
          <w:szCs w:val="28"/>
        </w:rPr>
        <w:t>加装楼梯防护栏，统一整改照明系统，确保亮度达标；针对插电板、防夹手装置等细节开展专项排查与整改，结合现有 20 余项安全制度，建立“设施隐患台账-整改时限-责任到人”的闭环管理机制，通过日巡查与月联查持续跟进日常安全管理，实现制度落地与硬件安全的协同提升。</w:t>
      </w:r>
    </w:p>
    <w:p w14:paraId="645F76D5">
      <w:pPr>
        <w:jc w:val="right"/>
        <w:rPr>
          <w:rFonts w:hint="eastAsia" w:ascii="仿宋" w:hAnsi="仿宋" w:eastAsia="仿宋" w:cs="Arial Unicode MS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Arial Unicode MS"/>
          <w:color w:val="000000"/>
          <w:kern w:val="0"/>
          <w:sz w:val="28"/>
          <w:szCs w:val="28"/>
          <w:lang w:val="zh-CN"/>
        </w:rPr>
        <w:t xml:space="preserve">                               </w:t>
      </w:r>
    </w:p>
    <w:p w14:paraId="3E9D6CA8">
      <w:pPr>
        <w:jc w:val="right"/>
        <w:rPr>
          <w:rFonts w:hint="eastAsia" w:ascii="仿宋" w:hAnsi="仿宋" w:eastAsia="仿宋" w:cs="Arial Unicode MS"/>
          <w:color w:val="000000"/>
          <w:kern w:val="0"/>
          <w:sz w:val="28"/>
          <w:szCs w:val="28"/>
          <w:lang w:val="zh-CN"/>
        </w:rPr>
      </w:pP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72526"/>
    <w:multiLevelType w:val="singleLevel"/>
    <w:tmpl w:val="194725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N2U5OGIwNjJhM2I5MjA5OGMxMTYxMmZiYzYwMmEifQ=="/>
  </w:docVars>
  <w:rsids>
    <w:rsidRoot w:val="00A16601"/>
    <w:rsid w:val="000947FD"/>
    <w:rsid w:val="000B1526"/>
    <w:rsid w:val="000E250B"/>
    <w:rsid w:val="00182F06"/>
    <w:rsid w:val="00270CE7"/>
    <w:rsid w:val="002757D1"/>
    <w:rsid w:val="003153D3"/>
    <w:rsid w:val="00344518"/>
    <w:rsid w:val="004000B1"/>
    <w:rsid w:val="00487740"/>
    <w:rsid w:val="00516B76"/>
    <w:rsid w:val="0055315C"/>
    <w:rsid w:val="005C5C15"/>
    <w:rsid w:val="005E5161"/>
    <w:rsid w:val="0060515B"/>
    <w:rsid w:val="006378C8"/>
    <w:rsid w:val="006C3B76"/>
    <w:rsid w:val="006E785C"/>
    <w:rsid w:val="007A10CE"/>
    <w:rsid w:val="008250A1"/>
    <w:rsid w:val="008410C1"/>
    <w:rsid w:val="00970B27"/>
    <w:rsid w:val="009D67B1"/>
    <w:rsid w:val="009E71B5"/>
    <w:rsid w:val="00A16601"/>
    <w:rsid w:val="00A2244A"/>
    <w:rsid w:val="00A42BB4"/>
    <w:rsid w:val="00AE7612"/>
    <w:rsid w:val="00AF2E47"/>
    <w:rsid w:val="00B37EA6"/>
    <w:rsid w:val="00BC3458"/>
    <w:rsid w:val="00C4011A"/>
    <w:rsid w:val="00C4368A"/>
    <w:rsid w:val="00D203A2"/>
    <w:rsid w:val="00D205AE"/>
    <w:rsid w:val="00E00598"/>
    <w:rsid w:val="00E4660B"/>
    <w:rsid w:val="00FA39F6"/>
    <w:rsid w:val="00FA5550"/>
    <w:rsid w:val="05E70E81"/>
    <w:rsid w:val="0D892CAF"/>
    <w:rsid w:val="100F048B"/>
    <w:rsid w:val="13686CDF"/>
    <w:rsid w:val="17056755"/>
    <w:rsid w:val="1B837702"/>
    <w:rsid w:val="1C984EE8"/>
    <w:rsid w:val="1EB62E3F"/>
    <w:rsid w:val="287C74F6"/>
    <w:rsid w:val="2AB40F49"/>
    <w:rsid w:val="2C936099"/>
    <w:rsid w:val="32F76EFC"/>
    <w:rsid w:val="33176259"/>
    <w:rsid w:val="33EC07E8"/>
    <w:rsid w:val="340D4DC7"/>
    <w:rsid w:val="39A50CEE"/>
    <w:rsid w:val="3AD873A9"/>
    <w:rsid w:val="3CF77602"/>
    <w:rsid w:val="3EC7548D"/>
    <w:rsid w:val="46072075"/>
    <w:rsid w:val="4704012A"/>
    <w:rsid w:val="493C0826"/>
    <w:rsid w:val="50747D65"/>
    <w:rsid w:val="524D2F9E"/>
    <w:rsid w:val="54057813"/>
    <w:rsid w:val="55AE1942"/>
    <w:rsid w:val="5AF37B70"/>
    <w:rsid w:val="5E3E6996"/>
    <w:rsid w:val="60B4103C"/>
    <w:rsid w:val="617A3DBC"/>
    <w:rsid w:val="624B38A6"/>
    <w:rsid w:val="68453F5A"/>
    <w:rsid w:val="6FA07059"/>
    <w:rsid w:val="6FC425FD"/>
    <w:rsid w:val="71FB5C20"/>
    <w:rsid w:val="72F07194"/>
    <w:rsid w:val="73F22D1D"/>
    <w:rsid w:val="76294885"/>
    <w:rsid w:val="77FA7033"/>
    <w:rsid w:val="78D85EC6"/>
    <w:rsid w:val="79997520"/>
    <w:rsid w:val="7AED2E7F"/>
    <w:rsid w:val="7D7C4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不明显参考1"/>
    <w:basedOn w:val="8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customStyle="1" w:styleId="12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">
    <w:name w:val="正文1"/>
    <w:qFormat/>
    <w:uiPriority w:val="0"/>
    <w:pPr>
      <w:spacing w:before="160" w:line="288" w:lineRule="auto"/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4470</Words>
  <Characters>4559</Characters>
  <Lines>33</Lines>
  <Paragraphs>9</Paragraphs>
  <TotalTime>2</TotalTime>
  <ScaleCrop>false</ScaleCrop>
  <LinksUpToDate>false</LinksUpToDate>
  <CharactersWithSpaces>4685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2021-09-18T01:15:00Z</dcterms:created>
  <dc:creator>LENOVO</dc:creator>
  <cp:lastModifiedBy>董鸣</cp:lastModifiedBy>
  <dcterms:modified xsi:type="dcterms:W3CDTF">2025-07-11T08:43:57Z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434404A847FB41018562BF7680A1983F_13</vt:lpwstr>
  </property>
  <property fmtid="{D5CDD505-2E9C-101B-9397-08002B2CF9AE}" pid="4" name="KSOTemplateDocerSaveRecord">
    <vt:lpwstr>eyJoZGlkIjoiOTVmN2I2MzI3M2Y4ZjJkODBmNTc3ZDkzMjE1ODg4ZTYiLCJ1c2VySWQiOiI2NDAxNDU3MzgifQ==</vt:lpwstr>
  </property>
</Properties>
</file>