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397B2">
      <w:pPr>
        <w:widowControl/>
        <w:jc w:val="distribute"/>
        <w:rPr>
          <w:rFonts w:hint="eastAsia" w:ascii="方正小标宋简体" w:hAnsi="宋体" w:eastAsia="方正小标宋简体" w:cs="宋体"/>
          <w:b/>
          <w:kern w:val="0"/>
          <w:sz w:val="48"/>
          <w:szCs w:val="48"/>
        </w:rPr>
      </w:pPr>
      <w:r>
        <w:rPr>
          <w:rFonts w:hint="eastAsia" w:ascii="方正小标宋简体" w:hAnsi="宋体" w:eastAsia="方正小标宋简体" w:cs="宋体"/>
          <w:b/>
          <w:color w:val="FF0000"/>
          <w:kern w:val="0"/>
          <w:sz w:val="48"/>
          <w:szCs w:val="48"/>
        </w:rPr>
        <w:t>上海市闵行区人民政府教育督导室文件</w:t>
      </w:r>
    </w:p>
    <w:p w14:paraId="49FAA24D">
      <w:pPr>
        <w:spacing w:line="500" w:lineRule="exact"/>
        <w:jc w:val="center"/>
        <w:rPr>
          <w:rFonts w:ascii="仿宋_GB2312" w:eastAsia="仿宋_GB2312"/>
          <w:sz w:val="32"/>
        </w:rPr>
      </w:pPr>
    </w:p>
    <w:p w14:paraId="4EDFD40A">
      <w:pPr>
        <w:spacing w:line="500" w:lineRule="exact"/>
        <w:jc w:val="center"/>
        <w:rPr>
          <w:rFonts w:ascii="仿宋_GB2312" w:eastAsia="仿宋_GB2312"/>
          <w:sz w:val="32"/>
        </w:rPr>
      </w:pPr>
    </w:p>
    <w:p w14:paraId="17E4CD29">
      <w:pPr>
        <w:pBdr>
          <w:bottom w:val="single" w:color="FF0000" w:sz="12" w:space="1"/>
        </w:pBdr>
        <w:spacing w:line="560" w:lineRule="exact"/>
        <w:jc w:val="center"/>
        <w:rPr>
          <w:rFonts w:hint="eastAsia" w:ascii="仿宋" w:hAnsi="仿宋" w:eastAsia="仿宋"/>
          <w:sz w:val="32"/>
        </w:rPr>
      </w:pPr>
      <w:r>
        <w:rPr>
          <w:rFonts w:hint="eastAsia" w:ascii="仿宋" w:hAnsi="仿宋" w:eastAsia="仿宋"/>
          <w:sz w:val="32"/>
        </w:rPr>
        <w:t>闵府教督〔202</w:t>
      </w:r>
      <w:r>
        <w:rPr>
          <w:rFonts w:hint="eastAsia" w:ascii="仿宋" w:hAnsi="仿宋" w:eastAsia="仿宋"/>
          <w:sz w:val="32"/>
          <w:lang w:val="en-US" w:eastAsia="zh-CN"/>
        </w:rPr>
        <w:t>5</w:t>
      </w:r>
      <w:r>
        <w:rPr>
          <w:rFonts w:hint="eastAsia" w:ascii="仿宋" w:hAnsi="仿宋" w:eastAsia="仿宋"/>
          <w:sz w:val="32"/>
        </w:rPr>
        <w:t>〕</w:t>
      </w:r>
      <w:r>
        <w:rPr>
          <w:rFonts w:hint="eastAsia" w:ascii="仿宋" w:hAnsi="仿宋" w:eastAsia="仿宋"/>
          <w:sz w:val="32"/>
          <w:lang w:val="en-US" w:eastAsia="zh-CN"/>
        </w:rPr>
        <w:t>6</w:t>
      </w:r>
      <w:r>
        <w:rPr>
          <w:rFonts w:hint="eastAsia" w:ascii="仿宋" w:hAnsi="仿宋" w:eastAsia="仿宋"/>
          <w:sz w:val="32"/>
        </w:rPr>
        <w:t>号</w:t>
      </w:r>
    </w:p>
    <w:p w14:paraId="37AE4BAD">
      <w:pPr>
        <w:jc w:val="center"/>
        <w:rPr>
          <w:rFonts w:ascii="Times New Roman" w:hAnsi="Times New Roman"/>
          <w:szCs w:val="21"/>
        </w:rPr>
      </w:pPr>
      <w:r>
        <w:rPr>
          <w:rFonts w:hint="eastAsia" w:ascii="宋体" w:hAnsi="宋体"/>
          <w:b/>
          <w:szCs w:val="21"/>
        </w:rPr>
        <w:t xml:space="preserve"> </w:t>
      </w:r>
    </w:p>
    <w:p w14:paraId="0751FAE5">
      <w:pPr>
        <w:widowControl/>
        <w:snapToGrid w:val="0"/>
        <w:jc w:val="center"/>
        <w:rPr>
          <w:rFonts w:hint="eastAsia" w:ascii="方正小标宋简体" w:hAnsi="仿宋" w:eastAsia="方正小标宋简体" w:cs="宋体"/>
          <w:color w:val="000000" w:themeColor="text1"/>
          <w:kern w:val="0"/>
          <w:sz w:val="44"/>
          <w:szCs w:val="36"/>
        </w:rPr>
      </w:pPr>
      <w:r>
        <w:rPr>
          <w:rFonts w:hint="eastAsia" w:ascii="方正小标宋简体" w:hAnsi="仿宋" w:eastAsia="方正小标宋简体" w:cs="宋体"/>
          <w:color w:val="000000" w:themeColor="text1"/>
          <w:kern w:val="0"/>
          <w:sz w:val="44"/>
          <w:szCs w:val="36"/>
        </w:rPr>
        <w:t>关于印发</w:t>
      </w:r>
      <w:r>
        <w:rPr>
          <w:rFonts w:hint="eastAsia" w:ascii="方正小标宋简体" w:hAnsi="仿宋" w:eastAsia="方正小标宋简体" w:cs="宋体"/>
          <w:color w:val="000000" w:themeColor="text1"/>
          <w:kern w:val="0"/>
          <w:sz w:val="44"/>
          <w:szCs w:val="44"/>
        </w:rPr>
        <w:t>《</w:t>
      </w:r>
      <w:r>
        <w:rPr>
          <w:rFonts w:hint="eastAsia" w:ascii="方正小标宋简体" w:hAnsi="仿宋" w:eastAsia="方正小标宋简体" w:cs="宋体"/>
          <w:color w:val="000000" w:themeColor="text1"/>
          <w:kern w:val="0"/>
          <w:sz w:val="44"/>
          <w:szCs w:val="44"/>
          <w:lang w:val="en-US" w:eastAsia="zh-CN"/>
        </w:rPr>
        <w:t>上海市</w:t>
      </w:r>
      <w:r>
        <w:rPr>
          <w:rFonts w:hint="eastAsia" w:ascii="方正小标宋简体" w:hAnsi="仿宋" w:eastAsia="方正小标宋简体" w:cs="宋体"/>
          <w:color w:val="000000" w:themeColor="text1"/>
          <w:kern w:val="0"/>
          <w:sz w:val="44"/>
          <w:szCs w:val="36"/>
        </w:rPr>
        <w:t>闵行</w:t>
      </w:r>
      <w:r>
        <w:rPr>
          <w:rFonts w:hint="eastAsia" w:ascii="方正小标宋简体" w:hAnsi="仿宋" w:eastAsia="方正小标宋简体" w:cs="宋体"/>
          <w:color w:val="000000" w:themeColor="text1"/>
          <w:kern w:val="0"/>
          <w:sz w:val="44"/>
          <w:szCs w:val="36"/>
          <w:lang w:val="en-US" w:eastAsia="zh-CN"/>
        </w:rPr>
        <w:t>区</w:t>
      </w:r>
      <w:r>
        <w:rPr>
          <w:rFonts w:hint="eastAsia" w:ascii="方正小标宋简体" w:hAnsi="仿宋" w:eastAsia="方正小标宋简体" w:cs="宋体"/>
          <w:color w:val="000000" w:themeColor="text1"/>
          <w:kern w:val="0"/>
          <w:sz w:val="44"/>
          <w:szCs w:val="44"/>
          <w:lang w:val="en-US" w:eastAsia="zh-CN"/>
        </w:rPr>
        <w:t>康城幼儿</w:t>
      </w:r>
      <w:r>
        <w:rPr>
          <w:rFonts w:hint="eastAsia" w:ascii="方正小标宋简体" w:hAnsi="仿宋" w:eastAsia="方正小标宋简体" w:cs="宋体"/>
          <w:color w:val="000000" w:themeColor="text1"/>
          <w:kern w:val="0"/>
          <w:sz w:val="44"/>
          <w:szCs w:val="36"/>
        </w:rPr>
        <w:t>园办园水</w:t>
      </w:r>
      <w:r>
        <w:rPr>
          <w:rFonts w:hint="eastAsia" w:ascii="方正小标宋简体" w:hAnsi="仿宋" w:eastAsia="方正小标宋简体" w:cs="宋体"/>
          <w:color w:val="000000" w:themeColor="text1"/>
          <w:kern w:val="0"/>
          <w:sz w:val="44"/>
          <w:szCs w:val="44"/>
        </w:rPr>
        <w:t>平（20</w:t>
      </w:r>
      <w:r>
        <w:rPr>
          <w:rFonts w:hint="eastAsia" w:ascii="方正小标宋简体" w:hAnsi="仿宋" w:eastAsia="方正小标宋简体" w:cs="宋体"/>
          <w:color w:val="000000" w:themeColor="text1"/>
          <w:kern w:val="0"/>
          <w:sz w:val="44"/>
          <w:szCs w:val="44"/>
          <w:lang w:val="en-US" w:eastAsia="zh-CN"/>
        </w:rPr>
        <w:t>20</w:t>
      </w:r>
      <w:r>
        <w:rPr>
          <w:rFonts w:hint="eastAsia" w:ascii="方正小标宋简体" w:hAnsi="仿宋" w:eastAsia="方正小标宋简体" w:cs="宋体"/>
          <w:color w:val="000000" w:themeColor="text1"/>
          <w:kern w:val="0"/>
          <w:sz w:val="44"/>
          <w:szCs w:val="44"/>
        </w:rPr>
        <w:t>-202</w:t>
      </w:r>
      <w:r>
        <w:rPr>
          <w:rFonts w:hint="eastAsia" w:ascii="方正小标宋简体" w:hAnsi="仿宋" w:eastAsia="方正小标宋简体" w:cs="宋体"/>
          <w:color w:val="000000" w:themeColor="text1"/>
          <w:kern w:val="0"/>
          <w:sz w:val="44"/>
          <w:szCs w:val="44"/>
          <w:lang w:val="en-US" w:eastAsia="zh-CN"/>
        </w:rPr>
        <w:t>5</w:t>
      </w:r>
      <w:r>
        <w:rPr>
          <w:rFonts w:hint="eastAsia" w:ascii="方正小标宋简体" w:hAnsi="仿宋" w:eastAsia="方正小标宋简体" w:cs="宋体"/>
          <w:color w:val="000000" w:themeColor="text1"/>
          <w:kern w:val="0"/>
          <w:sz w:val="44"/>
          <w:szCs w:val="44"/>
        </w:rPr>
        <w:t>）综合督导意见书</w:t>
      </w:r>
      <w:r>
        <w:rPr>
          <w:rFonts w:hint="eastAsia" w:ascii="方正小标宋简体" w:hAnsi="仿宋" w:eastAsia="方正小标宋简体" w:cs="宋体"/>
          <w:color w:val="000000" w:themeColor="text1"/>
          <w:kern w:val="0"/>
          <w:sz w:val="44"/>
          <w:szCs w:val="36"/>
        </w:rPr>
        <w:t>》的通知</w:t>
      </w:r>
    </w:p>
    <w:p w14:paraId="38769D73">
      <w:pPr>
        <w:snapToGrid w:val="0"/>
        <w:spacing w:line="360" w:lineRule="auto"/>
        <w:rPr>
          <w:rFonts w:hint="eastAsia" w:ascii="仿宋" w:hAnsi="仿宋" w:eastAsia="仿宋"/>
          <w:bCs/>
          <w:color w:val="000000" w:themeColor="text1"/>
          <w:kern w:val="20"/>
          <w:sz w:val="22"/>
          <w:szCs w:val="32"/>
        </w:rPr>
      </w:pPr>
    </w:p>
    <w:p w14:paraId="1FA9D924">
      <w:pPr>
        <w:snapToGrid w:val="0"/>
        <w:spacing w:line="360" w:lineRule="auto"/>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lang w:val="en-US" w:eastAsia="zh-CN"/>
        </w:rPr>
        <w:t>上海市</w:t>
      </w:r>
      <w:r>
        <w:rPr>
          <w:rFonts w:hint="eastAsia" w:ascii="仿宋" w:hAnsi="仿宋" w:eastAsia="仿宋"/>
          <w:color w:val="000000" w:themeColor="text1"/>
          <w:kern w:val="0"/>
          <w:sz w:val="32"/>
          <w:szCs w:val="32"/>
        </w:rPr>
        <w:t>闵行</w:t>
      </w:r>
      <w:r>
        <w:rPr>
          <w:rFonts w:hint="eastAsia" w:ascii="仿宋" w:hAnsi="仿宋" w:eastAsia="仿宋"/>
          <w:color w:val="000000" w:themeColor="text1"/>
          <w:kern w:val="0"/>
          <w:sz w:val="32"/>
          <w:szCs w:val="32"/>
          <w:lang w:val="en-US" w:eastAsia="zh-CN"/>
        </w:rPr>
        <w:t>区</w:t>
      </w:r>
      <w:r>
        <w:rPr>
          <w:rFonts w:hint="eastAsia" w:ascii="仿宋" w:hAnsi="仿宋" w:eastAsia="仿宋"/>
          <w:color w:val="000000" w:themeColor="text1"/>
          <w:kern w:val="0"/>
          <w:sz w:val="32"/>
          <w:szCs w:val="32"/>
        </w:rPr>
        <w:t>康城幼儿园：</w:t>
      </w:r>
    </w:p>
    <w:p w14:paraId="0A3E5D19">
      <w:pPr>
        <w:widowControl/>
        <w:snapToGrid w:val="0"/>
        <w:spacing w:line="360" w:lineRule="auto"/>
        <w:ind w:firstLine="640" w:firstLineChars="200"/>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现将《</w:t>
      </w:r>
      <w:r>
        <w:rPr>
          <w:rFonts w:hint="eastAsia" w:ascii="仿宋" w:hAnsi="仿宋" w:eastAsia="仿宋"/>
          <w:color w:val="000000" w:themeColor="text1"/>
          <w:kern w:val="0"/>
          <w:sz w:val="32"/>
          <w:szCs w:val="32"/>
          <w:lang w:val="en-US" w:eastAsia="zh-CN"/>
        </w:rPr>
        <w:t>上海市</w:t>
      </w:r>
      <w:r>
        <w:rPr>
          <w:rFonts w:hint="eastAsia" w:ascii="仿宋" w:hAnsi="仿宋" w:eastAsia="仿宋"/>
          <w:color w:val="000000" w:themeColor="text1"/>
          <w:kern w:val="0"/>
          <w:sz w:val="32"/>
          <w:szCs w:val="32"/>
        </w:rPr>
        <w:t>闵行</w:t>
      </w:r>
      <w:r>
        <w:rPr>
          <w:rFonts w:hint="eastAsia" w:ascii="仿宋" w:hAnsi="仿宋" w:eastAsia="仿宋"/>
          <w:color w:val="000000" w:themeColor="text1"/>
          <w:kern w:val="0"/>
          <w:sz w:val="32"/>
          <w:szCs w:val="32"/>
          <w:lang w:val="en-US" w:eastAsia="zh-CN"/>
        </w:rPr>
        <w:t>区康城</w:t>
      </w:r>
      <w:r>
        <w:rPr>
          <w:rFonts w:hint="eastAsia" w:ascii="仿宋" w:hAnsi="仿宋" w:eastAsia="仿宋"/>
          <w:color w:val="000000" w:themeColor="text1"/>
          <w:kern w:val="0"/>
          <w:sz w:val="32"/>
          <w:szCs w:val="32"/>
        </w:rPr>
        <w:t>幼儿园办园水平（20</w:t>
      </w:r>
      <w:r>
        <w:rPr>
          <w:rFonts w:hint="eastAsia" w:ascii="仿宋" w:hAnsi="仿宋" w:eastAsia="仿宋"/>
          <w:color w:val="000000" w:themeColor="text1"/>
          <w:kern w:val="0"/>
          <w:sz w:val="32"/>
          <w:szCs w:val="32"/>
          <w:lang w:val="en-US" w:eastAsia="zh-CN"/>
        </w:rPr>
        <w:t>20</w:t>
      </w:r>
      <w:r>
        <w:rPr>
          <w:rFonts w:hint="eastAsia" w:ascii="仿宋" w:hAnsi="仿宋" w:eastAsia="仿宋"/>
          <w:color w:val="000000" w:themeColor="text1"/>
          <w:kern w:val="0"/>
          <w:sz w:val="32"/>
          <w:szCs w:val="32"/>
        </w:rPr>
        <w:t>-202</w:t>
      </w:r>
      <w:r>
        <w:rPr>
          <w:rFonts w:hint="eastAsia" w:ascii="仿宋" w:hAnsi="仿宋" w:eastAsia="仿宋"/>
          <w:color w:val="000000" w:themeColor="text1"/>
          <w:kern w:val="0"/>
          <w:sz w:val="32"/>
          <w:szCs w:val="32"/>
          <w:lang w:val="en-US" w:eastAsia="zh-CN"/>
        </w:rPr>
        <w:t>5</w:t>
      </w:r>
      <w:r>
        <w:rPr>
          <w:rFonts w:hint="eastAsia" w:ascii="仿宋" w:hAnsi="仿宋" w:eastAsia="仿宋"/>
          <w:color w:val="000000" w:themeColor="text1"/>
          <w:kern w:val="0"/>
          <w:sz w:val="32"/>
          <w:szCs w:val="32"/>
        </w:rPr>
        <w:t>）综合督导意见书》印发给你们。请针对意见书中提出的问题和改进建议，在认真研究的基础上制定出改进计划，在收到意见书的一个月内书面报我室。</w:t>
      </w:r>
    </w:p>
    <w:p w14:paraId="4A2A7F3C">
      <w:pPr>
        <w:widowControl/>
        <w:snapToGrid w:val="0"/>
        <w:spacing w:line="360" w:lineRule="auto"/>
        <w:jc w:val="left"/>
        <w:rPr>
          <w:rFonts w:hint="eastAsia" w:ascii="仿宋" w:hAnsi="仿宋" w:eastAsia="仿宋"/>
          <w:color w:val="000000" w:themeColor="text1"/>
          <w:kern w:val="0"/>
          <w:sz w:val="32"/>
          <w:szCs w:val="32"/>
        </w:rPr>
      </w:pPr>
    </w:p>
    <w:p w14:paraId="4480131C">
      <w:pPr>
        <w:widowControl/>
        <w:snapToGrid w:val="0"/>
        <w:spacing w:line="360" w:lineRule="auto"/>
        <w:ind w:left="708" w:leftChars="337" w:firstLine="1"/>
        <w:jc w:val="left"/>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附件：</w:t>
      </w:r>
      <w:r>
        <w:rPr>
          <w:rFonts w:hint="eastAsia" w:ascii="仿宋" w:hAnsi="仿宋" w:eastAsia="仿宋"/>
          <w:color w:val="000000" w:themeColor="text1"/>
          <w:kern w:val="0"/>
          <w:sz w:val="32"/>
          <w:szCs w:val="32"/>
          <w:lang w:val="en-US" w:eastAsia="zh-CN"/>
        </w:rPr>
        <w:t>上海市</w:t>
      </w:r>
      <w:r>
        <w:rPr>
          <w:rFonts w:hint="eastAsia" w:ascii="仿宋" w:hAnsi="仿宋" w:eastAsia="仿宋"/>
          <w:color w:val="000000" w:themeColor="text1"/>
          <w:kern w:val="0"/>
          <w:sz w:val="32"/>
          <w:szCs w:val="32"/>
        </w:rPr>
        <w:t>闵行</w:t>
      </w:r>
      <w:r>
        <w:rPr>
          <w:rFonts w:hint="eastAsia" w:ascii="仿宋" w:hAnsi="仿宋" w:eastAsia="仿宋"/>
          <w:color w:val="000000" w:themeColor="text1"/>
          <w:kern w:val="0"/>
          <w:sz w:val="32"/>
          <w:szCs w:val="32"/>
          <w:lang w:val="en-US" w:eastAsia="zh-CN"/>
        </w:rPr>
        <w:t>区</w:t>
      </w:r>
      <w:r>
        <w:rPr>
          <w:rFonts w:hint="eastAsia" w:ascii="仿宋" w:hAnsi="仿宋" w:eastAsia="仿宋"/>
          <w:color w:val="000000" w:themeColor="text1"/>
          <w:kern w:val="0"/>
          <w:sz w:val="32"/>
          <w:szCs w:val="32"/>
        </w:rPr>
        <w:t>康城幼儿园办园水</w:t>
      </w:r>
      <w:r>
        <w:rPr>
          <w:rFonts w:hint="eastAsia" w:ascii="仿宋" w:hAnsi="仿宋" w:eastAsia="仿宋"/>
          <w:color w:val="000000" w:themeColor="text1"/>
          <w:kern w:val="0"/>
          <w:sz w:val="32"/>
          <w:szCs w:val="32"/>
          <w:lang w:val="en-US" w:eastAsia="zh-CN"/>
        </w:rPr>
        <w:t>平</w:t>
      </w:r>
      <w:r>
        <w:rPr>
          <w:rFonts w:hint="eastAsia" w:ascii="仿宋" w:hAnsi="仿宋" w:eastAsia="仿宋"/>
          <w:color w:val="000000" w:themeColor="text1"/>
          <w:kern w:val="0"/>
          <w:sz w:val="32"/>
          <w:szCs w:val="32"/>
        </w:rPr>
        <w:t>（20</w:t>
      </w:r>
      <w:r>
        <w:rPr>
          <w:rFonts w:hint="eastAsia" w:ascii="仿宋" w:hAnsi="仿宋" w:eastAsia="仿宋"/>
          <w:color w:val="000000" w:themeColor="text1"/>
          <w:kern w:val="0"/>
          <w:sz w:val="32"/>
          <w:szCs w:val="32"/>
          <w:lang w:val="en-US" w:eastAsia="zh-CN"/>
        </w:rPr>
        <w:t>20</w:t>
      </w:r>
      <w:r>
        <w:rPr>
          <w:rFonts w:hint="eastAsia" w:ascii="仿宋" w:hAnsi="仿宋" w:eastAsia="仿宋"/>
          <w:color w:val="000000" w:themeColor="text1"/>
          <w:kern w:val="0"/>
          <w:sz w:val="32"/>
          <w:szCs w:val="32"/>
        </w:rPr>
        <w:t>-202</w:t>
      </w:r>
      <w:r>
        <w:rPr>
          <w:rFonts w:hint="eastAsia" w:ascii="仿宋" w:hAnsi="仿宋" w:eastAsia="仿宋"/>
          <w:color w:val="000000" w:themeColor="text1"/>
          <w:kern w:val="0"/>
          <w:sz w:val="32"/>
          <w:szCs w:val="32"/>
          <w:lang w:val="en-US" w:eastAsia="zh-CN"/>
        </w:rPr>
        <w:t>5</w:t>
      </w:r>
      <w:r>
        <w:rPr>
          <w:rFonts w:hint="eastAsia" w:ascii="仿宋" w:hAnsi="仿宋" w:eastAsia="仿宋"/>
          <w:color w:val="000000" w:themeColor="text1"/>
          <w:kern w:val="0"/>
          <w:sz w:val="32"/>
          <w:szCs w:val="32"/>
        </w:rPr>
        <w:t>）综合督导意见书</w:t>
      </w:r>
    </w:p>
    <w:p w14:paraId="65F81315">
      <w:pPr>
        <w:snapToGrid w:val="0"/>
        <w:spacing w:line="360" w:lineRule="auto"/>
        <w:ind w:firstLine="560" w:firstLineChars="200"/>
        <w:rPr>
          <w:rFonts w:hint="eastAsia" w:ascii="仿宋" w:hAnsi="仿宋" w:eastAsia="仿宋"/>
          <w:color w:val="000000" w:themeColor="text1"/>
          <w:spacing w:val="-20"/>
          <w:kern w:val="0"/>
          <w:sz w:val="32"/>
          <w:szCs w:val="32"/>
        </w:rPr>
      </w:pPr>
    </w:p>
    <w:p w14:paraId="01543D59">
      <w:pPr>
        <w:pStyle w:val="8"/>
        <w:snapToGrid w:val="0"/>
        <w:spacing w:before="0" w:beforeAutospacing="0" w:after="0" w:afterAutospacing="0" w:line="360" w:lineRule="auto"/>
        <w:ind w:left="2098" w:firstLine="641"/>
        <w:jc w:val="right"/>
        <w:rPr>
          <w:rFonts w:hint="eastAsia" w:ascii="仿宋" w:hAnsi="仿宋" w:eastAsia="仿宋"/>
          <w:color w:val="000000" w:themeColor="text1"/>
          <w:sz w:val="32"/>
          <w:szCs w:val="32"/>
        </w:rPr>
      </w:pPr>
      <w:r>
        <w:rPr>
          <w:rFonts w:hint="eastAsia" w:ascii="仿宋" w:hAnsi="仿宋" w:eastAsia="仿宋"/>
          <w:color w:val="000000" w:themeColor="text1"/>
          <w:sz w:val="32"/>
          <w:szCs w:val="32"/>
        </w:rPr>
        <w:t>闵行区人民政府教育督导室</w:t>
      </w:r>
    </w:p>
    <w:p w14:paraId="29BA2882">
      <w:pPr>
        <w:pStyle w:val="8"/>
        <w:snapToGrid w:val="0"/>
        <w:spacing w:before="0" w:beforeAutospacing="0" w:after="0" w:afterAutospacing="0" w:line="360" w:lineRule="auto"/>
        <w:ind w:left="2098" w:right="506" w:rightChars="241" w:firstLine="641"/>
        <w:jc w:val="right"/>
        <w:rPr>
          <w:rFonts w:hint="eastAsia" w:ascii="仿宋" w:hAnsi="仿宋" w:eastAsia="仿宋"/>
          <w:color w:val="000000" w:themeColor="text1"/>
          <w:sz w:val="32"/>
          <w:szCs w:val="32"/>
        </w:rPr>
      </w:pPr>
      <w:r>
        <w:rPr>
          <w:rFonts w:hint="eastAsia"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年6月30日</w:t>
      </w:r>
    </w:p>
    <w:p w14:paraId="13A652C4">
      <w:pPr>
        <w:spacing w:after="80" w:line="500" w:lineRule="exact"/>
        <w:ind w:firstLine="280" w:firstLineChars="100"/>
        <w:rPr>
          <w:rFonts w:hint="eastAsia" w:ascii="黑体" w:hAnsi="黑体" w:eastAsia="黑体"/>
          <w:color w:val="000000" w:themeColor="text1"/>
          <w:sz w:val="28"/>
          <w:szCs w:val="28"/>
        </w:rPr>
      </w:pPr>
      <w:r>
        <w:rPr>
          <w:rFonts w:hint="eastAsia" w:ascii="黑体" w:hAnsi="黑体" w:eastAsia="黑体" w:cs="宋体"/>
          <w:color w:val="000000" w:themeColor="text1"/>
          <w:kern w:val="0"/>
          <w:sz w:val="28"/>
          <w:szCs w:val="28"/>
        </w:rPr>
        <w:t>公开属性：主动公开</w:t>
      </w:r>
      <w:r>
        <w:rPr>
          <w:rFonts w:hint="eastAsia" w:ascii="黑体" w:hAnsi="黑体" w:eastAsia="黑体"/>
          <w:color w:val="000000" w:themeColor="text1"/>
          <w:sz w:val="28"/>
          <w:szCs w:val="28"/>
        </w:rPr>
        <w:pict>
          <v:line id="直接连接符 3" o:spid="_x0000_s2050" o:spt="20" style="position:absolute;left:0pt;margin-left:0pt;margin-top:30.3pt;height:0pt;width:451.5pt;z-index:251659264;mso-width-relative:page;mso-height-relative:page;" filled="f" stroked="t" coordsize="21600,21600" o:gfxdata="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JRoR0wAA&#10;AAYBAAAPAAAAAAAAAAEAIAAAACIAAABkcnMvZG93bnJldi54bWxQSwECFAAUAAAACACHTuJA4m5g&#10;2+oBAAC4AwAADgAAAAAAAAABACAAAAAiAQAAZHJzL2Uyb0RvYy54bWxQSwUGAAAAAAYABgBZAQAA&#10;fgUAAAAA&#10;">
            <v:path arrowok="t"/>
            <v:fill on="f" focussize="0,0"/>
            <v:stroke color="#000000" joinstyle="round"/>
            <v:imagedata o:title=""/>
            <o:lock v:ext="edit" aspectratio="f"/>
          </v:line>
        </w:pict>
      </w:r>
    </w:p>
    <w:p w14:paraId="0EC712C6">
      <w:pPr>
        <w:spacing w:before="80" w:after="80" w:line="500" w:lineRule="exact"/>
        <w:ind w:firstLine="280" w:firstLineChars="100"/>
        <w:rPr>
          <w:rFonts w:hint="eastAsia" w:ascii="仿宋" w:hAnsi="仿宋" w:eastAsia="仿宋"/>
          <w:color w:val="000000" w:themeColor="text1"/>
          <w:sz w:val="28"/>
          <w:szCs w:val="28"/>
        </w:rPr>
      </w:pPr>
      <w:r>
        <w:rPr>
          <w:rFonts w:hint="eastAsia" w:ascii="仿宋" w:hAnsi="仿宋" w:eastAsia="仿宋"/>
          <w:color w:val="000000" w:themeColor="text1"/>
          <w:sz w:val="28"/>
          <w:szCs w:val="28"/>
        </w:rPr>
        <w:t>抄送：闵行区人民政府办公室、</w:t>
      </w:r>
      <w:r>
        <w:rPr>
          <w:rFonts w:hint="eastAsia" w:ascii="仿宋" w:hAnsi="仿宋" w:eastAsia="仿宋"/>
          <w:color w:val="000000" w:themeColor="text1"/>
          <w:sz w:val="28"/>
          <w:szCs w:val="28"/>
          <w:lang w:val="en-US" w:eastAsia="zh-CN"/>
        </w:rPr>
        <w:t>莘庄镇</w:t>
      </w:r>
      <w:r>
        <w:rPr>
          <w:rFonts w:hint="eastAsia" w:ascii="仿宋" w:hAnsi="仿宋" w:eastAsia="仿宋"/>
          <w:color w:val="000000" w:themeColor="text1"/>
          <w:sz w:val="28"/>
          <w:szCs w:val="28"/>
        </w:rPr>
        <w:t>、上海市闵行区教育局</w:t>
      </w:r>
    </w:p>
    <w:p w14:paraId="7F466BF1">
      <w:pPr>
        <w:spacing w:after="80" w:line="500" w:lineRule="exact"/>
        <w:ind w:firstLine="280" w:firstLineChars="100"/>
        <w:rPr>
          <w:rFonts w:hint="eastAsia" w:ascii="仿宋" w:hAnsi="仿宋" w:eastAsia="仿宋"/>
          <w:color w:val="000000" w:themeColor="text1"/>
          <w:sz w:val="28"/>
          <w:szCs w:val="28"/>
        </w:rPr>
      </w:pPr>
      <w:r>
        <w:rPr>
          <w:rFonts w:hint="eastAsia" w:ascii="Times New Roman" w:hAnsi="Times New Roman" w:eastAsia="宋体"/>
          <w:color w:val="000000" w:themeColor="text1"/>
          <w:sz w:val="28"/>
          <w:szCs w:val="28"/>
        </w:rPr>
        <w:pict>
          <v:line id="直接连接符 2" o:spid="_x0000_s2051" o:spt="20" style="position:absolute;left:0pt;margin-left:0pt;margin-top:-0.5pt;height:0pt;width:451.5pt;z-index:251660288;mso-width-relative:page;mso-height-relative:page;" filled="f" stroked="t" coordsize="21600,21600" o:gfxdata="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tlovrTAAAA&#10;BgEAAA8AAAAAAAAAAQAgAAAAIgAAAGRycy9kb3ducmV2LnhtbFBLAQIUABQAAAAIAIdO4kBEd1uf&#10;6QEAALgDAAAOAAAAAAAAAAEAIAAAACIBAABkcnMvZTJvRG9jLnhtbFBLBQYAAAAABgAGAFkBAAB9&#10;BQAAAAA=&#10;">
            <v:path arrowok="t"/>
            <v:fill on="f" focussize="0,0"/>
            <v:stroke color="#000000" joinstyle="round"/>
            <v:imagedata o:title=""/>
            <o:lock v:ext="edit" aspectratio="f"/>
          </v:line>
        </w:pict>
      </w:r>
      <w:r>
        <w:rPr>
          <w:rFonts w:hint="eastAsia" w:ascii="Times New Roman" w:hAnsi="Times New Roman" w:eastAsia="宋体"/>
          <w:color w:val="000000" w:themeColor="text1"/>
          <w:sz w:val="28"/>
          <w:szCs w:val="28"/>
        </w:rPr>
        <w:pict>
          <v:line id="直接连接符 1" o:spid="_x0000_s2052" o:spt="20" style="position:absolute;left:0pt;margin-left:0pt;margin-top:29.5pt;height:0pt;width:451.5pt;z-index:251660288;mso-width-relative:page;mso-height-relative:page;" filled="f" stroked="t" coordsize="21600,21600" o:gfxdata="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DBrX1AAA&#10;AAYBAAAPAAAAAAAAAAEAIAAAACIAAABkcnMvZG93bnJldi54bWxQSwECFAAUAAAACACHTuJArl0W&#10;U+kBAAC4AwAADgAAAAAAAAABACAAAAAjAQAAZHJzL2Uyb0RvYy54bWxQSwUGAAAAAAYABgBZAQAA&#10;fgUAAAAA&#10;">
            <v:path arrowok="t"/>
            <v:fill on="f" focussize="0,0"/>
            <v:stroke color="#000000" joinstyle="round"/>
            <v:imagedata o:title=""/>
            <o:lock v:ext="edit" aspectratio="f"/>
          </v:line>
        </w:pict>
      </w:r>
      <w:r>
        <w:rPr>
          <w:rFonts w:hint="eastAsia" w:ascii="仿宋" w:hAnsi="仿宋" w:eastAsia="仿宋"/>
          <w:color w:val="000000" w:themeColor="text1"/>
          <w:sz w:val="28"/>
          <w:szCs w:val="28"/>
        </w:rPr>
        <w:t>闵行区人民政府教育督导室              202</w:t>
      </w:r>
      <w:r>
        <w:rPr>
          <w:rFonts w:hint="eastAsia" w:ascii="仿宋" w:hAnsi="仿宋" w:eastAsia="仿宋"/>
          <w:color w:val="000000" w:themeColor="text1"/>
          <w:sz w:val="28"/>
          <w:szCs w:val="28"/>
          <w:lang w:val="en-US" w:eastAsia="zh-CN"/>
        </w:rPr>
        <w:t>5</w:t>
      </w:r>
      <w:r>
        <w:rPr>
          <w:rFonts w:hint="eastAsia" w:ascii="仿宋" w:hAnsi="仿宋" w:eastAsia="仿宋"/>
          <w:color w:val="000000" w:themeColor="text1"/>
          <w:sz w:val="28"/>
          <w:szCs w:val="28"/>
        </w:rPr>
        <w:t>年6月30日印发</w:t>
      </w:r>
    </w:p>
    <w:p w14:paraId="76EDDD5F">
      <w:pPr>
        <w:rPr>
          <w:rFonts w:hint="eastAsia" w:ascii="仿宋" w:hAnsi="仿宋" w:eastAsia="仿宋" w:cs="宋体"/>
          <w:b/>
          <w:kern w:val="0"/>
          <w:sz w:val="36"/>
          <w:szCs w:val="36"/>
        </w:rPr>
      </w:pPr>
      <w:r>
        <w:rPr>
          <w:rFonts w:hint="eastAsia" w:ascii="仿宋" w:hAnsi="仿宋" w:eastAsia="仿宋" w:cs="宋体"/>
          <w:b/>
          <w:kern w:val="0"/>
          <w:sz w:val="36"/>
          <w:szCs w:val="36"/>
        </w:rPr>
        <w:br w:type="page"/>
      </w:r>
    </w:p>
    <w:p w14:paraId="48A1B89A">
      <w:pPr>
        <w:widowControl/>
        <w:spacing w:line="360" w:lineRule="auto"/>
        <w:jc w:val="left"/>
        <w:rPr>
          <w:rFonts w:hint="eastAsia" w:ascii="黑体" w:hAnsi="黑体" w:eastAsia="黑体" w:cs="仿宋"/>
          <w:color w:val="000000" w:themeColor="text1"/>
          <w:kern w:val="0"/>
          <w:sz w:val="32"/>
          <w:szCs w:val="32"/>
        </w:rPr>
      </w:pPr>
      <w:r>
        <w:rPr>
          <w:rFonts w:hint="eastAsia" w:ascii="黑体" w:hAnsi="黑体" w:eastAsia="黑体" w:cs="仿宋"/>
          <w:color w:val="000000" w:themeColor="text1"/>
          <w:kern w:val="0"/>
          <w:sz w:val="32"/>
          <w:szCs w:val="32"/>
        </w:rPr>
        <w:t>附件</w:t>
      </w:r>
    </w:p>
    <w:p w14:paraId="464EDBF5">
      <w:pPr>
        <w:widowControl/>
        <w:spacing w:line="360" w:lineRule="auto"/>
        <w:jc w:val="left"/>
        <w:rPr>
          <w:rFonts w:hint="eastAsia" w:ascii="黑体" w:hAnsi="黑体" w:eastAsia="黑体" w:cs="仿宋"/>
          <w:color w:val="000000" w:themeColor="text1"/>
          <w:kern w:val="0"/>
          <w:sz w:val="32"/>
          <w:szCs w:val="32"/>
        </w:rPr>
      </w:pPr>
    </w:p>
    <w:p w14:paraId="2798569C">
      <w:pPr>
        <w:widowControl/>
        <w:spacing w:line="360" w:lineRule="auto"/>
        <w:jc w:val="center"/>
        <w:rPr>
          <w:rFonts w:hint="eastAsia" w:ascii="方正小标宋简体" w:hAnsi="方正小标宋简体" w:eastAsia="方正小标宋简体" w:cs="方正小标宋简体"/>
          <w:b w:val="0"/>
          <w:bCs/>
          <w:kern w:val="0"/>
          <w:sz w:val="36"/>
          <w:szCs w:val="36"/>
        </w:rPr>
      </w:pPr>
      <w:r>
        <w:rPr>
          <w:rFonts w:hint="eastAsia" w:ascii="方正小标宋简体" w:hAnsi="方正小标宋简体" w:eastAsia="方正小标宋简体" w:cs="方正小标宋简体"/>
          <w:b w:val="0"/>
          <w:bCs/>
          <w:kern w:val="0"/>
          <w:sz w:val="36"/>
          <w:szCs w:val="36"/>
        </w:rPr>
        <w:t>上海市闵行区康城幼儿园</w:t>
      </w:r>
    </w:p>
    <w:p w14:paraId="22C5878E">
      <w:pPr>
        <w:widowControl/>
        <w:spacing w:line="360" w:lineRule="auto"/>
        <w:jc w:val="center"/>
        <w:rPr>
          <w:rFonts w:hint="eastAsia" w:ascii="仿宋" w:hAnsi="仿宋" w:eastAsia="仿宋" w:cs="宋体"/>
          <w:b/>
          <w:kern w:val="0"/>
          <w:sz w:val="36"/>
          <w:szCs w:val="36"/>
        </w:rPr>
      </w:pPr>
      <w:r>
        <w:rPr>
          <w:rFonts w:hint="eastAsia" w:ascii="方正小标宋简体" w:hAnsi="方正小标宋简体" w:eastAsia="方正小标宋简体" w:cs="方正小标宋简体"/>
          <w:b w:val="0"/>
          <w:bCs/>
          <w:kern w:val="0"/>
          <w:sz w:val="36"/>
          <w:szCs w:val="36"/>
        </w:rPr>
        <w:t>办园水平（2020-2025）综合督导意见书</w:t>
      </w:r>
    </w:p>
    <w:p w14:paraId="1B2E1DDD">
      <w:pPr>
        <w:widowControl/>
        <w:spacing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kern w:val="0"/>
          <w:sz w:val="28"/>
          <w:szCs w:val="28"/>
        </w:rPr>
        <w:t>教育部《幼儿园办园行为督导评估办法》和《上海市教育督导条例》，</w:t>
      </w:r>
      <w:r>
        <w:rPr>
          <w:rFonts w:hint="eastAsia" w:ascii="仿宋" w:hAnsi="仿宋" w:eastAsia="仿宋" w:cs="仿宋"/>
          <w:sz w:val="28"/>
          <w:szCs w:val="28"/>
        </w:rPr>
        <w:t>闵行区人民政府教育督导室于2025年5月20日对上海市闵行区康城幼儿园办园水平（2020-2025）进行了实地督导评估。实地督导前，督导组审核幼儿园提交的材料；</w:t>
      </w:r>
      <w:r>
        <w:rPr>
          <w:rFonts w:hint="eastAsia" w:ascii="仿宋" w:hAnsi="仿宋" w:eastAsia="仿宋" w:cs="仿宋"/>
          <w:kern w:val="0"/>
          <w:sz w:val="28"/>
          <w:szCs w:val="28"/>
        </w:rPr>
        <w:t>对园内92名教师以及563位家长进行问卷调查</w:t>
      </w:r>
      <w:r>
        <w:rPr>
          <w:rFonts w:hint="eastAsia" w:ascii="仿宋" w:hAnsi="仿宋" w:eastAsia="仿宋" w:cs="仿宋"/>
          <w:sz w:val="28"/>
          <w:szCs w:val="28"/>
        </w:rPr>
        <w:t>。实地督导期间，督导组通过听取徐蓉园长自评汇报，察看园容园貌、现场查阅资料、观摩一日活动各个环节，</w:t>
      </w:r>
      <w:r>
        <w:rPr>
          <w:rFonts w:hint="eastAsia" w:ascii="仿宋" w:hAnsi="仿宋" w:eastAsia="仿宋" w:cs="仿宋"/>
          <w:kern w:val="0"/>
          <w:sz w:val="28"/>
          <w:szCs w:val="28"/>
        </w:rPr>
        <w:t>访谈幼儿园</w:t>
      </w:r>
      <w:r>
        <w:rPr>
          <w:rFonts w:hint="eastAsia" w:ascii="仿宋" w:hAnsi="仿宋" w:eastAsia="仿宋" w:cs="仿宋"/>
          <w:sz w:val="28"/>
          <w:szCs w:val="28"/>
        </w:rPr>
        <w:t>园长、中层干部、教研组长、教师以及三大员共</w:t>
      </w:r>
      <w:r>
        <w:rPr>
          <w:rFonts w:hint="eastAsia" w:ascii="仿宋" w:hAnsi="仿宋" w:eastAsia="仿宋" w:cs="仿宋"/>
          <w:kern w:val="0"/>
          <w:sz w:val="28"/>
          <w:szCs w:val="28"/>
        </w:rPr>
        <w:t>33人次。</w:t>
      </w:r>
    </w:p>
    <w:p w14:paraId="1AD37158">
      <w:pPr>
        <w:pStyle w:val="4"/>
        <w:spacing w:line="360" w:lineRule="auto"/>
        <w:ind w:right="0" w:rightChars="0" w:firstLine="562" w:firstLineChars="200"/>
        <w:outlineLvl w:val="2"/>
        <w:rPr>
          <w:rFonts w:ascii="仿宋" w:hAnsi="仿宋" w:eastAsia="仿宋" w:cs="仿宋"/>
          <w:kern w:val="2"/>
          <w:sz w:val="28"/>
          <w:szCs w:val="28"/>
        </w:rPr>
      </w:pPr>
      <w:r>
        <w:rPr>
          <w:rStyle w:val="12"/>
          <w:rFonts w:hint="eastAsia" w:ascii="仿宋" w:hAnsi="仿宋" w:eastAsia="仿宋" w:cs="仿宋"/>
          <w:b/>
          <w:sz w:val="28"/>
          <w:szCs w:val="28"/>
          <w:lang w:val="zh-TW" w:eastAsia="zh-TW"/>
        </w:rPr>
        <w:t>综合分析各类信息，督导组认为：</w:t>
      </w:r>
      <w:bookmarkStart w:id="0" w:name="_Toc500313792"/>
      <w:bookmarkStart w:id="1" w:name="_Toc500332358"/>
      <w:r>
        <w:rPr>
          <w:rFonts w:hint="eastAsia" w:ascii="仿宋" w:hAnsi="仿宋" w:eastAsia="仿宋" w:cs="仿宋"/>
          <w:kern w:val="2"/>
          <w:sz w:val="28"/>
          <w:szCs w:val="28"/>
        </w:rPr>
        <w:t>康城幼儿园以“党建引领、师能驱动、课程优化、管理护航”为核心，构建“党建+育人”模式，通过师德建设、梯队培养、家园社协同等提升办园质量；秉持“环境即课程”理念，打造沉浸式空间，完善课程体系，以教研促师幼发展；依托市级“保育工作室”优化保健管理，严抓消毒防控与疾病防控且成效明显，实现了党建领航下管理、保教、卫生保健等工作水平的全面提升。</w:t>
      </w:r>
      <w:r>
        <w:rPr>
          <w:rFonts w:hint="eastAsia" w:ascii="仿宋" w:hAnsi="仿宋" w:eastAsia="仿宋" w:cs="仿宋"/>
          <w:sz w:val="28"/>
          <w:szCs w:val="28"/>
        </w:rPr>
        <w:t>幼儿园连续多年获教育局办学绩效评价优秀等第奖。</w:t>
      </w:r>
    </w:p>
    <w:bookmarkEnd w:id="0"/>
    <w:bookmarkEnd w:id="1"/>
    <w:p w14:paraId="324EB4A6">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依据《闵行区中小学（幼儿园）办学水平（2020-2025）综合督导方案》，对照督导指标，提出如下评估意见。</w:t>
      </w:r>
    </w:p>
    <w:p w14:paraId="6A62EB93">
      <w:pPr>
        <w:pStyle w:val="4"/>
        <w:spacing w:line="360" w:lineRule="auto"/>
        <w:ind w:right="0" w:rightChars="0"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一、主要做法与成效</w:t>
      </w:r>
    </w:p>
    <w:p w14:paraId="0CA68650">
      <w:pPr>
        <w:pStyle w:val="4"/>
        <w:spacing w:line="360" w:lineRule="auto"/>
        <w:ind w:right="0" w:rightChars="0"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（一）党建引领筑根基，以礼润心优品质</w:t>
      </w:r>
    </w:p>
    <w:p w14:paraId="0DDAFDB6">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一是党建引领，</w:t>
      </w:r>
      <w:r>
        <w:rPr>
          <w:rFonts w:hint="eastAsia" w:ascii="仿宋" w:hAnsi="仿宋" w:eastAsia="仿宋" w:cs="仿宋"/>
          <w:b/>
          <w:bCs/>
          <w:kern w:val="0"/>
          <w:sz w:val="28"/>
          <w:szCs w:val="28"/>
        </w:rPr>
        <w:t>彰显了立德树人的育人价值。</w:t>
      </w:r>
      <w:r>
        <w:rPr>
          <w:rFonts w:hint="eastAsia" w:ascii="仿宋" w:hAnsi="仿宋" w:eastAsia="仿宋" w:cs="仿宋"/>
          <w:sz w:val="28"/>
          <w:szCs w:val="28"/>
        </w:rPr>
        <w:t>幼儿园充分发挥党支部的政治核心作用和党员的模范带头作用，结合</w:t>
      </w:r>
      <w:r>
        <w:rPr>
          <w:rFonts w:hint="eastAsia" w:ascii="仿宋" w:hAnsi="仿宋" w:eastAsia="仿宋" w:cs="仿宋"/>
          <w:kern w:val="0"/>
          <w:sz w:val="28"/>
          <w:szCs w:val="28"/>
        </w:rPr>
        <w:t>“</w:t>
      </w:r>
      <w:r>
        <w:rPr>
          <w:rFonts w:hint="eastAsia" w:ascii="仿宋" w:hAnsi="仿宋" w:eastAsia="仿宋" w:cs="仿宋"/>
          <w:sz w:val="28"/>
          <w:szCs w:val="28"/>
        </w:rPr>
        <w:t>尚礼育人、全面发展”的办园理念，全面落实立德树人根本任务。健全党建工作制度，抓实思想政治建设，从党支部书记讲党课，延伸到党员的党课巡讲。通过</w:t>
      </w:r>
      <w:r>
        <w:rPr>
          <w:rFonts w:hint="eastAsia" w:ascii="仿宋" w:hAnsi="仿宋" w:eastAsia="仿宋" w:cs="仿宋"/>
          <w:kern w:val="0"/>
          <w:sz w:val="28"/>
          <w:szCs w:val="28"/>
        </w:rPr>
        <w:t>开展</w:t>
      </w:r>
      <w:r>
        <w:rPr>
          <w:rFonts w:hint="eastAsia" w:ascii="仿宋" w:hAnsi="仿宋" w:eastAsia="仿宋" w:cs="仿宋"/>
          <w:sz w:val="28"/>
          <w:szCs w:val="28"/>
        </w:rPr>
        <w:t>“四有好教师”评比表彰、谈心谈话等系列活动，将“五爱”教育润泽在文化建设中，厚植了党员、教职工爱的情怀，并传播给幼儿和家长，党政融合初见“大教育”格局。</w:t>
      </w:r>
      <w:bookmarkStart w:id="2" w:name="_Hlk15632225"/>
      <w:r>
        <w:rPr>
          <w:rFonts w:hint="eastAsia" w:ascii="仿宋" w:hAnsi="仿宋" w:eastAsia="仿宋" w:cs="仿宋"/>
          <w:sz w:val="28"/>
          <w:szCs w:val="28"/>
        </w:rPr>
        <w:t>党支部荣获教育系统三星党组织称号、基层党建优秀新闻宣传单位等荣誉。</w:t>
      </w:r>
      <w:bookmarkEnd w:id="2"/>
      <w:r>
        <w:rPr>
          <w:rFonts w:hint="eastAsia" w:ascii="仿宋" w:hAnsi="仿宋" w:eastAsia="仿宋" w:cs="仿宋"/>
          <w:b/>
          <w:bCs/>
          <w:sz w:val="28"/>
          <w:szCs w:val="28"/>
        </w:rPr>
        <w:t>二是目标明确，促进了办园水平的持续提升</w:t>
      </w:r>
      <w:r>
        <w:rPr>
          <w:rFonts w:hint="eastAsia" w:ascii="仿宋" w:hAnsi="仿宋" w:eastAsia="仿宋" w:cs="仿宋"/>
          <w:sz w:val="28"/>
          <w:szCs w:val="28"/>
        </w:rPr>
        <w:t>。幼儿园编制了“强基础 聚文化 求突破 争创新”为主题的五年发展规划，规划框架结构、基本要素齐全，办园理念明确，目标定位贴近发展实际，一定程度上体现对办园优势的传承和当下高质量发展要求。规划编制过程注重教职工参与，重视优势与挑战的分析，助力团队上下齐心共谋发展愿景。规划实施过程中落实每年目标达成的自我评价，注重反思、调整与改进，规划目标达成度高，促进了办园水平的持续提升。</w:t>
      </w:r>
      <w:r>
        <w:rPr>
          <w:rFonts w:hint="eastAsia" w:ascii="仿宋" w:hAnsi="仿宋" w:eastAsia="仿宋" w:cs="仿宋"/>
          <w:b/>
          <w:bCs/>
          <w:sz w:val="28"/>
          <w:szCs w:val="28"/>
        </w:rPr>
        <w:t>三是管理规范，呈现了和谐进取的校园氛围</w:t>
      </w:r>
      <w:r>
        <w:rPr>
          <w:rFonts w:hint="eastAsia" w:ascii="仿宋" w:hAnsi="仿宋" w:eastAsia="仿宋" w:cs="仿宋"/>
          <w:sz w:val="28"/>
          <w:szCs w:val="28"/>
        </w:rPr>
        <w:t>。幼儿园坚持依法规范办园，修订章程，动态调整各项规章制度和岗位职责，“立改废”程序规范。日常通过周工作安排、月工作汇报、各类会议召开、行政巡查、教职工考核等来保障管理的有序、有效运行。实施民主管理，落实园务公开，“三重一大”决策程序规范。定期召开全教会，落实提案征集，集体审议幼儿园重大事项。园长有教育情怀、有很强的课程领导力，倾心于师幼发展，以自身的人格魅力被教工所拥戴；中层团队好学、善思与上进，整个校园呈现和谐进取、积极向上的氛围。本次教师问卷调查30项指标认为好的达97%以上。</w:t>
      </w:r>
      <w:r>
        <w:rPr>
          <w:rFonts w:hint="eastAsia" w:ascii="仿宋" w:hAnsi="仿宋" w:eastAsia="仿宋" w:cs="仿宋"/>
          <w:b/>
          <w:bCs/>
          <w:sz w:val="28"/>
          <w:szCs w:val="28"/>
        </w:rPr>
        <w:t>四是儿童视角，收获了礼仪教育的实践成效</w:t>
      </w:r>
      <w:r>
        <w:rPr>
          <w:rFonts w:hint="eastAsia" w:ascii="仿宋" w:hAnsi="仿宋" w:eastAsia="仿宋" w:cs="仿宋"/>
          <w:sz w:val="28"/>
          <w:szCs w:val="28"/>
        </w:rPr>
        <w:t>。多年来，幼儿园围绕礼仪教育课程，以儿童视角，共创了“五爱”教育环境，开展了“童心向党”系列主题活动，通过融入性和专门性的课程活动，彰显幼儿园礼仪教育特色。依托区重课题，加强教师从自身本源去提升道德品行、从外显表现去优化榜样力量，育己育人，凸显立德树人可视化的成效。幼儿园有19项课题立项，论文、案例获奖、发表16篇，编制礼仪大活动方案集、9册工作室经验集、5册后勤指导成果集。成立了孙晓海上海市保育带头人工作室、莘庄镇杨霞静“礼·享”教师工作室，发挥了示范引领的作用，成为老百姓口口相传的优质园。</w:t>
      </w:r>
    </w:p>
    <w:p w14:paraId="157CEB03">
      <w:pPr>
        <w:pStyle w:val="4"/>
        <w:spacing w:line="360" w:lineRule="auto"/>
        <w:ind w:right="0" w:rightChars="0" w:firstLine="560" w:firstLineChars="200"/>
        <w:rPr>
          <w:rFonts w:hint="eastAsia" w:ascii="楷体" w:hAnsi="楷体" w:eastAsia="楷体" w:cs="楷体"/>
          <w:b w:val="0"/>
          <w:bCs w:val="0"/>
          <w:color w:val="1C1F23"/>
          <w:sz w:val="28"/>
          <w:szCs w:val="28"/>
          <w:shd w:val="clear" w:color="auto" w:fill="FFFFFF"/>
        </w:rPr>
      </w:pPr>
      <w:r>
        <w:rPr>
          <w:rFonts w:hint="eastAsia" w:ascii="楷体" w:hAnsi="楷体" w:eastAsia="楷体" w:cs="楷体"/>
          <w:b w:val="0"/>
          <w:bCs w:val="0"/>
          <w:sz w:val="28"/>
          <w:szCs w:val="28"/>
        </w:rPr>
        <w:t>（二）</w:t>
      </w:r>
      <w:r>
        <w:rPr>
          <w:rFonts w:hint="eastAsia" w:ascii="楷体" w:hAnsi="楷体" w:eastAsia="楷体" w:cs="楷体"/>
          <w:b w:val="0"/>
          <w:bCs w:val="0"/>
          <w:color w:val="1C1F23"/>
          <w:sz w:val="28"/>
          <w:szCs w:val="28"/>
          <w:shd w:val="clear" w:color="auto" w:fill="FFFFFF"/>
        </w:rPr>
        <w:t xml:space="preserve">三擎驱动育师能，协同共建聚合力 </w:t>
      </w:r>
    </w:p>
    <w:p w14:paraId="1729DC30">
      <w:pPr>
        <w:widowControl/>
        <w:spacing w:line="360" w:lineRule="auto"/>
        <w:ind w:firstLine="562" w:firstLineChars="200"/>
        <w:contextualSpacing/>
        <w:rPr>
          <w:rFonts w:ascii="仿宋" w:hAnsi="仿宋" w:eastAsia="仿宋" w:cs="仿宋"/>
          <w:color w:val="1C1F23"/>
          <w:kern w:val="0"/>
          <w:sz w:val="28"/>
          <w:szCs w:val="28"/>
          <w:shd w:val="clear" w:color="auto" w:fill="FFFFFF"/>
        </w:rPr>
      </w:pPr>
      <w:r>
        <w:rPr>
          <w:rStyle w:val="11"/>
          <w:rFonts w:hint="eastAsia" w:ascii="仿宋" w:hAnsi="仿宋" w:eastAsia="仿宋" w:cs="仿宋"/>
          <w:color w:val="1C1F23"/>
          <w:kern w:val="0"/>
          <w:sz w:val="28"/>
          <w:szCs w:val="28"/>
          <w:shd w:val="clear" w:color="auto" w:fill="FFFFFF"/>
        </w:rPr>
        <w:t>一是</w:t>
      </w:r>
      <w:r>
        <w:rPr>
          <w:rFonts w:hint="eastAsia" w:ascii="仿宋" w:hAnsi="仿宋" w:eastAsia="仿宋" w:cs="仿宋"/>
          <w:b/>
          <w:sz w:val="28"/>
          <w:szCs w:val="28"/>
        </w:rPr>
        <w:t>夯实师德师风建设。</w:t>
      </w:r>
      <w:r>
        <w:rPr>
          <w:rFonts w:hint="eastAsia" w:ascii="仿宋" w:hAnsi="仿宋" w:eastAsia="仿宋" w:cs="仿宋"/>
          <w:sz w:val="28"/>
          <w:szCs w:val="28"/>
        </w:rPr>
        <w:t>幼儿园规范师德师风建设，依据时代要求不断健全、完善师德建设的各类制度，与教职工签订师德承诺书，健全师德考核评价与监督约束机制，以“身正为范”课题为引领，开展 “教师节表彰”“师德演讲”“微论坛”“小矮人行动” 等主题活动；强化身边榜样引领，推动师德师风建设常态化、长效化，将高尚师德转化为育人实践。</w:t>
      </w:r>
      <w:r>
        <w:rPr>
          <w:rStyle w:val="11"/>
          <w:rFonts w:hint="eastAsia" w:ascii="仿宋" w:hAnsi="仿宋" w:eastAsia="仿宋" w:cs="仿宋"/>
          <w:color w:val="1C1F23"/>
          <w:kern w:val="0"/>
          <w:sz w:val="28"/>
          <w:szCs w:val="28"/>
          <w:shd w:val="clear" w:color="auto" w:fill="FFFFFF"/>
        </w:rPr>
        <w:t>二是</w:t>
      </w:r>
      <w:r>
        <w:rPr>
          <w:rFonts w:hint="eastAsia" w:ascii="仿宋" w:hAnsi="仿宋" w:eastAsia="仿宋" w:cs="仿宋"/>
          <w:b/>
          <w:sz w:val="28"/>
          <w:szCs w:val="28"/>
        </w:rPr>
        <w:t>打造专业师资队伍。</w:t>
      </w:r>
      <w:r>
        <w:rPr>
          <w:rFonts w:hint="eastAsia" w:ascii="仿宋" w:hAnsi="仿宋" w:eastAsia="仿宋" w:cs="仿宋"/>
          <w:sz w:val="28"/>
          <w:szCs w:val="28"/>
        </w:rPr>
        <w:t>幼儿园构建系统化教师成长生态，制定五年规划与个人手册，通过多维度评估机制定位发展方向；实施分层师徒带教，园长牵头培养管理骨干并全程记录；开展校本研修，以 9 个特色工作室凝聚智慧、共享成果；通过岗位轮岗与工作室优化管理机制。目前梯队建设成效显著，高职称及骨干占比高，教职工赛事成果丰硕，名师工作室发挥区域辐射作用。</w:t>
      </w:r>
      <w:r>
        <w:rPr>
          <w:rFonts w:hint="eastAsia" w:ascii="仿宋" w:hAnsi="仿宋" w:eastAsia="仿宋" w:cs="仿宋"/>
          <w:b/>
          <w:sz w:val="28"/>
          <w:szCs w:val="28"/>
        </w:rPr>
        <w:t>三是构建三方共育机制。</w:t>
      </w:r>
      <w:r>
        <w:rPr>
          <w:rFonts w:ascii="仿宋" w:hAnsi="仿宋" w:eastAsia="仿宋" w:cs="仿宋"/>
          <w:color w:val="1C1F23"/>
          <w:kern w:val="0"/>
          <w:sz w:val="28"/>
          <w:szCs w:val="28"/>
          <w:shd w:val="clear" w:color="auto" w:fill="FFFFFF"/>
        </w:rPr>
        <w:t>幼儿园构建“家庭</w:t>
      </w:r>
      <w:r>
        <w:rPr>
          <w:rFonts w:hint="eastAsia" w:ascii="仿宋" w:hAnsi="仿宋" w:eastAsia="仿宋" w:cs="仿宋"/>
          <w:color w:val="1C1F23"/>
          <w:kern w:val="0"/>
          <w:sz w:val="28"/>
          <w:szCs w:val="28"/>
          <w:shd w:val="clear" w:color="auto" w:fill="FFFFFF"/>
        </w:rPr>
        <w:t>-</w:t>
      </w:r>
      <w:r>
        <w:rPr>
          <w:rFonts w:ascii="仿宋" w:hAnsi="仿宋" w:eastAsia="仿宋" w:cs="仿宋"/>
          <w:color w:val="1C1F23"/>
          <w:kern w:val="0"/>
          <w:sz w:val="28"/>
          <w:szCs w:val="28"/>
          <w:shd w:val="clear" w:color="auto" w:fill="FFFFFF"/>
        </w:rPr>
        <w:t xml:space="preserve">学校 </w:t>
      </w:r>
      <w:r>
        <w:rPr>
          <w:rFonts w:hint="eastAsia" w:ascii="仿宋" w:hAnsi="仿宋" w:eastAsia="仿宋" w:cs="仿宋"/>
          <w:color w:val="1C1F23"/>
          <w:kern w:val="0"/>
          <w:sz w:val="28"/>
          <w:szCs w:val="28"/>
          <w:shd w:val="clear" w:color="auto" w:fill="FFFFFF"/>
        </w:rPr>
        <w:t>-</w:t>
      </w:r>
      <w:r>
        <w:rPr>
          <w:rFonts w:ascii="仿宋" w:hAnsi="仿宋" w:eastAsia="仿宋" w:cs="仿宋"/>
          <w:color w:val="1C1F23"/>
          <w:kern w:val="0"/>
          <w:sz w:val="28"/>
          <w:szCs w:val="28"/>
          <w:shd w:val="clear" w:color="auto" w:fill="FFFFFF"/>
        </w:rPr>
        <w:t>社会”三位一体协同育人模式。搭建三级家委会，明确职能；优化家长学校课程，开展多元共育活动；完善考核培训机制，提升教师沟通能力。同时</w:t>
      </w:r>
      <w:r>
        <w:rPr>
          <w:rFonts w:hint="eastAsia" w:ascii="仿宋" w:hAnsi="仿宋" w:eastAsia="仿宋" w:cs="仿宋"/>
          <w:color w:val="1C1F23"/>
          <w:kern w:val="0"/>
          <w:sz w:val="28"/>
          <w:szCs w:val="28"/>
          <w:shd w:val="clear" w:color="auto" w:fill="FFFFFF"/>
        </w:rPr>
        <w:t>，</w:t>
      </w:r>
      <w:r>
        <w:rPr>
          <w:rFonts w:ascii="仿宋" w:hAnsi="仿宋" w:eastAsia="仿宋" w:cs="仿宋"/>
          <w:color w:val="1C1F23"/>
          <w:kern w:val="0"/>
          <w:sz w:val="28"/>
          <w:szCs w:val="28"/>
          <w:shd w:val="clear" w:color="auto" w:fill="FFFFFF"/>
        </w:rPr>
        <w:t>与</w:t>
      </w:r>
      <w:r>
        <w:rPr>
          <w:rFonts w:hint="eastAsia" w:ascii="仿宋" w:hAnsi="仿宋" w:eastAsia="仿宋" w:cs="仿宋"/>
          <w:color w:val="1C1F23"/>
          <w:kern w:val="0"/>
          <w:sz w:val="28"/>
          <w:szCs w:val="28"/>
          <w:shd w:val="clear" w:color="auto" w:fill="FFFFFF"/>
        </w:rPr>
        <w:t>9</w:t>
      </w:r>
      <w:r>
        <w:rPr>
          <w:rFonts w:ascii="仿宋" w:hAnsi="仿宋" w:eastAsia="仿宋" w:cs="仿宋"/>
          <w:color w:val="1C1F23"/>
          <w:kern w:val="0"/>
          <w:sz w:val="28"/>
          <w:szCs w:val="28"/>
          <w:shd w:val="clear" w:color="auto" w:fill="FFFFFF"/>
        </w:rPr>
        <w:t>家单位共建，将社区资源融入课程，定期召开三方联席会议</w:t>
      </w:r>
      <w:r>
        <w:rPr>
          <w:rFonts w:hint="eastAsia" w:ascii="仿宋" w:hAnsi="仿宋" w:eastAsia="仿宋" w:cs="仿宋"/>
          <w:color w:val="1C1F23"/>
          <w:kern w:val="0"/>
          <w:sz w:val="28"/>
          <w:szCs w:val="28"/>
          <w:shd w:val="clear" w:color="auto" w:fill="FFFFFF"/>
        </w:rPr>
        <w:t>，</w:t>
      </w:r>
      <w:r>
        <w:rPr>
          <w:rFonts w:hint="eastAsia" w:ascii="仿宋" w:hAnsi="仿宋" w:eastAsia="仿宋" w:cs="仿宋"/>
          <w:bCs/>
          <w:sz w:val="28"/>
          <w:szCs w:val="28"/>
        </w:rPr>
        <w:t>共建共育机制形成。本次问卷显示，</w:t>
      </w:r>
      <w:r>
        <w:rPr>
          <w:rFonts w:ascii="仿宋" w:hAnsi="仿宋" w:eastAsia="仿宋" w:cs="仿宋"/>
          <w:color w:val="1C1F23"/>
          <w:kern w:val="0"/>
          <w:sz w:val="28"/>
          <w:szCs w:val="28"/>
          <w:shd w:val="clear" w:color="auto" w:fill="FFFFFF"/>
        </w:rPr>
        <w:t>家长满意度达 99.29%</w:t>
      </w:r>
      <w:r>
        <w:rPr>
          <w:rFonts w:hint="eastAsia" w:ascii="仿宋" w:hAnsi="仿宋" w:eastAsia="仿宋" w:cs="仿宋"/>
          <w:color w:val="1C1F23"/>
          <w:kern w:val="0"/>
          <w:sz w:val="28"/>
          <w:szCs w:val="28"/>
          <w:shd w:val="clear" w:color="auto" w:fill="FFFFFF"/>
        </w:rPr>
        <w:t>。幼儿园</w:t>
      </w:r>
      <w:r>
        <w:rPr>
          <w:rFonts w:ascii="仿宋" w:hAnsi="仿宋" w:eastAsia="仿宋" w:cs="仿宋"/>
          <w:color w:val="1C1F23"/>
          <w:kern w:val="0"/>
          <w:sz w:val="28"/>
          <w:szCs w:val="28"/>
          <w:shd w:val="clear" w:color="auto" w:fill="FFFFFF"/>
        </w:rPr>
        <w:t>2024年</w:t>
      </w:r>
      <w:r>
        <w:rPr>
          <w:rFonts w:hint="eastAsia" w:ascii="仿宋" w:hAnsi="仿宋" w:eastAsia="仿宋" w:cs="仿宋"/>
          <w:color w:val="1C1F23"/>
          <w:kern w:val="0"/>
          <w:sz w:val="28"/>
          <w:szCs w:val="28"/>
          <w:shd w:val="clear" w:color="auto" w:fill="FFFFFF"/>
        </w:rPr>
        <w:t>再度</w:t>
      </w:r>
      <w:r>
        <w:rPr>
          <w:rFonts w:ascii="仿宋" w:hAnsi="仿宋" w:eastAsia="仿宋" w:cs="仿宋"/>
          <w:color w:val="1C1F23"/>
          <w:kern w:val="0"/>
          <w:sz w:val="28"/>
          <w:szCs w:val="28"/>
          <w:shd w:val="clear" w:color="auto" w:fill="FFFFFF"/>
        </w:rPr>
        <w:t>获评“上海市家庭教育工作示范校”</w:t>
      </w:r>
      <w:r>
        <w:rPr>
          <w:rFonts w:hint="eastAsia" w:ascii="仿宋" w:hAnsi="仿宋" w:eastAsia="仿宋" w:cs="仿宋"/>
          <w:color w:val="1C1F23"/>
          <w:kern w:val="0"/>
          <w:sz w:val="28"/>
          <w:szCs w:val="28"/>
          <w:shd w:val="clear" w:color="auto" w:fill="FFFFFF"/>
        </w:rPr>
        <w:t>。</w:t>
      </w:r>
    </w:p>
    <w:p w14:paraId="51A537BD">
      <w:pPr>
        <w:widowControl/>
        <w:shd w:val="clear" w:color="auto" w:fill="FFFFFF"/>
        <w:spacing w:line="360" w:lineRule="auto"/>
        <w:ind w:firstLine="560" w:firstLineChars="200"/>
        <w:rPr>
          <w:rFonts w:hint="eastAsia" w:ascii="楷体" w:hAnsi="楷体" w:eastAsia="楷体" w:cs="楷体"/>
          <w:b w:val="0"/>
          <w:bCs w:val="0"/>
          <w:color w:val="1C1F23"/>
          <w:kern w:val="0"/>
          <w:sz w:val="28"/>
          <w:szCs w:val="28"/>
          <w:shd w:val="clear" w:color="auto" w:fill="FFFFFF"/>
        </w:rPr>
      </w:pPr>
      <w:r>
        <w:rPr>
          <w:rFonts w:hint="eastAsia" w:ascii="楷体" w:hAnsi="楷体" w:eastAsia="楷体" w:cs="楷体"/>
          <w:b w:val="0"/>
          <w:bCs w:val="0"/>
          <w:color w:val="1C1F23"/>
          <w:kern w:val="0"/>
          <w:sz w:val="28"/>
          <w:szCs w:val="28"/>
          <w:shd w:val="clear" w:color="auto" w:fill="FFFFFF"/>
        </w:rPr>
        <w:t>（三）优化配置强保障，安全规范筑防线</w:t>
      </w:r>
    </w:p>
    <w:p w14:paraId="295FFA90">
      <w:pPr>
        <w:widowControl/>
        <w:shd w:val="clear" w:color="auto" w:fill="FFFFFF"/>
        <w:spacing w:line="360" w:lineRule="auto"/>
        <w:ind w:firstLine="562" w:firstLineChars="200"/>
        <w:rPr>
          <w:rFonts w:ascii="仿宋" w:hAnsi="仿宋" w:eastAsia="仿宋" w:cs="仿宋"/>
          <w:color w:val="1C1F23"/>
          <w:kern w:val="0"/>
          <w:sz w:val="28"/>
          <w:szCs w:val="28"/>
          <w:shd w:val="clear" w:color="auto" w:fill="FFFFFF"/>
        </w:rPr>
      </w:pPr>
      <w:r>
        <w:rPr>
          <w:rFonts w:hint="eastAsia" w:ascii="仿宋" w:hAnsi="仿宋" w:eastAsia="仿宋" w:cs="仿宋"/>
          <w:b/>
          <w:bCs/>
          <w:color w:val="1C1F23"/>
          <w:kern w:val="0"/>
          <w:sz w:val="28"/>
          <w:szCs w:val="28"/>
          <w:shd w:val="clear" w:color="auto" w:fill="FFFFFF"/>
        </w:rPr>
        <w:t>一是优化设施，构建优质成长环境。</w:t>
      </w:r>
      <w:r>
        <w:rPr>
          <w:rFonts w:ascii="仿宋" w:hAnsi="仿宋" w:eastAsia="仿宋" w:cs="仿宋"/>
          <w:color w:val="1C1F23"/>
          <w:kern w:val="0"/>
          <w:sz w:val="28"/>
          <w:szCs w:val="28"/>
          <w:shd w:val="clear" w:color="auto" w:fill="FFFFFF"/>
        </w:rPr>
        <w:t>幼儿园秉持“以幼儿</w:t>
      </w:r>
      <w:r>
        <w:rPr>
          <w:rFonts w:hint="eastAsia" w:ascii="仿宋" w:hAnsi="仿宋" w:eastAsia="仿宋" w:cs="仿宋"/>
          <w:color w:val="1C1F23"/>
          <w:kern w:val="0"/>
          <w:sz w:val="28"/>
          <w:szCs w:val="28"/>
          <w:shd w:val="clear" w:color="auto" w:fill="FFFFFF"/>
        </w:rPr>
        <w:t>发展</w:t>
      </w:r>
      <w:r>
        <w:rPr>
          <w:rFonts w:ascii="仿宋" w:hAnsi="仿宋" w:eastAsia="仿宋" w:cs="仿宋"/>
          <w:color w:val="1C1F23"/>
          <w:kern w:val="0"/>
          <w:sz w:val="28"/>
          <w:szCs w:val="28"/>
          <w:shd w:val="clear" w:color="auto" w:fill="FFFFFF"/>
        </w:rPr>
        <w:t>为本”</w:t>
      </w:r>
      <w:r>
        <w:rPr>
          <w:rFonts w:hint="eastAsia" w:ascii="仿宋" w:hAnsi="仿宋" w:eastAsia="仿宋" w:cs="仿宋"/>
          <w:color w:val="1C1F23"/>
          <w:kern w:val="0"/>
          <w:sz w:val="28"/>
          <w:szCs w:val="28"/>
          <w:shd w:val="clear" w:color="auto" w:fill="FFFFFF"/>
        </w:rPr>
        <w:t>理念</w:t>
      </w:r>
      <w:r>
        <w:rPr>
          <w:rFonts w:ascii="仿宋" w:hAnsi="仿宋" w:eastAsia="仿宋" w:cs="仿宋"/>
          <w:color w:val="1C1F23"/>
          <w:kern w:val="0"/>
          <w:sz w:val="28"/>
          <w:szCs w:val="28"/>
          <w:shd w:val="clear" w:color="auto" w:fill="FFFFFF"/>
        </w:rPr>
        <w:t>，围绕环境优化与资源均衡打造多元教育空间。户外设运动、游戏等功能区，室内构建“五爱”主题场景。近三年投入超 103 万元升级两园部，总分园设</w:t>
      </w:r>
      <w:r>
        <w:rPr>
          <w:rFonts w:hint="eastAsia" w:ascii="仿宋" w:hAnsi="仿宋" w:eastAsia="仿宋" w:cs="仿宋"/>
          <w:color w:val="1C1F23"/>
          <w:kern w:val="0"/>
          <w:sz w:val="28"/>
          <w:szCs w:val="28"/>
          <w:shd w:val="clear" w:color="auto" w:fill="FFFFFF"/>
        </w:rPr>
        <w:t>15</w:t>
      </w:r>
      <w:r>
        <w:rPr>
          <w:rFonts w:ascii="仿宋" w:hAnsi="仿宋" w:eastAsia="仿宋" w:cs="仿宋"/>
          <w:color w:val="1C1F23"/>
          <w:kern w:val="0"/>
          <w:sz w:val="28"/>
          <w:szCs w:val="28"/>
          <w:shd w:val="clear" w:color="auto" w:fill="FFFFFF"/>
        </w:rPr>
        <w:t>个专用活动室实现资源共享。新梅园区新增礼仪、科探等特色室，</w:t>
      </w:r>
      <w:r>
        <w:rPr>
          <w:rFonts w:hint="eastAsia" w:ascii="仿宋" w:hAnsi="仿宋" w:eastAsia="仿宋" w:cs="仿宋"/>
          <w:color w:val="1C1F23"/>
          <w:kern w:val="0"/>
          <w:sz w:val="28"/>
          <w:szCs w:val="28"/>
          <w:shd w:val="clear" w:color="auto" w:fill="FFFFFF"/>
        </w:rPr>
        <w:t>完成全园无线网络覆盖与灯光改造</w:t>
      </w:r>
      <w:r>
        <w:rPr>
          <w:rFonts w:ascii="仿宋" w:hAnsi="仿宋" w:eastAsia="仿宋" w:cs="仿宋"/>
          <w:color w:val="1C1F23"/>
          <w:kern w:val="0"/>
          <w:sz w:val="28"/>
          <w:szCs w:val="28"/>
          <w:shd w:val="clear" w:color="auto" w:fill="FFFFFF"/>
        </w:rPr>
        <w:t>。家长满意度调查中，环境设施满意率达100%，凸显建设成果。</w:t>
      </w:r>
      <w:r>
        <w:rPr>
          <w:rFonts w:hint="eastAsia" w:ascii="仿宋" w:hAnsi="仿宋" w:eastAsia="仿宋" w:cs="仿宋"/>
          <w:b/>
          <w:bCs/>
          <w:color w:val="1C1F23"/>
          <w:kern w:val="0"/>
          <w:sz w:val="28"/>
          <w:szCs w:val="28"/>
          <w:shd w:val="clear" w:color="auto" w:fill="FFFFFF"/>
        </w:rPr>
        <w:t>二是经费保障，规范管理透明高效。</w:t>
      </w:r>
      <w:r>
        <w:rPr>
          <w:rFonts w:hint="eastAsia" w:ascii="仿宋" w:hAnsi="仿宋" w:eastAsia="仿宋" w:cs="仿宋"/>
          <w:color w:val="1C1F23"/>
          <w:kern w:val="0"/>
          <w:sz w:val="28"/>
          <w:szCs w:val="28"/>
          <w:shd w:val="clear" w:color="auto" w:fill="FFFFFF"/>
        </w:rPr>
        <w:t>建立15项财务与资产管理制度，确保执行到位、账册完整。幼儿伙食费独立核算，实行师生分食立账，将膳食盈亏严格控制在2%以内，并按月公示账目。规范代办费收支管理，落实退费签收流程，家长对收费规范性满意率达99.82%，对账目公示满意率达100%。</w:t>
      </w:r>
      <w:r>
        <w:rPr>
          <w:rFonts w:hint="eastAsia" w:ascii="仿宋" w:hAnsi="仿宋" w:eastAsia="仿宋" w:cs="仿宋"/>
          <w:b/>
          <w:bCs/>
          <w:kern w:val="0"/>
          <w:sz w:val="28"/>
          <w:szCs w:val="28"/>
        </w:rPr>
        <w:t>三是有力</w:t>
      </w:r>
      <w:r>
        <w:rPr>
          <w:rFonts w:ascii="仿宋" w:hAnsi="仿宋" w:eastAsia="仿宋" w:cs="仿宋"/>
          <w:b/>
          <w:bCs/>
          <w:kern w:val="0"/>
          <w:sz w:val="28"/>
          <w:szCs w:val="28"/>
        </w:rPr>
        <w:t>守护，</w:t>
      </w:r>
      <w:r>
        <w:rPr>
          <w:rFonts w:hint="eastAsia" w:ascii="仿宋" w:hAnsi="仿宋" w:eastAsia="仿宋" w:cs="仿宋"/>
          <w:b/>
          <w:bCs/>
          <w:kern w:val="0"/>
          <w:sz w:val="28"/>
          <w:szCs w:val="28"/>
        </w:rPr>
        <w:t>提升安全防护能力。</w:t>
      </w:r>
      <w:r>
        <w:rPr>
          <w:rFonts w:hint="eastAsia" w:ascii="仿宋" w:hAnsi="仿宋" w:eastAsia="仿宋" w:cs="仿宋"/>
          <w:color w:val="1C1F23"/>
          <w:kern w:val="0"/>
          <w:sz w:val="28"/>
          <w:szCs w:val="28"/>
          <w:shd w:val="clear" w:color="auto" w:fill="FFFFFF"/>
        </w:rPr>
        <w:t>幼儿园构建安全管理体系，制定 40 项制度与 22 项应急预案，落实园长负责制并逐级签责任书；开展“我爱我家”“安全小卫士”活动，强化安全意识；通过常态化巡检、隐患排查与全覆盖监控，保障设施安全；推行幼儿、教职工、家长三位一体宣教模式，组织教职工月度学习与专项培训，全员取得急救证书。2024年获评“上海市安全文明校园”，筑牢安全防线。</w:t>
      </w:r>
    </w:p>
    <w:p w14:paraId="7E6ECA2C">
      <w:pPr>
        <w:widowControl/>
        <w:shd w:val="clear" w:color="auto" w:fill="FFFFFF"/>
        <w:spacing w:line="360" w:lineRule="auto"/>
        <w:ind w:firstLine="560" w:firstLineChars="200"/>
        <w:rPr>
          <w:rStyle w:val="11"/>
          <w:rFonts w:hint="eastAsia" w:ascii="楷体" w:hAnsi="楷体" w:eastAsia="楷体" w:cs="楷体"/>
          <w:b w:val="0"/>
          <w:bCs w:val="0"/>
          <w:color w:val="000000" w:themeColor="text1"/>
          <w:sz w:val="28"/>
          <w:szCs w:val="28"/>
          <w:shd w:val="clear" w:color="auto" w:fill="FFFFFF"/>
        </w:rPr>
      </w:pPr>
      <w:r>
        <w:rPr>
          <w:rStyle w:val="11"/>
          <w:rFonts w:hint="eastAsia" w:ascii="楷体" w:hAnsi="楷体" w:eastAsia="楷体" w:cs="楷体"/>
          <w:b w:val="0"/>
          <w:bCs w:val="0"/>
          <w:color w:val="000000" w:themeColor="text1"/>
          <w:sz w:val="28"/>
          <w:szCs w:val="28"/>
          <w:shd w:val="clear" w:color="auto" w:fill="FFFFFF"/>
        </w:rPr>
        <w:t>（四）课程优化固根本，礼仪浸润促成长</w:t>
      </w:r>
    </w:p>
    <w:p w14:paraId="3554D472">
      <w:pPr>
        <w:spacing w:line="360" w:lineRule="auto"/>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一是重视顶层设计，不断完善课程实施方案。</w:t>
      </w:r>
      <w:r>
        <w:rPr>
          <w:rFonts w:hint="eastAsia" w:ascii="仿宋" w:hAnsi="仿宋" w:eastAsia="仿宋" w:cs="仿宋"/>
          <w:kern w:val="0"/>
          <w:sz w:val="28"/>
          <w:szCs w:val="28"/>
        </w:rPr>
        <w:t>课程有整体设计，架构体现了有助于幼儿全领域经验获得的共同性课程及选择性活动的结合；重视动态调整与完善，形成了</w:t>
      </w:r>
      <w:r>
        <w:rPr>
          <w:rFonts w:hint="eastAsia" w:ascii="仿宋" w:hAnsi="仿宋" w:eastAsia="仿宋" w:cs="仿宋"/>
          <w:bCs/>
          <w:sz w:val="28"/>
          <w:szCs w:val="28"/>
        </w:rPr>
        <w:t>托幼一体的课程实施方案。</w:t>
      </w:r>
      <w:r>
        <w:rPr>
          <w:rFonts w:hint="eastAsia" w:ascii="仿宋" w:hAnsi="仿宋" w:eastAsia="仿宋" w:cs="仿宋"/>
          <w:kern w:val="0"/>
          <w:sz w:val="28"/>
          <w:szCs w:val="28"/>
        </w:rPr>
        <w:t>课程实施方案元素齐全,有内在关联。课程理念既充分体现当下幼儿发展优先的相关精神，又体现园本特点；课程目标全面、适宜；课程设置与活动安排彰显了对幼儿多样化活动经历的重视；课程实施在计划安排、设计组织等方面要求详尽，既明确共同性课程与特色活动实施细则，又落实托幼、幼小衔接工作要求。</w:t>
      </w:r>
      <w:r>
        <w:rPr>
          <w:rFonts w:hint="eastAsia" w:ascii="仿宋" w:hAnsi="仿宋" w:eastAsia="仿宋" w:cs="仿宋"/>
          <w:b/>
          <w:bCs/>
          <w:sz w:val="28"/>
          <w:szCs w:val="28"/>
        </w:rPr>
        <w:t>二是重视质量提高，有计划对标监控指导。</w:t>
      </w:r>
      <w:r>
        <w:rPr>
          <w:rFonts w:hint="eastAsia" w:ascii="仿宋" w:hAnsi="仿宋" w:eastAsia="仿宋" w:cs="仿宋"/>
          <w:sz w:val="28"/>
          <w:szCs w:val="28"/>
        </w:rPr>
        <w:t>幼儿园重视课程的监控指导，每学期制定全面监控计划，能依据评价指标，通过“走班＋走园、日常＋专项”等多种监控方式定期对教师的保教实施进行监控与指导。监控记录详实，有原因分析、有可操作的措施建议，用实证、可操作的建议指导教师。重点监控能体现课改最新关注点，日常监控也能体现对计划的落实。监控指导工作重反思、总结分析，不断提高监控指导的质量，保障课程质量的持续提高。</w:t>
      </w:r>
      <w:r>
        <w:rPr>
          <w:rFonts w:hint="eastAsia" w:ascii="仿宋" w:hAnsi="仿宋" w:eastAsia="仿宋" w:cs="仿宋"/>
          <w:b/>
          <w:bCs/>
          <w:kern w:val="0"/>
          <w:sz w:val="28"/>
          <w:szCs w:val="28"/>
        </w:rPr>
        <w:t>三是重视教研优化，助推活动质量提高。</w:t>
      </w:r>
      <w:r>
        <w:rPr>
          <w:rFonts w:hint="eastAsia" w:ascii="仿宋" w:hAnsi="仿宋" w:eastAsia="仿宋" w:cs="仿宋"/>
          <w:kern w:val="0"/>
          <w:sz w:val="28"/>
          <w:szCs w:val="28"/>
        </w:rPr>
        <w:t>幼儿园构建大小教研主题协同机制，近两学年开展 “优化一日活动培养礼仪习惯”“教师榜样示范应用” 等专题研究。创新采用理论学习、实践研讨、案例研究结合的线上线下联动、园区联合教研形式，调动教师积极性。注重教研成果总结反思，梳理教师能力提升情况，剖析问题并制定改进措施，为高效教研奠基。</w:t>
      </w:r>
      <w:r>
        <w:rPr>
          <w:rFonts w:hint="eastAsia" w:ascii="仿宋" w:hAnsi="仿宋" w:eastAsia="仿宋" w:cs="仿宋"/>
          <w:b/>
          <w:bCs/>
          <w:kern w:val="0"/>
          <w:sz w:val="28"/>
          <w:szCs w:val="28"/>
        </w:rPr>
        <w:t>四是</w:t>
      </w:r>
      <w:r>
        <w:rPr>
          <w:rStyle w:val="11"/>
          <w:rFonts w:hint="eastAsia" w:ascii="仿宋" w:hAnsi="仿宋" w:eastAsia="仿宋" w:cs="仿宋"/>
          <w:sz w:val="28"/>
          <w:szCs w:val="28"/>
          <w:shd w:val="clear" w:color="auto" w:fill="FFFFFF"/>
        </w:rPr>
        <w:t>科学保教，幼儿发展全面良好。</w:t>
      </w:r>
      <w:r>
        <w:rPr>
          <w:rFonts w:hint="eastAsia" w:ascii="仿宋" w:hAnsi="仿宋" w:eastAsia="仿宋" w:cs="仿宋"/>
          <w:sz w:val="28"/>
          <w:szCs w:val="28"/>
          <w:shd w:val="clear" w:color="auto" w:fill="FFFFFF"/>
        </w:rPr>
        <w:t>幼儿园一日活动安排遵循幼儿身心发展规律，依季节、空气质量动态调整作息与场地，保教计划科学详实。秉持“环境即课程”理念，打造温馨自主生活环境，配备多元劳动工具，引导幼儿独立整理收纳，养成劳动习惯。每日保证两小时户外活动，依托自然场景激发探索欲，提升动作协调性、力量与耐力。学习活动聚焦幼儿兴趣，兼具发展性与趣味性，助力多维度发展。特色礼仪教育贯穿始终，幼儿礼仪习惯良好，在动作协调、生活自理、阅读表达、社交主动性等方面表现突出，活动参与积极踊跃。</w:t>
      </w:r>
    </w:p>
    <w:p w14:paraId="1A5B9D0C">
      <w:pPr>
        <w:widowControl/>
        <w:spacing w:line="360" w:lineRule="auto"/>
        <w:ind w:firstLine="560" w:firstLineChars="200"/>
        <w:rPr>
          <w:rStyle w:val="11"/>
          <w:rFonts w:hint="eastAsia" w:ascii="楷体" w:hAnsi="楷体" w:eastAsia="楷体" w:cs="楷体"/>
          <w:b w:val="0"/>
          <w:bCs w:val="0"/>
          <w:color w:val="000000"/>
          <w:sz w:val="28"/>
          <w:szCs w:val="28"/>
          <w:shd w:val="clear" w:color="auto" w:fill="FFFFFF"/>
        </w:rPr>
      </w:pPr>
      <w:r>
        <w:rPr>
          <w:rFonts w:hint="eastAsia" w:ascii="楷体" w:hAnsi="楷体" w:eastAsia="楷体" w:cs="楷体"/>
          <w:b w:val="0"/>
          <w:bCs w:val="0"/>
          <w:color w:val="000000"/>
          <w:sz w:val="28"/>
          <w:szCs w:val="28"/>
        </w:rPr>
        <w:t>（五）</w:t>
      </w:r>
      <w:r>
        <w:rPr>
          <w:rStyle w:val="11"/>
          <w:rFonts w:hint="eastAsia" w:ascii="楷体" w:hAnsi="楷体" w:eastAsia="楷体" w:cs="楷体"/>
          <w:b w:val="0"/>
          <w:bCs w:val="0"/>
          <w:color w:val="000000"/>
          <w:sz w:val="28"/>
          <w:szCs w:val="28"/>
          <w:shd w:val="clear" w:color="auto" w:fill="FFFFFF"/>
        </w:rPr>
        <w:t>规范管理守健康，提升保育高质量</w:t>
      </w:r>
    </w:p>
    <w:p w14:paraId="0DA24466">
      <w:pPr>
        <w:spacing w:line="360" w:lineRule="auto"/>
        <w:ind w:firstLine="562" w:firstLineChars="200"/>
        <w:rPr>
          <w:b/>
          <w:color w:val="000000" w:themeColor="text1"/>
          <w:sz w:val="28"/>
          <w:szCs w:val="28"/>
        </w:rPr>
      </w:pPr>
      <w:r>
        <w:rPr>
          <w:rStyle w:val="11"/>
          <w:rFonts w:hint="eastAsia" w:ascii="仿宋" w:hAnsi="仿宋" w:eastAsia="仿宋" w:cs="仿宋"/>
          <w:color w:val="000000"/>
          <w:sz w:val="28"/>
          <w:szCs w:val="28"/>
          <w:shd w:val="clear" w:color="auto" w:fill="FFFFFF"/>
        </w:rPr>
        <w:t>一是</w:t>
      </w:r>
      <w:r>
        <w:rPr>
          <w:rFonts w:hint="eastAsia" w:ascii="仿宋" w:hAnsi="仿宋" w:eastAsia="仿宋" w:cs="仿宋"/>
          <w:b/>
          <w:color w:val="000000" w:themeColor="text1"/>
          <w:kern w:val="0"/>
          <w:sz w:val="28"/>
          <w:szCs w:val="28"/>
        </w:rPr>
        <w:t>注重保健管理。</w:t>
      </w:r>
      <w:r>
        <w:rPr>
          <w:rFonts w:hint="eastAsia" w:ascii="仿宋" w:hAnsi="仿宋" w:eastAsia="仿宋" w:cs="仿宋"/>
          <w:sz w:val="28"/>
          <w:szCs w:val="28"/>
          <w:shd w:val="clear" w:color="auto" w:fill="FFFFFF"/>
        </w:rPr>
        <w:t>幼儿园构建园长、后勤主任、保健组长、保健老师的四级分层管理架构，以系统化管理强化保健保育工作。每月召开管理交流会与条线会议，园长全程指导队伍建设。依托“善育工作室”开展保教协同研究，产出保育案例等成果，并于 2024 年在莘幼联盟推广经验、推进专项课题研究。同时，通过“三大员”周学习、月度保研活动及扩大会议，推动保教深度融合。</w:t>
      </w:r>
      <w:r>
        <w:rPr>
          <w:rFonts w:hint="eastAsia" w:ascii="仿宋" w:hAnsi="仿宋" w:eastAsia="仿宋" w:cs="仿宋"/>
          <w:b/>
          <w:bCs/>
          <w:kern w:val="0"/>
          <w:sz w:val="28"/>
          <w:szCs w:val="28"/>
          <w:shd w:val="clear" w:color="auto" w:fill="FFFFFF"/>
        </w:rPr>
        <w:t>二是</w:t>
      </w:r>
      <w:r>
        <w:rPr>
          <w:rFonts w:hint="eastAsia" w:ascii="仿宋" w:hAnsi="仿宋" w:eastAsia="仿宋" w:cs="仿宋"/>
          <w:b/>
          <w:color w:val="000000" w:themeColor="text1"/>
          <w:kern w:val="0"/>
          <w:sz w:val="28"/>
          <w:szCs w:val="28"/>
        </w:rPr>
        <w:t>把好消毒隔离。</w:t>
      </w:r>
      <w:r>
        <w:rPr>
          <w:rFonts w:hint="eastAsia" w:ascii="仿宋" w:hAnsi="仿宋" w:eastAsia="仿宋" w:cs="仿宋"/>
          <w:kern w:val="0"/>
          <w:sz w:val="28"/>
          <w:szCs w:val="28"/>
          <w:shd w:val="clear" w:color="auto" w:fill="FFFFFF"/>
        </w:rPr>
        <w:t>预防性消毒工作精准，每日全覆盖且消毒液浓度配置规范率达 100%，记录可溯；2023 学年环境及食具细菌检测全合格。传染病防控机制健全，严格执行晨午检及应急流程，遇传染病即时启动预案，落实终末消毒、跟踪检疫、信息上报及返园凭证严审。</w:t>
      </w:r>
      <w:r>
        <w:rPr>
          <w:rFonts w:hint="eastAsia" w:ascii="仿宋" w:hAnsi="仿宋" w:eastAsia="仿宋" w:cs="仿宋"/>
          <w:b/>
          <w:bCs/>
          <w:kern w:val="0"/>
          <w:sz w:val="28"/>
          <w:szCs w:val="28"/>
          <w:shd w:val="clear" w:color="auto" w:fill="FFFFFF"/>
        </w:rPr>
        <w:t>三是筑牢食安管理防线。</w:t>
      </w:r>
      <w:r>
        <w:rPr>
          <w:rFonts w:hint="eastAsia" w:ascii="仿宋" w:hAnsi="仿宋" w:eastAsia="仿宋" w:cs="仿宋"/>
          <w:kern w:val="0"/>
          <w:sz w:val="28"/>
          <w:szCs w:val="28"/>
          <w:shd w:val="clear" w:color="auto" w:fill="FFFFFF"/>
        </w:rPr>
        <w:t>幼儿园食品安全严抓索证、生熟分区及明厨亮灶，膳费盈亏控制在±2%，园长陪餐监督有力，编食谱集促家园共育。疾病防治体系完善，健康监测精准，肥胖、营养不良随访矫治率达 100%；五官保健成效显著，视力、龋齿问题均 100% 医院矫治。保育创新获全国奖，大班午间刷牙成区域龋齿防控示范，全方位守护幼儿健康。</w:t>
      </w:r>
    </w:p>
    <w:p w14:paraId="400A9EF3">
      <w:pPr>
        <w:numPr>
          <w:ilvl w:val="0"/>
          <w:numId w:val="1"/>
        </w:numPr>
        <w:spacing w:line="360" w:lineRule="auto"/>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存在的主要问题与改进建议</w:t>
      </w:r>
    </w:p>
    <w:p w14:paraId="0CB815ED">
      <w:pPr>
        <w:spacing w:line="360" w:lineRule="auto"/>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（一）进一步优化幼儿园管理机制，</w:t>
      </w:r>
      <w:r>
        <w:rPr>
          <w:rFonts w:hint="eastAsia" w:ascii="楷体" w:hAnsi="楷体" w:eastAsia="楷体" w:cs="楷体"/>
          <w:b w:val="0"/>
          <w:bCs/>
          <w:kern w:val="0"/>
          <w:sz w:val="28"/>
          <w:szCs w:val="28"/>
        </w:rPr>
        <w:t>抓准发展契机，探索自治，</w:t>
      </w:r>
      <w:r>
        <w:rPr>
          <w:rFonts w:hint="eastAsia" w:ascii="楷体" w:hAnsi="楷体" w:eastAsia="楷体" w:cs="楷体"/>
          <w:b w:val="0"/>
          <w:bCs/>
          <w:sz w:val="28"/>
          <w:szCs w:val="28"/>
        </w:rPr>
        <w:t>凸显信息技术赋能，以更科学、高效、精细的管理来推进幼儿园品质发展</w:t>
      </w:r>
    </w:p>
    <w:p w14:paraId="4D62EF7C">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【问题】</w:t>
      </w:r>
      <w:r>
        <w:rPr>
          <w:rFonts w:hint="eastAsia" w:ascii="仿宋" w:hAnsi="仿宋" w:eastAsia="仿宋" w:cs="仿宋"/>
          <w:bCs/>
          <w:sz w:val="28"/>
          <w:szCs w:val="28"/>
        </w:rPr>
        <w:t>幼儿园一园二址管理网络的合理性、科学性尚存不足，</w:t>
      </w:r>
      <w:r>
        <w:rPr>
          <w:rFonts w:hint="eastAsia" w:ascii="仿宋" w:hAnsi="仿宋" w:eastAsia="仿宋" w:cs="仿宋"/>
          <w:sz w:val="28"/>
          <w:szCs w:val="28"/>
        </w:rPr>
        <w:t>条线管理及园部管理的脉络和路径不够清晰，</w:t>
      </w:r>
      <w:r>
        <w:rPr>
          <w:rFonts w:hint="eastAsia" w:ascii="仿宋" w:hAnsi="仿宋" w:eastAsia="仿宋" w:cs="仿宋"/>
          <w:bCs/>
          <w:sz w:val="28"/>
          <w:szCs w:val="28"/>
        </w:rPr>
        <w:t>章程统领下一园一制度</w:t>
      </w:r>
      <w:r>
        <w:rPr>
          <w:rFonts w:hint="eastAsia" w:ascii="仿宋" w:hAnsi="仿宋" w:eastAsia="仿宋" w:cs="仿宋"/>
          <w:sz w:val="28"/>
          <w:szCs w:val="28"/>
        </w:rPr>
        <w:t>体系尚待优化。</w:t>
      </w:r>
    </w:p>
    <w:p w14:paraId="488AA834">
      <w:pPr>
        <w:spacing w:line="360" w:lineRule="auto"/>
        <w:ind w:firstLine="562" w:firstLineChars="200"/>
        <w:rPr>
          <w:rFonts w:ascii="仿宋" w:hAnsi="仿宋" w:eastAsia="仿宋" w:cs="仿宋"/>
          <w:bCs/>
          <w:sz w:val="28"/>
          <w:szCs w:val="28"/>
        </w:rPr>
      </w:pPr>
      <w:r>
        <w:rPr>
          <w:rFonts w:hint="eastAsia" w:ascii="仿宋" w:hAnsi="仿宋" w:eastAsia="仿宋" w:cs="仿宋"/>
          <w:b/>
          <w:bCs/>
          <w:sz w:val="28"/>
          <w:szCs w:val="28"/>
        </w:rPr>
        <w:t>【建议】</w:t>
      </w:r>
      <w:r>
        <w:rPr>
          <w:rFonts w:hint="eastAsia" w:ascii="仿宋" w:hAnsi="仿宋" w:eastAsia="仿宋" w:cs="仿宋"/>
          <w:b/>
          <w:sz w:val="28"/>
          <w:szCs w:val="28"/>
        </w:rPr>
        <w:t>一是健全制度体系。</w:t>
      </w:r>
      <w:r>
        <w:rPr>
          <w:rFonts w:hint="eastAsia" w:ascii="仿宋" w:hAnsi="仿宋" w:eastAsia="仿宋" w:cs="仿宋"/>
          <w:bCs/>
          <w:sz w:val="28"/>
          <w:szCs w:val="28"/>
        </w:rPr>
        <w:t>基于现代学校制度建设，将办园章程、岗位职责及各类制度等一并整理成册，形成了涵盖党建工作、园务管理、保教工作、卫生保健、队伍建设、家园社区、安全工作、内部控制等方面的系列管理制度，呈现“全面、全程”特点，以《康城幼儿园2025版制度汇编》建立园所管理的新秩序。</w:t>
      </w:r>
      <w:r>
        <w:rPr>
          <w:rFonts w:hint="eastAsia" w:ascii="仿宋" w:hAnsi="仿宋" w:eastAsia="仿宋" w:cs="仿宋"/>
          <w:b/>
          <w:sz w:val="28"/>
          <w:szCs w:val="28"/>
        </w:rPr>
        <w:t>二是优化管理</w:t>
      </w:r>
      <w:r>
        <w:rPr>
          <w:rFonts w:hint="eastAsia" w:ascii="仿宋" w:hAnsi="仿宋" w:eastAsia="仿宋" w:cs="仿宋"/>
          <w:b/>
          <w:kern w:val="36"/>
          <w:sz w:val="28"/>
          <w:szCs w:val="28"/>
        </w:rPr>
        <w:t>机制。</w:t>
      </w:r>
      <w:r>
        <w:rPr>
          <w:rFonts w:hint="eastAsia" w:ascii="仿宋" w:hAnsi="仿宋" w:eastAsia="仿宋" w:cs="仿宋"/>
          <w:bCs/>
          <w:kern w:val="36"/>
          <w:sz w:val="28"/>
          <w:szCs w:val="28"/>
        </w:rPr>
        <w:t>基于一园二址管理现状，架构条块结合、同步高效的管理网络，完善园部主任工作职责和工作机制，</w:t>
      </w:r>
      <w:r>
        <w:rPr>
          <w:rFonts w:hint="eastAsia" w:ascii="仿宋" w:hAnsi="仿宋" w:eastAsia="仿宋" w:cs="仿宋"/>
          <w:kern w:val="0"/>
          <w:sz w:val="28"/>
          <w:szCs w:val="28"/>
        </w:rPr>
        <w:t>清晰“走动式横向管理+属地化垂直管理”的路径，</w:t>
      </w:r>
      <w:r>
        <w:rPr>
          <w:rFonts w:hint="eastAsia" w:ascii="仿宋" w:hAnsi="仿宋" w:eastAsia="仿宋" w:cs="仿宋"/>
          <w:sz w:val="28"/>
          <w:szCs w:val="28"/>
        </w:rPr>
        <w:t>积极</w:t>
      </w:r>
      <w:r>
        <w:rPr>
          <w:rFonts w:hint="eastAsia" w:ascii="仿宋" w:hAnsi="仿宋" w:eastAsia="仿宋" w:cs="仿宋"/>
          <w:bCs/>
          <w:sz w:val="28"/>
          <w:szCs w:val="28"/>
        </w:rPr>
        <w:t>探索管理机制的统整化、动态化、科学化，</w:t>
      </w:r>
      <w:r>
        <w:rPr>
          <w:rFonts w:hint="eastAsia" w:ascii="仿宋" w:hAnsi="仿宋" w:eastAsia="仿宋" w:cs="仿宋"/>
          <w:kern w:val="0"/>
          <w:sz w:val="28"/>
          <w:szCs w:val="28"/>
        </w:rPr>
        <w:t>辅以“组织在线、沟通在线、协同在线、业务在线”智能化管理形态，</w:t>
      </w:r>
      <w:r>
        <w:rPr>
          <w:rFonts w:hint="eastAsia" w:ascii="仿宋" w:hAnsi="仿宋" w:eastAsia="仿宋" w:cs="仿宋"/>
          <w:sz w:val="28"/>
          <w:szCs w:val="28"/>
        </w:rPr>
        <w:t>加强层级质量监控，有效提高精细化管理水平，实现幼儿园从优质走向品质发展。</w:t>
      </w:r>
    </w:p>
    <w:p w14:paraId="28185978">
      <w:pPr>
        <w:widowControl/>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（二）进一步健全课程质量与幼儿发展动态评估机制，深化共同性课程研究，优化活动设计，动态调配资源，多维度提升幼儿园保教实施质量</w:t>
      </w:r>
    </w:p>
    <w:p w14:paraId="2BAE2C92">
      <w:pPr>
        <w:pStyle w:val="16"/>
        <w:spacing w:line="360" w:lineRule="auto"/>
        <w:ind w:firstLine="562"/>
        <w:rPr>
          <w:rFonts w:ascii="仿宋" w:hAnsi="仿宋" w:eastAsia="仿宋" w:cs="仿宋"/>
          <w:sz w:val="28"/>
          <w:szCs w:val="28"/>
        </w:rPr>
      </w:pPr>
      <w:r>
        <w:rPr>
          <w:rFonts w:hint="eastAsia" w:ascii="仿宋" w:hAnsi="仿宋" w:eastAsia="仿宋" w:cs="仿宋"/>
          <w:b/>
          <w:bCs/>
          <w:sz w:val="28"/>
          <w:szCs w:val="28"/>
        </w:rPr>
        <w:t>【问题】</w:t>
      </w:r>
      <w:r>
        <w:rPr>
          <w:rFonts w:hint="eastAsia" w:ascii="仿宋" w:hAnsi="仿宋" w:eastAsia="仿宋" w:cs="仿宋"/>
          <w:sz w:val="28"/>
          <w:szCs w:val="28"/>
        </w:rPr>
        <w:t>共同性课程的活动质量提升及幼儿发展的全面性值得充分重视。场地及设备等资源充分利用需增强，分园保教质量提升需增强。</w:t>
      </w:r>
    </w:p>
    <w:p w14:paraId="42860082">
      <w:pPr>
        <w:pStyle w:val="16"/>
        <w:spacing w:line="360" w:lineRule="auto"/>
        <w:ind w:firstLine="562"/>
        <w:rPr>
          <w:rFonts w:ascii="仿宋" w:hAnsi="仿宋" w:eastAsia="仿宋" w:cs="仿宋"/>
          <w:sz w:val="28"/>
          <w:szCs w:val="28"/>
        </w:rPr>
      </w:pPr>
      <w:r>
        <w:rPr>
          <w:rFonts w:hint="eastAsia" w:ascii="仿宋" w:hAnsi="仿宋" w:eastAsia="仿宋" w:cs="仿宋"/>
          <w:b/>
          <w:bCs/>
          <w:sz w:val="28"/>
          <w:szCs w:val="28"/>
        </w:rPr>
        <w:t>【建议】一是深入探究活动安排的适宜度。</w:t>
      </w:r>
      <w:r>
        <w:rPr>
          <w:rFonts w:hint="eastAsia" w:ascii="仿宋" w:hAnsi="仿宋" w:eastAsia="仿宋" w:cs="仿宋"/>
          <w:sz w:val="28"/>
          <w:szCs w:val="28"/>
        </w:rPr>
        <w:t>通过全面分析课程质量与幼儿发展情况，深入探究活动丰富度、适宜性与质量提升，以及教师精力投入与幼儿发展产出的关联，科学调整活动设置，助力幼儿和谐发展。</w:t>
      </w:r>
      <w:r>
        <w:rPr>
          <w:rFonts w:hint="eastAsia" w:ascii="仿宋" w:hAnsi="仿宋" w:eastAsia="仿宋" w:cs="仿宋"/>
          <w:b/>
          <w:bCs/>
          <w:sz w:val="28"/>
          <w:szCs w:val="28"/>
        </w:rPr>
        <w:t>二是加强共同性课程有效实施的研究</w:t>
      </w:r>
      <w:r>
        <w:rPr>
          <w:rFonts w:hint="eastAsia" w:ascii="仿宋" w:hAnsi="仿宋" w:eastAsia="仿宋" w:cs="仿宋"/>
          <w:sz w:val="28"/>
          <w:szCs w:val="28"/>
        </w:rPr>
        <w:t>。一方面需要对共同性课程的实施情况进行全面分析并加强有效实施的研究。另一方面需要引导教师深入思考、把握各类资源利用及各类活动的价值，使共同性课程的质量、幼儿的发展得到更好地保证。</w:t>
      </w:r>
      <w:r>
        <w:rPr>
          <w:rFonts w:hint="eastAsia" w:ascii="仿宋" w:hAnsi="仿宋" w:eastAsia="仿宋" w:cs="仿宋"/>
          <w:b/>
          <w:bCs/>
          <w:sz w:val="28"/>
          <w:szCs w:val="28"/>
        </w:rPr>
        <w:t>三是加强资源的合理规划和使用</w:t>
      </w:r>
      <w:r>
        <w:rPr>
          <w:rFonts w:hint="eastAsia" w:ascii="仿宋" w:hAnsi="仿宋" w:eastAsia="仿宋" w:cs="仿宋"/>
          <w:sz w:val="28"/>
          <w:szCs w:val="28"/>
        </w:rPr>
        <w:t>。加强对户外运动场地的合理规划和调整，还更多户外自主空间给幼儿，让幼儿充分运动。充分发挥种植园地的作用，使其成为幼儿科学探究、自主游戏等活动的乐园，给予幼儿多种体验和发展机会。加强对分园保教质量指导的力度，缩小总分园保教质量差距。</w:t>
      </w:r>
    </w:p>
    <w:p w14:paraId="5AF4DCDE">
      <w:pPr>
        <w:widowControl/>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（三）进一步完善膳食管理，规范定量进班。构建健康数据监测体系，运用数据分析实施精准干预，全方位提升幼儿园膳食与卫生保健工作质量</w:t>
      </w:r>
    </w:p>
    <w:p w14:paraId="30A6ED50">
      <w:pPr>
        <w:widowControl/>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【问题】</w:t>
      </w:r>
      <w:r>
        <w:rPr>
          <w:rFonts w:hint="eastAsia" w:ascii="仿宋" w:hAnsi="仿宋" w:eastAsia="仿宋" w:cs="仿宋"/>
          <w:sz w:val="28"/>
          <w:szCs w:val="28"/>
        </w:rPr>
        <w:t>营养膳食结构不够均衡，营养分析过度依赖软件，缺乏健康数据深度分析及动态调整。传染病防控措施尚需更系统与精准。</w:t>
      </w:r>
    </w:p>
    <w:p w14:paraId="67F88467">
      <w:pPr>
        <w:spacing w:line="360" w:lineRule="auto"/>
        <w:ind w:firstLine="562" w:firstLineChars="200"/>
        <w:rPr>
          <w:rFonts w:ascii="仿宋" w:hAnsi="仿宋" w:eastAsia="仿宋" w:cs="仿宋"/>
          <w:color w:val="000000" w:themeColor="text1"/>
          <w:kern w:val="0"/>
          <w:sz w:val="28"/>
          <w:szCs w:val="28"/>
        </w:rPr>
      </w:pPr>
      <w:r>
        <w:rPr>
          <w:rFonts w:hint="eastAsia" w:ascii="仿宋" w:hAnsi="仿宋" w:eastAsia="仿宋" w:cs="仿宋"/>
          <w:b/>
          <w:bCs/>
          <w:sz w:val="28"/>
          <w:szCs w:val="28"/>
        </w:rPr>
        <w:t>【建议】一是</w:t>
      </w:r>
      <w:r>
        <w:rPr>
          <w:rFonts w:hint="eastAsia" w:ascii="仿宋" w:hAnsi="仿宋" w:eastAsia="仿宋" w:cs="仿宋"/>
          <w:b/>
          <w:bCs/>
          <w:kern w:val="0"/>
          <w:sz w:val="28"/>
          <w:szCs w:val="28"/>
        </w:rPr>
        <w:t>优化幼儿膳食管理。</w:t>
      </w:r>
      <w:r>
        <w:rPr>
          <w:rFonts w:hint="eastAsia" w:ascii="仿宋" w:hAnsi="仿宋" w:eastAsia="仿宋" w:cs="仿宋"/>
          <w:kern w:val="0"/>
          <w:sz w:val="28"/>
          <w:szCs w:val="28"/>
        </w:rPr>
        <w:t>在幼儿</w:t>
      </w:r>
      <w:r>
        <w:rPr>
          <w:rFonts w:hint="eastAsia" w:ascii="仿宋" w:hAnsi="仿宋" w:eastAsia="仿宋" w:cs="仿宋"/>
          <w:bCs/>
          <w:color w:val="000000" w:themeColor="text1"/>
          <w:kern w:val="0"/>
          <w:sz w:val="28"/>
          <w:szCs w:val="28"/>
        </w:rPr>
        <w:t>食谱制定中，需增加豆制品在全周分布，体弱儿的加餐以园内烹饪为主，减少加工食品使用，丰富午点湿点品种。调整膳食结构，减少禽肉类占比，优化荤菜品种比例，增加钙源食物</w:t>
      </w:r>
      <w:r>
        <w:rPr>
          <w:rFonts w:hint="eastAsia" w:ascii="仿宋" w:hAnsi="仿宋" w:eastAsia="仿宋" w:cs="仿宋"/>
          <w:bCs/>
          <w:kern w:val="0"/>
          <w:sz w:val="28"/>
          <w:szCs w:val="28"/>
        </w:rPr>
        <w:t>，</w:t>
      </w:r>
      <w:r>
        <w:rPr>
          <w:rFonts w:hint="eastAsia" w:ascii="仿宋" w:hAnsi="仿宋" w:eastAsia="仿宋" w:cs="仿宋"/>
          <w:bCs/>
          <w:color w:val="000000" w:themeColor="text1"/>
          <w:kern w:val="0"/>
          <w:sz w:val="28"/>
          <w:szCs w:val="28"/>
        </w:rPr>
        <w:t>不断提高膳食管理质量。</w:t>
      </w:r>
      <w:r>
        <w:rPr>
          <w:rFonts w:hint="eastAsia" w:ascii="仿宋" w:hAnsi="仿宋" w:eastAsia="仿宋" w:cs="仿宋"/>
          <w:b/>
          <w:bCs/>
          <w:kern w:val="0"/>
          <w:sz w:val="28"/>
          <w:szCs w:val="28"/>
        </w:rPr>
        <w:t>二是提升数据应用能力。</w:t>
      </w:r>
      <w:r>
        <w:rPr>
          <w:rFonts w:hint="eastAsia" w:ascii="仿宋" w:hAnsi="仿宋" w:eastAsia="仿宋" w:cs="仿宋"/>
          <w:kern w:val="0"/>
          <w:sz w:val="28"/>
          <w:szCs w:val="28"/>
        </w:rPr>
        <w:t>提高</w:t>
      </w:r>
      <w:r>
        <w:rPr>
          <w:rFonts w:hint="eastAsia" w:ascii="仿宋" w:hAnsi="仿宋" w:eastAsia="仿宋" w:cs="仿宋"/>
          <w:color w:val="000000" w:themeColor="text1"/>
          <w:kern w:val="0"/>
          <w:sz w:val="28"/>
          <w:szCs w:val="28"/>
        </w:rPr>
        <w:t>对幼儿相关健康数据、指标高低的敏感度，运用数据分析，发现问题、落实干预，</w:t>
      </w:r>
      <w:r>
        <w:rPr>
          <w:rFonts w:hint="eastAsia" w:ascii="仿宋" w:hAnsi="仿宋" w:eastAsia="仿宋" w:cs="仿宋"/>
          <w:bCs/>
          <w:color w:val="000000" w:themeColor="text1"/>
          <w:kern w:val="0"/>
          <w:sz w:val="28"/>
          <w:szCs w:val="28"/>
        </w:rPr>
        <w:t>有针对性调整措施，</w:t>
      </w:r>
      <w:r>
        <w:rPr>
          <w:rFonts w:hint="eastAsia" w:ascii="仿宋" w:hAnsi="仿宋" w:eastAsia="仿宋" w:cs="仿宋"/>
          <w:color w:val="000000" w:themeColor="text1"/>
          <w:kern w:val="0"/>
          <w:sz w:val="28"/>
          <w:szCs w:val="28"/>
        </w:rPr>
        <w:t>不断提升卫生保健工作质量。</w:t>
      </w:r>
      <w:r>
        <w:rPr>
          <w:rFonts w:hint="eastAsia" w:ascii="仿宋" w:hAnsi="仿宋" w:eastAsia="仿宋" w:cs="仿宋"/>
          <w:b/>
          <w:bCs/>
          <w:color w:val="000000" w:themeColor="text1"/>
          <w:kern w:val="0"/>
          <w:sz w:val="28"/>
          <w:szCs w:val="28"/>
        </w:rPr>
        <w:t>三是加强传染病防控。</w:t>
      </w:r>
      <w:r>
        <w:rPr>
          <w:rFonts w:hint="eastAsia" w:ascii="仿宋" w:hAnsi="仿宋" w:eastAsia="仿宋" w:cs="仿宋"/>
          <w:bCs/>
          <w:color w:val="000000" w:themeColor="text1"/>
          <w:kern w:val="0"/>
          <w:sz w:val="28"/>
          <w:szCs w:val="28"/>
        </w:rPr>
        <w:t>创造条件完善保育硬件配置，完善中大班教室及相邻班级活动通道空间布局，降低交叉感染风险。加强家长健康宣教、幼儿卫生习惯培养及幼儿家庭饮食与运动，不断增强幼儿体质。</w:t>
      </w:r>
    </w:p>
    <w:p w14:paraId="75A58002">
      <w:pPr>
        <w:widowControl/>
        <w:jc w:val="right"/>
        <w:rPr>
          <w:rFonts w:hint="eastAsia" w:ascii="仿宋" w:hAnsi="仿宋" w:eastAsia="仿宋" w:cs="仿宋"/>
          <w:bCs/>
          <w:sz w:val="28"/>
          <w:szCs w:val="28"/>
        </w:rPr>
      </w:pPr>
    </w:p>
    <w:p w14:paraId="127FB63B">
      <w:pPr>
        <w:widowControl/>
        <w:jc w:val="right"/>
        <w:rPr>
          <w:rFonts w:hint="eastAsia" w:ascii="仿宋" w:hAnsi="仿宋" w:eastAsia="仿宋" w:cs="仿宋"/>
          <w:bCs/>
          <w:sz w:val="28"/>
          <w:szCs w:val="28"/>
        </w:rPr>
      </w:pPr>
      <w:bookmarkStart w:id="3" w:name="_GoBack"/>
      <w:bookmarkEnd w:id="3"/>
    </w:p>
    <w:sectPr>
      <w:pgSz w:w="11906" w:h="16838"/>
      <w:pgMar w:top="1304" w:right="1474" w:bottom="130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94E2AA"/>
    <w:multiLevelType w:val="singleLevel"/>
    <w:tmpl w:val="3C94E2A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U5N2U5OGIwNjJhM2I5MjA5OGMxMTYxMmZiYzYwMmEifQ=="/>
  </w:docVars>
  <w:rsids>
    <w:rsidRoot w:val="00A16601"/>
    <w:rsid w:val="00012C52"/>
    <w:rsid w:val="00022F01"/>
    <w:rsid w:val="000339BA"/>
    <w:rsid w:val="00036F17"/>
    <w:rsid w:val="00071574"/>
    <w:rsid w:val="00076737"/>
    <w:rsid w:val="0008555F"/>
    <w:rsid w:val="000947FD"/>
    <w:rsid w:val="00095615"/>
    <w:rsid w:val="000A29B7"/>
    <w:rsid w:val="000B1526"/>
    <w:rsid w:val="000D10F4"/>
    <w:rsid w:val="000D2675"/>
    <w:rsid w:val="000E250B"/>
    <w:rsid w:val="000E5E53"/>
    <w:rsid w:val="000F33E5"/>
    <w:rsid w:val="000F3499"/>
    <w:rsid w:val="00105982"/>
    <w:rsid w:val="00113454"/>
    <w:rsid w:val="00182F06"/>
    <w:rsid w:val="001A0D60"/>
    <w:rsid w:val="001B2B25"/>
    <w:rsid w:val="001D68EE"/>
    <w:rsid w:val="002124BB"/>
    <w:rsid w:val="00215F38"/>
    <w:rsid w:val="00270CE7"/>
    <w:rsid w:val="0029171A"/>
    <w:rsid w:val="00296143"/>
    <w:rsid w:val="002B0D5F"/>
    <w:rsid w:val="002B4166"/>
    <w:rsid w:val="002B6169"/>
    <w:rsid w:val="002F4376"/>
    <w:rsid w:val="00314969"/>
    <w:rsid w:val="003153D3"/>
    <w:rsid w:val="00322FF5"/>
    <w:rsid w:val="00342339"/>
    <w:rsid w:val="00344518"/>
    <w:rsid w:val="003471A6"/>
    <w:rsid w:val="003755A1"/>
    <w:rsid w:val="0039577E"/>
    <w:rsid w:val="003A510D"/>
    <w:rsid w:val="003B7206"/>
    <w:rsid w:val="003D496F"/>
    <w:rsid w:val="004000B1"/>
    <w:rsid w:val="00407D3C"/>
    <w:rsid w:val="00447602"/>
    <w:rsid w:val="004777E4"/>
    <w:rsid w:val="004825F7"/>
    <w:rsid w:val="00487740"/>
    <w:rsid w:val="004B3A7F"/>
    <w:rsid w:val="004E39A8"/>
    <w:rsid w:val="004E4AF4"/>
    <w:rsid w:val="004F3883"/>
    <w:rsid w:val="00510FDF"/>
    <w:rsid w:val="00516B76"/>
    <w:rsid w:val="005406E4"/>
    <w:rsid w:val="0055315C"/>
    <w:rsid w:val="00553302"/>
    <w:rsid w:val="0056288A"/>
    <w:rsid w:val="00563AC4"/>
    <w:rsid w:val="0057043B"/>
    <w:rsid w:val="005A1A9B"/>
    <w:rsid w:val="005C49B1"/>
    <w:rsid w:val="005C5C15"/>
    <w:rsid w:val="005F6208"/>
    <w:rsid w:val="006024FD"/>
    <w:rsid w:val="0060515B"/>
    <w:rsid w:val="0062759E"/>
    <w:rsid w:val="0065635B"/>
    <w:rsid w:val="00661164"/>
    <w:rsid w:val="006809A7"/>
    <w:rsid w:val="00694A95"/>
    <w:rsid w:val="006C20CC"/>
    <w:rsid w:val="006C39F8"/>
    <w:rsid w:val="006C3B76"/>
    <w:rsid w:val="006C5689"/>
    <w:rsid w:val="006E785C"/>
    <w:rsid w:val="007277FC"/>
    <w:rsid w:val="007428A8"/>
    <w:rsid w:val="007757D7"/>
    <w:rsid w:val="00790BC7"/>
    <w:rsid w:val="007A10CE"/>
    <w:rsid w:val="007E6CEB"/>
    <w:rsid w:val="007F4570"/>
    <w:rsid w:val="00822968"/>
    <w:rsid w:val="008250A1"/>
    <w:rsid w:val="008410C1"/>
    <w:rsid w:val="00850E81"/>
    <w:rsid w:val="00873A61"/>
    <w:rsid w:val="008F78D3"/>
    <w:rsid w:val="00913644"/>
    <w:rsid w:val="0091386F"/>
    <w:rsid w:val="00946A20"/>
    <w:rsid w:val="00970B27"/>
    <w:rsid w:val="00983441"/>
    <w:rsid w:val="009D67B1"/>
    <w:rsid w:val="009E2D8B"/>
    <w:rsid w:val="009E71B5"/>
    <w:rsid w:val="009F6E1D"/>
    <w:rsid w:val="00A002CF"/>
    <w:rsid w:val="00A16601"/>
    <w:rsid w:val="00A2244A"/>
    <w:rsid w:val="00A42BB4"/>
    <w:rsid w:val="00A6445B"/>
    <w:rsid w:val="00A6644B"/>
    <w:rsid w:val="00A8670E"/>
    <w:rsid w:val="00AB177A"/>
    <w:rsid w:val="00AF2E47"/>
    <w:rsid w:val="00B0312C"/>
    <w:rsid w:val="00B23D2F"/>
    <w:rsid w:val="00B355DF"/>
    <w:rsid w:val="00B37EA6"/>
    <w:rsid w:val="00B46F90"/>
    <w:rsid w:val="00B62EEE"/>
    <w:rsid w:val="00B657D1"/>
    <w:rsid w:val="00B80AB3"/>
    <w:rsid w:val="00B9225A"/>
    <w:rsid w:val="00B934D7"/>
    <w:rsid w:val="00BA39FB"/>
    <w:rsid w:val="00BB2E91"/>
    <w:rsid w:val="00BC30BF"/>
    <w:rsid w:val="00BC3458"/>
    <w:rsid w:val="00BD17EF"/>
    <w:rsid w:val="00BD5E6D"/>
    <w:rsid w:val="00BE3354"/>
    <w:rsid w:val="00BE53CF"/>
    <w:rsid w:val="00BE57EA"/>
    <w:rsid w:val="00BF5A7F"/>
    <w:rsid w:val="00C07647"/>
    <w:rsid w:val="00C1200A"/>
    <w:rsid w:val="00C26571"/>
    <w:rsid w:val="00C30A49"/>
    <w:rsid w:val="00C30B7A"/>
    <w:rsid w:val="00C3464D"/>
    <w:rsid w:val="00C4011A"/>
    <w:rsid w:val="00C4368A"/>
    <w:rsid w:val="00C50679"/>
    <w:rsid w:val="00C5742F"/>
    <w:rsid w:val="00C64910"/>
    <w:rsid w:val="00C66F88"/>
    <w:rsid w:val="00C71C93"/>
    <w:rsid w:val="00C76F5D"/>
    <w:rsid w:val="00CA4974"/>
    <w:rsid w:val="00CD0D4C"/>
    <w:rsid w:val="00CE3FDA"/>
    <w:rsid w:val="00CE54CE"/>
    <w:rsid w:val="00CE7DE2"/>
    <w:rsid w:val="00D1768C"/>
    <w:rsid w:val="00D203A2"/>
    <w:rsid w:val="00D205AE"/>
    <w:rsid w:val="00D60ABA"/>
    <w:rsid w:val="00D727E7"/>
    <w:rsid w:val="00D8417E"/>
    <w:rsid w:val="00DA729A"/>
    <w:rsid w:val="00E00598"/>
    <w:rsid w:val="00E4660B"/>
    <w:rsid w:val="00E5444A"/>
    <w:rsid w:val="00E6571A"/>
    <w:rsid w:val="00E758E8"/>
    <w:rsid w:val="00EA290F"/>
    <w:rsid w:val="00EC7F9F"/>
    <w:rsid w:val="00ED090E"/>
    <w:rsid w:val="00ED1D59"/>
    <w:rsid w:val="00EE210D"/>
    <w:rsid w:val="00EE69E0"/>
    <w:rsid w:val="00EF7C34"/>
    <w:rsid w:val="00F13D66"/>
    <w:rsid w:val="00F14555"/>
    <w:rsid w:val="00F17570"/>
    <w:rsid w:val="00F526B2"/>
    <w:rsid w:val="00F61936"/>
    <w:rsid w:val="00F61AE0"/>
    <w:rsid w:val="00F7664D"/>
    <w:rsid w:val="00F8268F"/>
    <w:rsid w:val="00F8380E"/>
    <w:rsid w:val="00F9401F"/>
    <w:rsid w:val="00FA39F6"/>
    <w:rsid w:val="00FA5550"/>
    <w:rsid w:val="00FC4D52"/>
    <w:rsid w:val="00FC76DD"/>
    <w:rsid w:val="00FD009D"/>
    <w:rsid w:val="00FF0078"/>
    <w:rsid w:val="03E52B04"/>
    <w:rsid w:val="04DA26C6"/>
    <w:rsid w:val="0588333D"/>
    <w:rsid w:val="06AB47A2"/>
    <w:rsid w:val="06BF4168"/>
    <w:rsid w:val="06CE1903"/>
    <w:rsid w:val="07010AAB"/>
    <w:rsid w:val="08181C5D"/>
    <w:rsid w:val="091343ED"/>
    <w:rsid w:val="0A026946"/>
    <w:rsid w:val="0A365196"/>
    <w:rsid w:val="0ACB4229"/>
    <w:rsid w:val="0B731534"/>
    <w:rsid w:val="0C2B3A17"/>
    <w:rsid w:val="0D175B35"/>
    <w:rsid w:val="0D892CAF"/>
    <w:rsid w:val="0D933D59"/>
    <w:rsid w:val="0EC341CA"/>
    <w:rsid w:val="100A4151"/>
    <w:rsid w:val="10292FC7"/>
    <w:rsid w:val="105557DC"/>
    <w:rsid w:val="105D24B8"/>
    <w:rsid w:val="10A87C81"/>
    <w:rsid w:val="129E1DE1"/>
    <w:rsid w:val="12C30F2B"/>
    <w:rsid w:val="12CD5618"/>
    <w:rsid w:val="12E50BB3"/>
    <w:rsid w:val="12F450A8"/>
    <w:rsid w:val="13B9001F"/>
    <w:rsid w:val="14C02644"/>
    <w:rsid w:val="15687A0A"/>
    <w:rsid w:val="18B53ABB"/>
    <w:rsid w:val="18CE0836"/>
    <w:rsid w:val="19BB266E"/>
    <w:rsid w:val="19F210A9"/>
    <w:rsid w:val="1A1347C0"/>
    <w:rsid w:val="1A7016AA"/>
    <w:rsid w:val="1A7647E7"/>
    <w:rsid w:val="1AB94A4F"/>
    <w:rsid w:val="1AC8344D"/>
    <w:rsid w:val="1B757BC5"/>
    <w:rsid w:val="1BEA5591"/>
    <w:rsid w:val="1F9A0A6A"/>
    <w:rsid w:val="1FA13A1A"/>
    <w:rsid w:val="1FFA1001"/>
    <w:rsid w:val="2055491A"/>
    <w:rsid w:val="21D173FB"/>
    <w:rsid w:val="232E7BEA"/>
    <w:rsid w:val="23EF2322"/>
    <w:rsid w:val="24E63869"/>
    <w:rsid w:val="261C4525"/>
    <w:rsid w:val="28276741"/>
    <w:rsid w:val="28724B82"/>
    <w:rsid w:val="2A0F0141"/>
    <w:rsid w:val="2AB40F49"/>
    <w:rsid w:val="2B3213E7"/>
    <w:rsid w:val="2BA271EA"/>
    <w:rsid w:val="2BF67536"/>
    <w:rsid w:val="2C1606D2"/>
    <w:rsid w:val="2E6D4695"/>
    <w:rsid w:val="2E8E3E64"/>
    <w:rsid w:val="2ED40002"/>
    <w:rsid w:val="305806A5"/>
    <w:rsid w:val="312F7772"/>
    <w:rsid w:val="3163063C"/>
    <w:rsid w:val="31E43039"/>
    <w:rsid w:val="31EA18EB"/>
    <w:rsid w:val="32083672"/>
    <w:rsid w:val="320C7AB3"/>
    <w:rsid w:val="32621481"/>
    <w:rsid w:val="33587F2C"/>
    <w:rsid w:val="34790D04"/>
    <w:rsid w:val="349F616A"/>
    <w:rsid w:val="35F31BB9"/>
    <w:rsid w:val="35F82DD8"/>
    <w:rsid w:val="37A268D8"/>
    <w:rsid w:val="38445FE6"/>
    <w:rsid w:val="387C7715"/>
    <w:rsid w:val="38C67F71"/>
    <w:rsid w:val="3904721B"/>
    <w:rsid w:val="39142ED7"/>
    <w:rsid w:val="39A50CEE"/>
    <w:rsid w:val="3B635E97"/>
    <w:rsid w:val="3C6F7AF2"/>
    <w:rsid w:val="3D23456B"/>
    <w:rsid w:val="3E56438B"/>
    <w:rsid w:val="3F073671"/>
    <w:rsid w:val="3F4F351F"/>
    <w:rsid w:val="402356C6"/>
    <w:rsid w:val="407B0D27"/>
    <w:rsid w:val="409E360E"/>
    <w:rsid w:val="41B220EF"/>
    <w:rsid w:val="427F39F9"/>
    <w:rsid w:val="434075BC"/>
    <w:rsid w:val="44DF2E05"/>
    <w:rsid w:val="4585575A"/>
    <w:rsid w:val="46380EA2"/>
    <w:rsid w:val="478263CF"/>
    <w:rsid w:val="47FF50F1"/>
    <w:rsid w:val="484F6E6B"/>
    <w:rsid w:val="49BF2AEF"/>
    <w:rsid w:val="4AAB5447"/>
    <w:rsid w:val="4AD7736C"/>
    <w:rsid w:val="4B9C55AC"/>
    <w:rsid w:val="4BC82845"/>
    <w:rsid w:val="4BF73EE6"/>
    <w:rsid w:val="4CC732A2"/>
    <w:rsid w:val="4D05056F"/>
    <w:rsid w:val="4D2C295F"/>
    <w:rsid w:val="4D841E2C"/>
    <w:rsid w:val="4DC622BA"/>
    <w:rsid w:val="505A5506"/>
    <w:rsid w:val="50F22BC4"/>
    <w:rsid w:val="516052CE"/>
    <w:rsid w:val="51865B1B"/>
    <w:rsid w:val="52F61893"/>
    <w:rsid w:val="53FF2152"/>
    <w:rsid w:val="54C51487"/>
    <w:rsid w:val="5536081F"/>
    <w:rsid w:val="5575296A"/>
    <w:rsid w:val="57C87729"/>
    <w:rsid w:val="58765375"/>
    <w:rsid w:val="59D25502"/>
    <w:rsid w:val="59D835B9"/>
    <w:rsid w:val="5A6074FA"/>
    <w:rsid w:val="5A8D3A63"/>
    <w:rsid w:val="5AB35D79"/>
    <w:rsid w:val="5AF5778B"/>
    <w:rsid w:val="5B150205"/>
    <w:rsid w:val="5B99234F"/>
    <w:rsid w:val="5D755FEB"/>
    <w:rsid w:val="5EA7453C"/>
    <w:rsid w:val="5ECF42A9"/>
    <w:rsid w:val="603B4707"/>
    <w:rsid w:val="60A61087"/>
    <w:rsid w:val="60E64145"/>
    <w:rsid w:val="617A3DBC"/>
    <w:rsid w:val="61B23F2C"/>
    <w:rsid w:val="62DD052C"/>
    <w:rsid w:val="63D027BA"/>
    <w:rsid w:val="65500AF6"/>
    <w:rsid w:val="6587050D"/>
    <w:rsid w:val="65871DDB"/>
    <w:rsid w:val="65907EE7"/>
    <w:rsid w:val="65A13D42"/>
    <w:rsid w:val="65DD0334"/>
    <w:rsid w:val="687E3B12"/>
    <w:rsid w:val="699F49F3"/>
    <w:rsid w:val="6A30572B"/>
    <w:rsid w:val="6B9F426A"/>
    <w:rsid w:val="6BD15660"/>
    <w:rsid w:val="6C51603E"/>
    <w:rsid w:val="6CDF6C9B"/>
    <w:rsid w:val="6D01750D"/>
    <w:rsid w:val="701E3F32"/>
    <w:rsid w:val="70FE6140"/>
    <w:rsid w:val="744F2136"/>
    <w:rsid w:val="7467234B"/>
    <w:rsid w:val="74E62003"/>
    <w:rsid w:val="763C6D56"/>
    <w:rsid w:val="7663065C"/>
    <w:rsid w:val="76F3560D"/>
    <w:rsid w:val="7725049C"/>
    <w:rsid w:val="77E616E5"/>
    <w:rsid w:val="78BD61CD"/>
    <w:rsid w:val="78DA7590"/>
    <w:rsid w:val="79183C14"/>
    <w:rsid w:val="7A77442E"/>
    <w:rsid w:val="7C3817A4"/>
    <w:rsid w:val="7D3950B2"/>
    <w:rsid w:val="7D641B09"/>
    <w:rsid w:val="7D9001AF"/>
    <w:rsid w:val="7ED607F9"/>
    <w:rsid w:val="7EDD5D31"/>
    <w:rsid w:val="7EEB4670"/>
    <w:rsid w:val="7FF437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paragraph" w:styleId="3">
    <w:name w:val="heading 4"/>
    <w:basedOn w:val="1"/>
    <w:next w:val="1"/>
    <w:semiHidden/>
    <w:unhideWhenUsed/>
    <w:qFormat/>
    <w:uiPriority w:val="9"/>
    <w:pPr>
      <w:spacing w:beforeAutospacing="1" w:afterAutospacing="1"/>
      <w:jc w:val="left"/>
      <w:outlineLvl w:val="3"/>
    </w:pPr>
    <w:rPr>
      <w:rFonts w:hint="eastAsia" w:ascii="宋体" w:hAnsi="宋体"/>
      <w:b/>
      <w:bCs/>
      <w:kern w:val="0"/>
      <w:sz w:val="24"/>
      <w:szCs w:val="2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line="240" w:lineRule="atLeast"/>
      <w:ind w:right="34" w:rightChars="34"/>
    </w:pPr>
    <w:rPr>
      <w:rFonts w:ascii="Calibri" w:hAnsi="Calibri"/>
      <w:kern w:val="0"/>
    </w:rPr>
  </w:style>
  <w:style w:type="paragraph" w:styleId="5">
    <w:name w:val="Plain Text"/>
    <w:basedOn w:val="1"/>
    <w:link w:val="19"/>
    <w:qFormat/>
    <w:uiPriority w:val="0"/>
    <w:rPr>
      <w:rFonts w:ascii="宋体" w:hAnsi="Courier New" w:cs="Courier New"/>
      <w:szCs w:val="21"/>
    </w:rPr>
  </w:style>
  <w:style w:type="paragraph" w:styleId="6">
    <w:name w:val="footer"/>
    <w:basedOn w:val="1"/>
    <w:link w:val="18"/>
    <w:semiHidden/>
    <w:unhideWhenUsed/>
    <w:qFormat/>
    <w:uiPriority w:val="99"/>
    <w:pPr>
      <w:tabs>
        <w:tab w:val="center" w:pos="4153"/>
        <w:tab w:val="right" w:pos="8306"/>
      </w:tabs>
      <w:snapToGrid w:val="0"/>
      <w:jc w:val="left"/>
    </w:pPr>
    <w:rPr>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character" w:styleId="11">
    <w:name w:val="Strong"/>
    <w:basedOn w:val="10"/>
    <w:qFormat/>
    <w:uiPriority w:val="0"/>
    <w:rPr>
      <w:b/>
      <w:bCs/>
    </w:rPr>
  </w:style>
  <w:style w:type="character" w:styleId="12">
    <w:name w:val="page number"/>
    <w:basedOn w:val="10"/>
    <w:qFormat/>
    <w:uiPriority w:val="0"/>
  </w:style>
  <w:style w:type="character" w:customStyle="1" w:styleId="13">
    <w:name w:val="不明显参考1"/>
    <w:basedOn w:val="10"/>
    <w:qFormat/>
    <w:uiPriority w:val="31"/>
    <w:rPr>
      <w:smallCaps/>
      <w:color w:val="C0504D" w:themeColor="accent2"/>
      <w:u w:val="single"/>
    </w:rPr>
  </w:style>
  <w:style w:type="paragraph" w:customStyle="1" w:styleId="1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5">
    <w:name w:val="正文1"/>
    <w:qFormat/>
    <w:uiPriority w:val="0"/>
    <w:pPr>
      <w:spacing w:before="160" w:line="288" w:lineRule="auto"/>
    </w:pPr>
    <w:rPr>
      <w:rFonts w:ascii="Helvetica" w:hAnsi="Helvetica" w:eastAsia="Helvetica" w:cs="Helvetica"/>
      <w:color w:val="000000"/>
      <w:sz w:val="24"/>
      <w:szCs w:val="24"/>
      <w:lang w:val="en-US" w:eastAsia="zh-CN" w:bidi="ar-SA"/>
    </w:rPr>
  </w:style>
  <w:style w:type="paragraph" w:styleId="16">
    <w:name w:val="List Paragraph"/>
    <w:basedOn w:val="1"/>
    <w:qFormat/>
    <w:uiPriority w:val="99"/>
    <w:pPr>
      <w:ind w:firstLine="420" w:firstLineChars="200"/>
    </w:pPr>
  </w:style>
  <w:style w:type="character" w:customStyle="1" w:styleId="17">
    <w:name w:val="页眉 Char"/>
    <w:basedOn w:val="10"/>
    <w:link w:val="7"/>
    <w:semiHidden/>
    <w:qFormat/>
    <w:uiPriority w:val="99"/>
    <w:rPr>
      <w:kern w:val="2"/>
      <w:sz w:val="18"/>
      <w:szCs w:val="18"/>
    </w:rPr>
  </w:style>
  <w:style w:type="character" w:customStyle="1" w:styleId="18">
    <w:name w:val="页脚 Char"/>
    <w:basedOn w:val="10"/>
    <w:link w:val="6"/>
    <w:semiHidden/>
    <w:qFormat/>
    <w:uiPriority w:val="99"/>
    <w:rPr>
      <w:kern w:val="2"/>
      <w:sz w:val="18"/>
      <w:szCs w:val="18"/>
    </w:rPr>
  </w:style>
  <w:style w:type="character" w:customStyle="1" w:styleId="19">
    <w:name w:val="纯文本 Char"/>
    <w:basedOn w:val="10"/>
    <w:link w:val="5"/>
    <w:qFormat/>
    <w:uiPriority w:val="0"/>
    <w:rPr>
      <w:rFonts w:ascii="宋体" w:hAnsi="Courier New" w:cs="Courier New"/>
      <w:kern w:val="2"/>
      <w:sz w:val="21"/>
      <w:szCs w:val="21"/>
    </w:rPr>
  </w:style>
  <w:style w:type="character" w:customStyle="1" w:styleId="20">
    <w:name w:val="pg1"/>
    <w:qFormat/>
    <w:uiPriority w:val="0"/>
    <w:rPr>
      <w:color w:val="000000"/>
      <w:sz w:val="21"/>
      <w:szCs w:val="21"/>
    </w:rPr>
  </w:style>
  <w:style w:type="paragraph" w:customStyle="1" w:styleId="21">
    <w:name w:val="列出段落1"/>
    <w:basedOn w:val="1"/>
    <w:qFormat/>
    <w:uiPriority w:val="99"/>
    <w:pPr>
      <w:widowControl/>
      <w:spacing w:after="200" w:line="276" w:lineRule="auto"/>
      <w:ind w:firstLine="420" w:firstLineChars="200"/>
      <w:jc w:val="left"/>
    </w:pPr>
    <w:rPr>
      <w:rFonts w:ascii="Calibri" w:hAnsi="Calibri" w:cs="Calibri"/>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5048</Words>
  <Characters>5136</Characters>
  <Lines>36</Lines>
  <Paragraphs>10</Paragraphs>
  <TotalTime>2</TotalTime>
  <ScaleCrop>false</ScaleCrop>
  <LinksUpToDate>false</LinksUpToDate>
  <CharactersWithSpaces>5162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2021-09-18T01:15:00Z</dcterms:created>
  <dc:creator>LENOVO</dc:creator>
  <cp:lastModifiedBy>董鸣</cp:lastModifiedBy>
  <dcterms:modified xsi:type="dcterms:W3CDTF">2025-07-11T08:15:18Z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249E9C70E63D48EFAB86CD2047CD443D_13</vt:lpwstr>
  </property>
  <property fmtid="{D5CDD505-2E9C-101B-9397-08002B2CF9AE}" pid="4" name="KSOTemplateDocerSaveRecord">
    <vt:lpwstr>eyJoZGlkIjoiOTVmN2I2MzI3M2Y4ZjJkODBmNTc3ZDkzMjE1ODg4ZTYiLCJ1c2VySWQiOiI2NDAxNDU3MzgifQ==</vt:lpwstr>
  </property>
</Properties>
</file>