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F69D">
      <w:pPr>
        <w:spacing w:before="240" w:after="6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0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14:ligatures w14:val="none"/>
        </w:rPr>
        <w:t>闵行区推进具身智能产业高质量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14:ligatures w14:val="no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14:ligatures w14:val="none"/>
        </w:rPr>
        <w:t>创新发展的若干政策措施</w:t>
      </w:r>
    </w:p>
    <w:p w14:paraId="628187A6">
      <w:pPr>
        <w:spacing w:after="0" w:line="500" w:lineRule="exact"/>
        <w:jc w:val="center"/>
        <w:rPr>
          <w:rFonts w:hint="eastAsia" w:ascii="楷体_GB2312" w:hAnsi="楷体_GB2312" w:eastAsia="楷体_GB2312" w:cs="楷体_GB2312"/>
          <w:sz w:val="32"/>
          <w14:ligatures w14:val="none"/>
        </w:rPr>
      </w:pPr>
      <w:r>
        <w:rPr>
          <w:rFonts w:hint="eastAsia" w:ascii="楷体_GB2312" w:hAnsi="楷体_GB2312" w:eastAsia="楷体_GB2312" w:cs="楷体_GB2312"/>
          <w:sz w:val="32"/>
          <w14:ligatures w14:val="none"/>
        </w:rPr>
        <w:t>（征求意见稿）</w:t>
      </w:r>
    </w:p>
    <w:p w14:paraId="1E3DE85D">
      <w:pPr>
        <w:spacing w:after="0" w:line="500" w:lineRule="exact"/>
        <w:jc w:val="both"/>
        <w:rPr>
          <w:rFonts w:hint="eastAsia" w:ascii="楷体_GB2312" w:hAnsi="楷体_GB2312" w:eastAsia="楷体_GB2312" w:cs="楷体_GB2312"/>
          <w:sz w:val="32"/>
          <w14:ligatures w14:val="none"/>
        </w:rPr>
      </w:pPr>
    </w:p>
    <w:p w14:paraId="4807F154">
      <w:pPr>
        <w:spacing w:line="520" w:lineRule="exact"/>
        <w:ind w:firstLine="640" w:firstLineChars="200"/>
        <w:rPr>
          <w:rFonts w:hint="eastAsia"/>
          <w:sz w:val="32"/>
        </w:rPr>
      </w:pP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为深入贯彻国家关于加快发展“人工智能+”行动部署，落实《上海市具身智能产业发展实施方案》（沪府办规〔2025〕6号）相关要求，积极抢抓具身智能发展机遇，发挥闵行区人工智能领域创新资源和产业集聚优势，加快打造国内领先的具身智能产业集聚区，制定本措施。</w:t>
      </w:r>
    </w:p>
    <w:p w14:paraId="73C21089">
      <w:pPr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1.支持核心零部件与技术研发。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鼓励企业围绕伺服系统、传感器、一体化关节及智能芯片等核心部件，加大技术研发投入，加快产品升级迭代</w:t>
      </w:r>
      <w:r>
        <w:rPr>
          <w:rFonts w:hint="eastAsia" w:ascii="Times New Roman" w:hAnsi="Times New Roman" w:eastAsia="仿宋_GB2312" w:cs="Times New Roman"/>
          <w:sz w:val="32"/>
          <w:szCs w:val="22"/>
          <w14:ligatures w14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22"/>
          <w14:ligatures w14:val="none"/>
        </w:rPr>
        <w:t>对形成自主知识产权并取得市场销售的产品，给予不超过研发投入的30%、最高不超过300万元支持。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对企业或项目团队购买或租用算力开展具身智能重大技术创新的，每年给予不超过实际费用30%、最高500万元的经费支持。</w:t>
      </w:r>
    </w:p>
    <w:p w14:paraId="77013C9F">
      <w:pPr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2.支持具身智能技术协同创新。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探索“揭榜挂帅”项目机制，支持具身智能领域企业与高校、科研机构等开展关键核心技术攻关，给予最高不超过1000万元资助。对承担具身智能领域市级“揭榜挂帅”等创新任务的，给予1:0.5资金匹配且最高不超过200万元支持。</w:t>
      </w:r>
    </w:p>
    <w:p w14:paraId="057F8C7D">
      <w:pPr>
        <w:spacing w:line="50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14:ligatures w14:val="none"/>
        </w:rPr>
        <w:t>3.支持</w:t>
      </w:r>
      <w:r>
        <w:rPr>
          <w:rFonts w:hint="eastAsia" w:ascii="仿宋_GB2312" w:hAnsi="仿宋_GB2312" w:eastAsia="仿宋_GB2312" w:cs="仿宋_GB2312"/>
          <w:b/>
          <w:sz w:val="32"/>
          <w:szCs w:val="22"/>
          <w14:ligatures w14:val="none"/>
        </w:rPr>
        <w:t>爆款产品采购与应用示范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  <w14:ligatures w14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22"/>
          <w14:ligatures w14:val="none"/>
        </w:rPr>
        <w:t>鼓励推动上下游企业联动开展产品开发，对企业采购非关联企业开发的具身智能创新产品，且成功应用于实际场景并形成示范效应的，按单款产品采购金额的20%给予补贴，单个企业给予最高不超过200万元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仿宋_GB2312" w:hAnsi="仿宋_GB2312" w:eastAsia="仿宋_GB2312" w:cs="仿宋_GB2312"/>
          <w:sz w:val="32"/>
          <w:szCs w:val="22"/>
          <w14:ligatures w14:val="none"/>
        </w:rPr>
        <w:t>对具身智能领域产品纳入市级创新产品推荐目录的，按单款产品销售额的10%，单个企业给予最高不超过100万元支持。</w:t>
      </w:r>
    </w:p>
    <w:p w14:paraId="093D3A1B">
      <w:pPr>
        <w:pStyle w:val="12"/>
        <w:ind w:firstLine="643"/>
        <w:rPr>
          <w:rFonts w:hint="eastAsia" w:cs="宋体"/>
          <w:b/>
          <w:bCs/>
          <w:sz w:val="32"/>
          <w:szCs w:val="22"/>
        </w:rPr>
      </w:pPr>
      <w:r>
        <w:rPr>
          <w:rFonts w:hint="eastAsia" w:cs="宋体"/>
          <w:b/>
          <w:bCs/>
          <w:sz w:val="32"/>
          <w:szCs w:val="22"/>
        </w:rPr>
        <w:t>4.推广“具身智能+工业制造”示范应用。</w:t>
      </w:r>
      <w:r>
        <w:rPr>
          <w:rFonts w:hint="eastAsia" w:cs="宋体"/>
          <w:sz w:val="32"/>
          <w:szCs w:val="32"/>
        </w:rPr>
        <w:t>支持企业面向汽车零部件、电子信息、先进装备制造等行业领域，</w:t>
      </w:r>
      <w:r>
        <w:rPr>
          <w:rFonts w:hint="eastAsia" w:cs="宋体"/>
          <w:sz w:val="32"/>
          <w:szCs w:val="22"/>
        </w:rPr>
        <w:t>依托具身智能技术开展技术改造，按照新增设备投资额的10%给予支持，上限2000万元。</w:t>
      </w:r>
      <w:r>
        <w:rPr>
          <w:rFonts w:hint="eastAsia" w:cs="宋体"/>
          <w:sz w:val="32"/>
          <w:szCs w:val="32"/>
        </w:rPr>
        <w:t>对大幅应用具身智能技术的市级及以上智能工厂、揭榜挂帅任务等，</w:t>
      </w:r>
      <w:r>
        <w:rPr>
          <w:rFonts w:hint="eastAsia" w:cs="仿宋_GB2312"/>
          <w:sz w:val="32"/>
          <w:szCs w:val="22"/>
        </w:rPr>
        <w:t>给予最高不超过</w:t>
      </w:r>
      <w:r>
        <w:rPr>
          <w:rFonts w:hint="eastAsia" w:cs="宋体"/>
          <w:sz w:val="32"/>
          <w:szCs w:val="32"/>
        </w:rPr>
        <w:t>150万元支持。</w:t>
      </w:r>
    </w:p>
    <w:p w14:paraId="0CEAD51C">
      <w:pPr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5.推动“具身智能+商业零售”场景塑造。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依托区内大型商圈、特色商业街区及文创街区，支持企业在</w:t>
      </w:r>
      <w:r>
        <w:rPr>
          <w:rFonts w:ascii="仿宋_GB2312" w:hAnsi="Times New Roman" w:eastAsia="仿宋_GB2312" w:cs="Times New Roman"/>
          <w:sz w:val="32"/>
          <w:szCs w:val="22"/>
          <w14:ligatures w14:val="none"/>
        </w:rPr>
        <w:t>导览讲解、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客户接待</w:t>
      </w:r>
      <w:r>
        <w:rPr>
          <w:rFonts w:ascii="仿宋_GB2312" w:hAnsi="Times New Roman" w:eastAsia="仿宋_GB2312" w:cs="Times New Roman"/>
          <w:sz w:val="32"/>
          <w:szCs w:val="22"/>
          <w14:ligatures w14:val="none"/>
        </w:rPr>
        <w:t>、无人零售、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营销导购、</w:t>
      </w:r>
      <w:r>
        <w:rPr>
          <w:rFonts w:ascii="仿宋_GB2312" w:hAnsi="Times New Roman" w:eastAsia="仿宋_GB2312" w:cs="Times New Roman"/>
          <w:sz w:val="32"/>
          <w:szCs w:val="22"/>
          <w14:ligatures w14:val="none"/>
        </w:rPr>
        <w:t>安防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巡逻</w:t>
      </w:r>
      <w:r>
        <w:rPr>
          <w:rFonts w:ascii="仿宋_GB2312" w:hAnsi="Times New Roman" w:eastAsia="仿宋_GB2312" w:cs="Times New Roman"/>
          <w:sz w:val="32"/>
          <w:szCs w:val="22"/>
          <w14:ligatures w14:val="none"/>
        </w:rPr>
        <w:t>等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领域，形成多样化具身智能服务模式。鼓励企业结合本地商贸特色，打造沉浸式、交互式商业服务新业态，支持建设一批示范应用，带动传统零售服务升级与消费场景焕新。</w:t>
      </w:r>
    </w:p>
    <w:p w14:paraId="27FE4899">
      <w:pPr>
        <w:spacing w:line="500" w:lineRule="exact"/>
        <w:ind w:firstLine="643" w:firstLineChars="200"/>
        <w:jc w:val="both"/>
        <w:rPr>
          <w:rFonts w:ascii="仿宋_GB2312" w:hAnsi="Times New Roman" w:eastAsia="仿宋_GB2312" w:cs="Times New Roman"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6.加快“具身智能+医疗康养”应用试点。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依托</w:t>
      </w:r>
      <w:r>
        <w:rPr>
          <w:rFonts w:hint="eastAsia" w:ascii="Times New Roman" w:hAnsi="Times New Roman" w:eastAsia="仿宋_GB2312" w:cs="Times New Roman"/>
          <w:sz w:val="32"/>
          <w:szCs w:val="22"/>
          <w14:ligatures w14:val="none"/>
        </w:rPr>
        <w:t>上海脑机接口未来产业集聚区、上海市养老科技产业园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、综合性医院及养老机构，支持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医疗护理、康复陪护机器人等核心具身智能产品，推动脑机接口、护理辅助、情感陪伴等前沿技术试点应用。支持具身智能领域养老产品研发测试，按获得市科技创新券实际兑现金额，给予1:0.5资金匹配。</w:t>
      </w:r>
    </w:p>
    <w:p w14:paraId="6133DC9D">
      <w:pPr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7.推进“具身智能+教育陪伴”应用推广。</w:t>
      </w:r>
      <w:r>
        <w:rPr>
          <w:rFonts w:hint="eastAsia" w:ascii="仿宋_GB2312" w:hAnsi="仿宋_GB2312" w:eastAsia="仿宋_GB2312" w:cs="仿宋_GB2312"/>
          <w:sz w:val="32"/>
          <w:szCs w:val="21"/>
          <w14:ligatures w14:val="none"/>
        </w:rPr>
        <w:t>立足区内优质教育资源和人工智能产教融合基地、教育机器人产业基地等基础，支持企业在早教启蒙、课堂教学等方向加快产品研发与技术迭代。鼓励多方主体联合打造具身智能实验课堂与实训基地，推动具身智能教育机器人</w:t>
      </w:r>
      <w:r>
        <w:rPr>
          <w:rFonts w:ascii="仿宋_GB2312" w:hAnsi="仿宋_GB2312" w:eastAsia="仿宋_GB2312" w:cs="仿宋_GB2312"/>
          <w:sz w:val="32"/>
          <w:szCs w:val="21"/>
          <w14:ligatures w14:val="none"/>
        </w:rPr>
        <w:t>在中小学、职业教育及社区教育场所</w:t>
      </w:r>
      <w:r>
        <w:rPr>
          <w:rFonts w:hint="eastAsia" w:ascii="仿宋_GB2312" w:hAnsi="仿宋_GB2312" w:eastAsia="仿宋_GB2312" w:cs="仿宋_GB2312"/>
          <w:sz w:val="32"/>
          <w:szCs w:val="21"/>
          <w14:ligatures w14:val="none"/>
        </w:rPr>
        <w:t>实现规模化应用。</w:t>
      </w:r>
    </w:p>
    <w:p w14:paraId="1DA3545F">
      <w:pPr>
        <w:spacing w:line="5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14:ligatures w14:val="none"/>
        </w:rPr>
        <w:t>8.支持高能级企业落地建设。</w:t>
      </w:r>
      <w:r>
        <w:rPr>
          <w:rFonts w:hint="eastAsia" w:ascii="Times New Roman" w:hAnsi="Times New Roman" w:eastAsia="仿宋_GB2312" w:cs="Times New Roman"/>
          <w:sz w:val="32"/>
          <w:szCs w:val="22"/>
          <w14:ligatures w14:val="none"/>
        </w:rPr>
        <w:t>支持区域总部、研发中心和制造基地等项目落地，推进上下游配套企业和优质项目集聚。加快推进一批科技含量高、带动效应强、发展潜力大的优质项目落地，对新落户具身智能领域链主企业，</w:t>
      </w:r>
      <w:r>
        <w:rPr>
          <w:rFonts w:hint="eastAsia" w:ascii="仿宋_GB2312" w:hAnsi="仿宋_GB2312" w:eastAsia="仿宋_GB2312" w:cs="仿宋_GB2312"/>
          <w:sz w:val="32"/>
          <w:szCs w:val="22"/>
          <w14:ligatures w14:val="none"/>
        </w:rPr>
        <w:t>给予最高不超过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3000</w:t>
      </w:r>
      <w:r>
        <w:rPr>
          <w:rFonts w:hint="eastAsia" w:ascii="Times New Roman" w:hAnsi="Times New Roman" w:eastAsia="仿宋_GB2312" w:cs="Times New Roman"/>
          <w:sz w:val="32"/>
          <w:szCs w:val="22"/>
          <w14:ligatures w14:val="none"/>
        </w:rPr>
        <w:t>万元的支持。</w:t>
      </w:r>
    </w:p>
    <w:p w14:paraId="796EA5D0">
      <w:pPr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:lang w:val="en-US" w:eastAsia="zh-CN"/>
          <w14:ligatures w14:val="none"/>
        </w:rPr>
        <w:t>9</w:t>
      </w: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.打造具身智能产业集聚区。</w:t>
      </w:r>
      <w:r>
        <w:rPr>
          <w:rFonts w:hint="eastAsia" w:ascii="仿宋_GB2312" w:hAnsi="仿宋_GB2312" w:eastAsia="仿宋_GB2312" w:cs="Times New Roman"/>
          <w:sz w:val="32"/>
          <w:szCs w:val="22"/>
          <w14:ligatures w14:val="none"/>
        </w:rPr>
        <w:t>支持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以</w:t>
      </w:r>
      <w:r>
        <w:rPr>
          <w:rFonts w:hint="eastAsia" w:ascii="仿宋_GB2312" w:hAnsi="仿宋_GB2312" w:eastAsia="仿宋_GB2312" w:cs="仿宋_GB2312"/>
          <w:sz w:val="32"/>
          <w:szCs w:val="22"/>
          <w14:ligatures w14:val="none"/>
        </w:rPr>
        <w:t>马桥具身智谷核心零部件集聚区</w:t>
      </w:r>
      <w:r>
        <w:rPr>
          <w:rFonts w:hint="eastAsia" w:ascii="仿宋_GB2312" w:hAnsi="Times New Roman" w:eastAsia="仿宋_GB2312" w:cs="Times New Roman"/>
          <w:sz w:val="32"/>
          <w:szCs w:val="22"/>
          <w14:ligatures w14:val="none"/>
        </w:rPr>
        <w:t>为核心承载，</w:t>
      </w:r>
      <w:r>
        <w:rPr>
          <w:rFonts w:hint="eastAsia" w:ascii="Times New Roman" w:hAnsi="Times New Roman" w:eastAsia="仿宋_GB2312" w:cs="Times New Roman"/>
          <w:sz w:val="32"/>
          <w:szCs w:val="22"/>
          <w14:ligatures w14:val="none"/>
        </w:rPr>
        <w:t>打造一批功能互补、特色鲜明的专业化集聚区和功能区</w:t>
      </w:r>
      <w:r>
        <w:rPr>
          <w:rFonts w:hint="eastAsia" w:ascii="仿宋_GB2312" w:hAnsi="仿宋_GB2312" w:eastAsia="仿宋_GB2312" w:cs="Times New Roman"/>
          <w:sz w:val="32"/>
          <w:szCs w:val="22"/>
          <w14:ligatures w14:val="none"/>
        </w:rPr>
        <w:t>。对获得市级以上具身智能领域中小企业特色产业集群、市级特色产业园区的运营主体给予政策支持。</w:t>
      </w:r>
      <w:bookmarkStart w:id="0" w:name="_GoBack"/>
      <w:bookmarkEnd w:id="0"/>
    </w:p>
    <w:p w14:paraId="24DC1041">
      <w:pPr>
        <w:widowControl/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1</w:t>
      </w:r>
      <w:r>
        <w:rPr>
          <w:rFonts w:hint="eastAsia" w:ascii="仿宋_GB2312" w:hAnsi="仿宋_GB2312" w:eastAsia="仿宋_GB2312" w:cs="宋体"/>
          <w:b/>
          <w:bCs/>
          <w:sz w:val="32"/>
          <w:szCs w:val="22"/>
          <w:lang w:val="en-US" w:eastAsia="zh-CN"/>
          <w14:ligatures w14:val="none"/>
        </w:rPr>
        <w:t>0</w:t>
      </w: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.建设高能级产业平台。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鼓励产业运营平台发挥资源禀赋，推动产业集聚和项目导入。支持具身智能领域产业运营平台，</w:t>
      </w:r>
      <w:r>
        <w:rPr>
          <w:rFonts w:ascii="仿宋_GB2312" w:hAnsi="仿宋_GB2312" w:eastAsia="仿宋_GB2312" w:cs="宋体"/>
          <w:sz w:val="32"/>
          <w:szCs w:val="22"/>
          <w14:ligatures w14:val="none"/>
        </w:rPr>
        <w:t>承接区内载体建设、招商引资及企业服务等职能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。对经认定的产业运营合作伙伴引荐符合闵行产业定位的投资项目，给予引荐方上限3000万元的资金支持。</w:t>
      </w:r>
    </w:p>
    <w:p w14:paraId="73375E27">
      <w:pPr>
        <w:pStyle w:val="12"/>
        <w:ind w:firstLine="643"/>
        <w:rPr>
          <w:rFonts w:hint="eastAsia"/>
        </w:rPr>
      </w:pPr>
      <w:r>
        <w:rPr>
          <w:rFonts w:hint="eastAsia" w:cs="仿宋_GB2312"/>
          <w:b/>
          <w:bCs/>
          <w:sz w:val="32"/>
          <w:szCs w:val="22"/>
          <w:lang w:val="en-US" w:eastAsia="zh-CN"/>
        </w:rPr>
        <w:t>11</w:t>
      </w:r>
      <w:r>
        <w:rPr>
          <w:rFonts w:hint="eastAsia" w:cs="仿宋_GB2312"/>
          <w:b/>
          <w:bCs/>
          <w:sz w:val="32"/>
          <w:szCs w:val="22"/>
        </w:rPr>
        <w:t>.强化企业投融资服务。</w:t>
      </w:r>
      <w:r>
        <w:rPr>
          <w:rFonts w:hint="eastAsia" w:cs="仿宋_GB2312"/>
          <w:sz w:val="32"/>
          <w:szCs w:val="22"/>
        </w:rPr>
        <w:t>加强市区两级基金联动，</w:t>
      </w:r>
      <w:r>
        <w:rPr>
          <w:rFonts w:hint="eastAsia" w:ascii="Times New Roman" w:hAnsi="Times New Roman"/>
          <w:sz w:val="32"/>
          <w:szCs w:val="22"/>
        </w:rPr>
        <w:t>发挥“大零号湾”金融港功能作用，组建</w:t>
      </w:r>
      <w:r>
        <w:rPr>
          <w:rFonts w:hint="eastAsia" w:cs="仿宋_GB2312"/>
          <w:sz w:val="32"/>
          <w:szCs w:val="22"/>
        </w:rPr>
        <w:t>具身智能产业投资基金，重点面向核心零部件技术创新、感知决策与运动控制模型、具身协同技术及智能终端产品等关键领域，投早、投小、投硬科技。</w:t>
      </w:r>
    </w:p>
    <w:p w14:paraId="29685279">
      <w:pPr>
        <w:widowControl/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12.健全创新转化机制。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鼓励区内校企共建以中试平台为核心的具身智能领域中试验证体系，打通覆盖</w:t>
      </w:r>
      <w:r>
        <w:rPr>
          <w:rFonts w:hint="eastAsia" w:ascii="Times New Roman" w:hAnsi="Times New Roman" w:eastAsia="仿宋_GB2312" w:cs="Times New Roman"/>
          <w:sz w:val="32"/>
          <w:szCs w:val="22"/>
          <w14:ligatures w14:val="none"/>
        </w:rPr>
        <w:t>算法验证、仿真训练、人机交互测试、真实场景开放等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全产业链环节，分阶段推进资源集成、设施建设与平台试运营。对于入选市级制造业中试平台的项目，分阶段给予建设运营方不超过1000万元的支持。</w:t>
      </w:r>
    </w:p>
    <w:p w14:paraId="2230C307">
      <w:pPr>
        <w:spacing w:line="500" w:lineRule="exact"/>
        <w:ind w:firstLine="643" w:firstLineChars="200"/>
        <w:jc w:val="both"/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13.推进全球开放合作。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鼓励区内企业、机构打造多维度、国际化具身智能创新与合作平台，支持联合海外高校、科研机构及龙头企业联合开展技术攻关、场景验证及成果应用，推动形成一批具有示范效应的国际合作项目。引导本地企业开展国际市场推广与品牌建设，鼓励企业参加境内外具有国际影响力、知名度的展会展览，按企业实际参展的展位费给予支持。</w:t>
      </w:r>
    </w:p>
    <w:p w14:paraId="43B69991">
      <w:pPr>
        <w:widowControl/>
        <w:spacing w:line="5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22"/>
          <w14:ligatures w14:val="none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22"/>
          <w14:ligatures w14:val="none"/>
        </w:rPr>
        <w:t>14.支持产业人才发展。</w:t>
      </w:r>
      <w:r>
        <w:rPr>
          <w:rFonts w:hint="eastAsia" w:ascii="仿宋_GB2312" w:hAnsi="仿宋_GB2312" w:eastAsia="仿宋_GB2312" w:cs="宋体"/>
          <w:sz w:val="32"/>
          <w:szCs w:val="22"/>
          <w14:ligatures w14:val="none"/>
        </w:rPr>
        <w:t>以“人才+项目”的方式遴选一批具身智能领域产业高层次人才，推荐申报上海市东方英才项目。围绕具身智能重点产业领域，推荐企业申报人才专项奖励。实施春申人才计划，吸</w:t>
      </w:r>
      <w:r>
        <w:rPr>
          <w:rFonts w:hint="eastAsia" w:ascii="Times New Roman" w:hAnsi="Times New Roman" w:eastAsia="仿宋_GB2312" w:cs="Times New Roman"/>
          <w:sz w:val="32"/>
          <w:szCs w:val="22"/>
          <w14:ligatures w14:val="none"/>
        </w:rPr>
        <w:t>引一流科技创新人才。对符合条件的具身智能产业高层次人才，加大人才落户、住房安居、子女就学等方面的保障力度。</w:t>
      </w:r>
    </w:p>
    <w:p w14:paraId="4F2E2817">
      <w:pPr>
        <w:pStyle w:val="12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本政策自2025年*月*日起施行，有效期至2027年*月*日。政策施行期间，与国家、本市、区其他政策有重复的，按照“从优、就高、不重复”原则执行。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03CD4C9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BC076C">
    <w:pPr>
      <w:pStyle w:val="1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09"/>
    <w:rsid w:val="00001138"/>
    <w:rsid w:val="00021F42"/>
    <w:rsid w:val="00084E25"/>
    <w:rsid w:val="00117176"/>
    <w:rsid w:val="002252E5"/>
    <w:rsid w:val="0025393B"/>
    <w:rsid w:val="00264612"/>
    <w:rsid w:val="002E12E1"/>
    <w:rsid w:val="002E2169"/>
    <w:rsid w:val="002E6D21"/>
    <w:rsid w:val="00305A2A"/>
    <w:rsid w:val="00322F44"/>
    <w:rsid w:val="0035073D"/>
    <w:rsid w:val="00375FF2"/>
    <w:rsid w:val="00382F38"/>
    <w:rsid w:val="003C351B"/>
    <w:rsid w:val="003D73B5"/>
    <w:rsid w:val="003F3C9F"/>
    <w:rsid w:val="00432D09"/>
    <w:rsid w:val="00432DAD"/>
    <w:rsid w:val="004E5CF0"/>
    <w:rsid w:val="005136BA"/>
    <w:rsid w:val="0051370F"/>
    <w:rsid w:val="00523EE2"/>
    <w:rsid w:val="00564B3D"/>
    <w:rsid w:val="00566363"/>
    <w:rsid w:val="005B3403"/>
    <w:rsid w:val="005B6696"/>
    <w:rsid w:val="005F15D6"/>
    <w:rsid w:val="005F734B"/>
    <w:rsid w:val="006510A4"/>
    <w:rsid w:val="00697C3D"/>
    <w:rsid w:val="006A58C7"/>
    <w:rsid w:val="006D5AC2"/>
    <w:rsid w:val="006D74E7"/>
    <w:rsid w:val="00722621"/>
    <w:rsid w:val="0073615F"/>
    <w:rsid w:val="00783F18"/>
    <w:rsid w:val="007B7268"/>
    <w:rsid w:val="007E448A"/>
    <w:rsid w:val="007F229B"/>
    <w:rsid w:val="00841F03"/>
    <w:rsid w:val="00843BBF"/>
    <w:rsid w:val="00896AFA"/>
    <w:rsid w:val="0095547A"/>
    <w:rsid w:val="00976832"/>
    <w:rsid w:val="009B340E"/>
    <w:rsid w:val="00A04902"/>
    <w:rsid w:val="00A10079"/>
    <w:rsid w:val="00A11EE8"/>
    <w:rsid w:val="00A26B2C"/>
    <w:rsid w:val="00A60F22"/>
    <w:rsid w:val="00A92E74"/>
    <w:rsid w:val="00A97244"/>
    <w:rsid w:val="00AF2A42"/>
    <w:rsid w:val="00AF57EC"/>
    <w:rsid w:val="00B56D51"/>
    <w:rsid w:val="00B92F20"/>
    <w:rsid w:val="00B9657F"/>
    <w:rsid w:val="00BA1D49"/>
    <w:rsid w:val="00BC1024"/>
    <w:rsid w:val="00C13BA0"/>
    <w:rsid w:val="00C167BF"/>
    <w:rsid w:val="00C46A1B"/>
    <w:rsid w:val="00C860A0"/>
    <w:rsid w:val="00C91825"/>
    <w:rsid w:val="00CD369C"/>
    <w:rsid w:val="00D32C62"/>
    <w:rsid w:val="00D5028F"/>
    <w:rsid w:val="00D75219"/>
    <w:rsid w:val="00D85499"/>
    <w:rsid w:val="00D96B89"/>
    <w:rsid w:val="00DC4CF8"/>
    <w:rsid w:val="00DE33D1"/>
    <w:rsid w:val="00E11BA1"/>
    <w:rsid w:val="00E17F18"/>
    <w:rsid w:val="00E24742"/>
    <w:rsid w:val="00E3788E"/>
    <w:rsid w:val="00E406CA"/>
    <w:rsid w:val="00E607B9"/>
    <w:rsid w:val="00E92F27"/>
    <w:rsid w:val="00EB21A2"/>
    <w:rsid w:val="00ED573C"/>
    <w:rsid w:val="00EF11FA"/>
    <w:rsid w:val="00F0541D"/>
    <w:rsid w:val="00F2418B"/>
    <w:rsid w:val="00F4262A"/>
    <w:rsid w:val="00F449B1"/>
    <w:rsid w:val="00FA392A"/>
    <w:rsid w:val="00FB42BD"/>
    <w:rsid w:val="04450952"/>
    <w:rsid w:val="0D645222"/>
    <w:rsid w:val="114C768E"/>
    <w:rsid w:val="11BF3ECF"/>
    <w:rsid w:val="12BB3B36"/>
    <w:rsid w:val="1390672F"/>
    <w:rsid w:val="1DA11B7B"/>
    <w:rsid w:val="1EDF7720"/>
    <w:rsid w:val="261205D1"/>
    <w:rsid w:val="26452AE1"/>
    <w:rsid w:val="28BE1833"/>
    <w:rsid w:val="2AA9254E"/>
    <w:rsid w:val="2CE5182C"/>
    <w:rsid w:val="370C24CE"/>
    <w:rsid w:val="394C61B4"/>
    <w:rsid w:val="3B457B92"/>
    <w:rsid w:val="41B013E3"/>
    <w:rsid w:val="42AD499A"/>
    <w:rsid w:val="47152B0E"/>
    <w:rsid w:val="4A973FC7"/>
    <w:rsid w:val="51FB3006"/>
    <w:rsid w:val="57945CD1"/>
    <w:rsid w:val="59E71DA5"/>
    <w:rsid w:val="5FEB547C"/>
    <w:rsid w:val="62F465B1"/>
    <w:rsid w:val="65051FBC"/>
    <w:rsid w:val="6D341690"/>
    <w:rsid w:val="6EFFB03D"/>
    <w:rsid w:val="72402885"/>
    <w:rsid w:val="760865B3"/>
    <w:rsid w:val="7E1D1CCD"/>
    <w:rsid w:val="7EFE1CC8"/>
    <w:rsid w:val="7F7A392E"/>
    <w:rsid w:val="7FF5D99F"/>
    <w:rsid w:val="7FFE593C"/>
    <w:rsid w:val="B7D96A8D"/>
    <w:rsid w:val="FE51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12">
    <w:name w:val="Normal Indent"/>
    <w:basedOn w:val="1"/>
    <w:qFormat/>
    <w:uiPriority w:val="0"/>
    <w:pPr>
      <w:spacing w:after="0" w:line="500" w:lineRule="exact"/>
      <w:ind w:firstLine="420" w:firstLineChars="200"/>
      <w:jc w:val="both"/>
    </w:pPr>
    <w:rPr>
      <w:rFonts w:ascii="仿宋_GB2312" w:hAnsi="仿宋_GB2312" w:eastAsia="仿宋_GB2312" w:cs="Times New Roman"/>
      <w:sz w:val="30"/>
      <w14:ligatures w14:val="none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</w:rPr>
  </w:style>
  <w:style w:type="character" w:customStyle="1" w:styleId="20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4"/>
    <w:qFormat/>
    <w:uiPriority w:val="99"/>
    <w:rPr>
      <w:kern w:val="2"/>
      <w:sz w:val="18"/>
      <w:szCs w:val="18"/>
      <w14:ligatures w14:val="standardContextual"/>
    </w:rPr>
  </w:style>
  <w:style w:type="character" w:customStyle="1" w:styleId="39">
    <w:name w:val="页脚 字符"/>
    <w:basedOn w:val="18"/>
    <w:link w:val="13"/>
    <w:qFormat/>
    <w:uiPriority w:val="99"/>
    <w:rPr>
      <w:kern w:val="2"/>
      <w:sz w:val="18"/>
      <w:szCs w:val="18"/>
      <w14:ligatures w14:val="standardContextual"/>
    </w:rPr>
  </w:style>
  <w:style w:type="paragraph" w:customStyle="1" w:styleId="4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customStyle="1" w:styleId="4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2090</Words>
  <Characters>93</Characters>
  <Lines>4</Lines>
  <Paragraphs>17</Paragraphs>
  <TotalTime>1</TotalTime>
  <ScaleCrop>false</ScaleCrop>
  <LinksUpToDate>false</LinksUpToDate>
  <CharactersWithSpaces>2166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2025-08-17T13:41:00Z</dcterms:created>
  <dc:creator>Qingyang Yu</dc:creator>
  <cp:lastModifiedBy>mhxc</cp:lastModifiedBy>
  <cp:lastPrinted>2025-08-22T09:17:00Z</cp:lastPrinted>
  <dcterms:modified xsi:type="dcterms:W3CDTF">2025-09-11T15:54:46Z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eyJoZGlkIjoiMmM1MzVmOWM1NDk2YTcxNTcwNjc1MzQxOGNjMGQ0MjciLCJ1c2VySWQiOiI4OTYwNjgxMTAifQ==</vt:lpwstr>
  </property>
  <property fmtid="{D5CDD505-2E9C-101B-9397-08002B2CF9AE}" pid="3" name="KSOProductBuildVer">
    <vt:lpwstr>2052-12.8.2.1119</vt:lpwstr>
  </property>
  <property fmtid="{D5CDD505-2E9C-101B-9397-08002B2CF9AE}" pid="4" name="ICV">
    <vt:lpwstr>FB260F0CD0964ABDA0B6B92FDB436941_13</vt:lpwstr>
  </property>
</Properties>
</file>