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闵行区关于大力推进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现代服务业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高质量发展的若干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意见</w:t>
      </w:r>
    </w:p>
    <w:p>
      <w:pPr>
        <w:adjustRightInd w:val="0"/>
        <w:snapToGrid w:val="0"/>
        <w:spacing w:line="560" w:lineRule="exact"/>
        <w:jc w:val="center"/>
        <w:rPr>
          <w:rFonts w:hint="eastAsia" w:ascii="CESI楷体-GB2312" w:hAnsi="CESI楷体-GB2312" w:eastAsia="CESI楷体-GB2312" w:cs="CESI楷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adjustRightInd w:val="0"/>
        <w:snapToGrid w:val="0"/>
        <w:spacing w:line="560" w:lineRule="exact"/>
        <w:jc w:val="center"/>
        <w:rPr>
          <w:rFonts w:hint="eastAsia" w:ascii="CESI楷体-GB2312" w:hAnsi="CESI楷体-GB2312" w:eastAsia="CESI楷体-GB2312" w:cs="CESI楷体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为加快构建现代化产业体系，优化闵行区现代服务业发展环境，持续提升“服务强区”水平，推动高质量发展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特制定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政策意见。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一、大力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培育高能级企业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1.跨国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地区总部。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鼓励跨国公司地区总部集聚业务、拓展功能、提升能级，对新认定的全球总部或事业部总部给予600万元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；亚洲区、亚太区总部或事业部总部给予400万元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；中国区、大中华区总部或事业部总部给予200万元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总部型机构给予100万元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2.外资研发中心。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鼓励外资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企业建立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机构，推动外资研发中心提升核心竞争力，对新认定的全球研发中心给予300万元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；开放式创新平台给予200万元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；外资研发中心给予100万元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.贸易型总部。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鼓励大型商贸集团落户，推动具有国际国内资源配置能力的贸易企业形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成贸易型总部。对新认定的上海市贸易型总部，给予上限200万元的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。对已获认定的贸易型总部企业，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达到一定能级的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，给予上限200万元的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鼓励发展贸易新模式新业态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.发展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跨境电商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新业态。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跨境电商业务纳入上海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跨境电商综合服务平台的企业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上年度通过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电商平台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产生的海外数字营销服务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、合规化服务费用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给予50%的支持，上限100万元。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5.支持企业完善国际化仓储。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企业在境外租用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或自建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海外仓，对相关租赁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建设费用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50%的支持，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50万元、100万元。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6.发展服务贸易新模式。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鼓励企业承接国际服务外包业务，扩大技术出口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，对在商务部业务系统统一平台备案的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服务外包或技术出口业务进行贴息支持，上限50万元。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trike w:val="0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strike w:val="0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.鼓励企业开展保税展示业务。</w:t>
      </w:r>
      <w:r>
        <w:rPr>
          <w:rFonts w:hint="eastAsia" w:ascii="仿宋_GB2312" w:eastAsia="仿宋_GB2312"/>
          <w: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对企业开展</w:t>
      </w:r>
      <w:r>
        <w:rPr>
          <w:rFonts w:hint="eastAsia" w:ascii="仿宋_GB2312" w:eastAsia="仿宋_GB2312"/>
          <w: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_GB2312" w:eastAsia="仿宋_GB2312"/>
          <w: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业务参加担保机构提供的海关税款担保，按照实际担保费用的50%给予支持，单家企业每年度上限50万元。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助力企业应对海外贸易风险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对企业购买出口信用保险产品保费予以支持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按照实收保费发票金额的50%给予支持，上限100万元。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鼓励企业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开拓海外市场。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  <w:t>对企业参与的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具有国际影响力、知名度的展会展览，按企业实际参展的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相关投入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给予50%的支持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除进博会上限支持50万元外，其余每个展会项目支持上限为20万元，每家企业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最多支持5个项目。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.鼓励外商投资企业加大投资力度。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对外资企业以境外现汇、利润再投资等形式实缴到位资金达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万美元以上，且在上海外资信息管理系统成功申报，按实际投资额的1%，给予上限1000万元的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鼓励企业走出去。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对企业使用专业服务机构提供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走出去相关专业服务，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其实际发生的服务费用，按不超过50%的比例给予资金支持，单个企业该项支持资金年度上限为50万元。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提高商业服务业发展能级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引导企业规模化发展。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鼓励企业挖掘潜力，不断发展壮大。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对首次升规的服务业企业，给予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20万元的资金支持；对首次升规的批发业、零售业企业，分别给予15万元、10万元的资金支持；对首次升规的住宿餐饮业企业，给予5万元的资金支持。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.鼓励生产性服务业赋能产业升级。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对获得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上海市促进产业高质量发展专项资金（工业服务业发展）支持的项目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0.5的比例，给予上限200万元的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.鼓励创建标杆示范。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对获得国家、上海市相关部门认定的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工业设计中心、服务型制造示范、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AEO认证企业等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标杆示范，给予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国家级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、市级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20万元的一次性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widowControl/>
        <w:shd w:val="clear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1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.鼓励品质型商业发展提升。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支持商业综合体、特色街区等商业载体强化智慧化建设，引入智慧停车、智能导购、数字营销等数字化场景服务，按不超过项目核定总投资额的20%给予一次性奖励,单个项目奖励金额最高不超过50万元。</w:t>
      </w:r>
    </w:p>
    <w:p>
      <w:pPr>
        <w:pStyle w:val="15"/>
        <w:widowControl/>
        <w:shd w:val="clear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:u w:val="none"/>
          <w:shd w:val="clear" w:fill="auto"/>
        </w:rPr>
      </w:pP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1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.鼓励开展夜间经济消费活动。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:u w:val="none"/>
          <w:shd w:val="clear" w:fill="auto"/>
        </w:rPr>
        <w:t>对纳入市、区级品牌活动（如春申美好生活季、五五购物节、上海之夏等）的夜间经济主题消费活动，给予商业综合体、特色街区等商业运营管理主体一次性补助10万元。</w:t>
      </w:r>
    </w:p>
    <w:p>
      <w:pPr>
        <w:pStyle w:val="15"/>
        <w:widowControl/>
        <w:shd w:val="clear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1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.提升国际化消费便利环境。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支持商业综合体、特色街区等商业运营管理主体申请境外旅客购物离境退税集中网点，布设外卡POS机、增设多语种导览标识，优化离境退税“即买即退”服务流程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按不超过项目总投入的30%给予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，最高不超过20万元。</w:t>
      </w:r>
    </w:p>
    <w:p>
      <w:pPr>
        <w:pStyle w:val="21"/>
        <w:widowControl/>
        <w:shd w:val="clear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1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trike w:val="0"/>
          <w:color w:val="auto"/>
          <w:sz w:val="32"/>
          <w:szCs w:val="32"/>
          <w:u w:val="none"/>
          <w:shd w:val="clear" w:fill="FFFFFF"/>
        </w:rPr>
        <w:t>.鼓励发展首店经济。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对入围上海市级首发经济（首发、首店、首秀）比选审核的品牌方，按照申请市级支持资金的20%匹配，最高支持50万元。对获得上海市级首发经济（首发、首店、首秀）奖励的品牌方，按照市级支持资金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1：1的比例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_GB2312" w:hAnsi="Times New Roman" w:eastAsia="仿宋_GB2312" w:cs="Times New Roman"/>
          <w:strike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奖励。</w:t>
      </w:r>
    </w:p>
    <w:p>
      <w:pPr>
        <w:pStyle w:val="21"/>
        <w:widowControl/>
        <w:shd w:val="clear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19.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/>
          <w:shd w:val="clear" w:fill="FFFFFF"/>
          <w:lang w:val="en-US" w:eastAsia="zh-CN" w:bidi="ar-SA"/>
        </w:rPr>
        <w:t>打造直播电商高地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bidi="ar-SA"/>
        </w:rPr>
        <w:t>。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鼓励发展直播经济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</w:t>
      </w:r>
      <w:r>
        <w:rPr>
          <w:rStyle w:val="18"/>
          <w:rFonts w:hint="eastAsia" w:ascii="仿宋_GB2312" w:hAnsi="仿宋" w:eastAsia="仿宋_GB2312" w:cs="Segoe U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bidi="ar"/>
          <w14:textFill>
            <w14:solidFill>
              <w14:schemeClr w14:val="tx1"/>
            </w14:solidFill>
          </w14:textFill>
        </w:rPr>
        <w:t>获得“上海市直播电商基地”称号的运营主体，给予一次性</w:t>
      </w:r>
      <w:r>
        <w:rPr>
          <w:rFonts w:hint="default" w:ascii="仿宋_GB2312" w:hAnsi="仿宋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bidi="ar"/>
          <w14:textFill>
            <w14:solidFill>
              <w14:schemeClr w14:val="tx1"/>
            </w14:solidFill>
          </w14:textFill>
        </w:rPr>
        <w:t>80万元</w:t>
      </w: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Style w:val="18"/>
          <w:rFonts w:hint="eastAsia" w:ascii="仿宋_GB2312" w:hAnsi="仿宋" w:eastAsia="仿宋_GB2312" w:cs="Segoe U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spacing w:line="560" w:lineRule="exact"/>
        <w:ind w:firstLine="640"/>
        <w:rPr>
          <w:rFonts w:hint="eastAsia" w:ascii="仿宋_GB2312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20.促进楼宇经济高质量发展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bidi="ar-SA"/>
        </w:rPr>
        <w:t>。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支持特色商务楼宇创建，对符合本区现代服务业导向，且关联企业聚集度、入驻率均达到60%及以上，给予楼宇业主或运营主体上限100万元的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资金支持。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支持商务楼宇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提升能级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商务楼宇通过完善员工就餐、停车、健身房、党建服务中心、信息化等楼宇配套设施提升楼宇品质的，按实际发生金额的20%给予上限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万元的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资金支持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四、持续优化营商环境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.支持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产业重大活动。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支持企业主办、承办具有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影响力的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会议论坛、展会展览等重大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按活动实际发生费用的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给予最高不超过30万元的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22.支持举办品牌消费活动。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商旅文体展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一体化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对参加并举办上海市“五五购物节”、“上海之夏”、“上海旅游节”相关品牌活动的企业，按活动实际发生费用的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50%，给予最高不超过30万元的资金支持。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、附则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符合闵行区产业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规划相关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领域中的各类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市场主体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意见中各条政策的具体实施，按照每年度发布的申报指南执行。依据“就高不重复”原则，同一项目不得重复享受同类政策。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为适配商业、贸易、服务业未来可能出现的新模式、新业态、新场景等发展情况，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对产业转型发展具有较大影响力的重点项目，可以实行“一事一议”。</w:t>
      </w:r>
    </w:p>
    <w:p>
      <w:pPr>
        <w:pStyle w:val="21"/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3.政策执行过程中，对提供虚假、伪造材料进行申报等情形的，以及在“信用中国”等平台内具有司法及行政负面记录的市场主体，可按规定程序限制或取消其申请相应政策的资格。</w:t>
      </w:r>
    </w:p>
    <w:p>
      <w:pPr>
        <w:pStyle w:val="21"/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日起施行，有效期至202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_GB2312" w:hAnsi="仿宋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施行期间，国家、本市有相关规定的，从其规定。</w:t>
      </w:r>
    </w:p>
    <w:p>
      <w:pPr>
        <w:pStyle w:val="21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5.政策资金由区镇8：2共同承担。</w:t>
      </w:r>
    </w:p>
    <w:p>
      <w:pPr>
        <w:pStyle w:val="21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6.本意见由闵行区商务委员会、闵行区经济委员会、闵行区财政局负责解释。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701" w:right="1701" w:bottom="1701" w:left="1701" w:header="567" w:footer="1304" w:gutter="0"/>
      <w:pgNumType w:fmt="decimal"/>
      <w:cols w:space="368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right="360" w:firstLine="480"/>
      <w:jc w:val="left"/>
      <w:rPr>
        <w:rFonts w:ascii="宋体"/>
        <w:kern w:val="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4956175</wp:posOffset>
              </wp:positionH>
              <wp:positionV relativeFrom="paragraph">
                <wp:posOffset>0</wp:posOffset>
              </wp:positionV>
              <wp:extent cx="444500" cy="2641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450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25pt;margin-top:0pt;height:20.8pt;width:35pt;mso-position-horizontal-relative:margin;z-index:251660288;mso-width-relative:page;mso-height-relative:page;" filled="f" stroked="f" coordsize="21600,21600" o:gfxdata="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MzEHw1QAAAAcBAAAPAAAAAAAAAAEAIAAAADgAAABkcnMvZG93bnJldi54&#10;bWxQSwECFAAUAAAACACHTuJAuIfTBiACAAAp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idowControl w:val="0"/>
      <w:autoSpaceDE w:val="0"/>
      <w:autoSpaceDN w:val="0"/>
      <w:adjustRightInd w:val="0"/>
      <w:spacing w:before="0" w:beforeAutospacing="0" w:after="0" w:afterAutospacing="0"/>
      <w:rPr>
        <w:rFonts w:hint="default" w:ascii="黑体" w:hAnsi="Times New Roman" w:eastAsia="黑体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TrueTypeFonts/>
  <w:saveSubsetFonts/>
  <w:bordersDoNotSurroundHeader w:val="false"/>
  <w:bordersDoNotSurroundFooter w:val="false"/>
  <w:trackRevisions w:val="true"/>
  <w:documentProtection w:enforcement="0"/>
  <w:defaultTabStop w:val="720"/>
  <w:doNotHyphenateCaps/>
  <w:evenAndOddHeaders w:val="true"/>
  <w:drawingGridHorizontalSpacing w:val="105"/>
  <w:drawingGridVerticalSpacing w:val="285"/>
  <w:displayHorizontalDrawingGridEvery w:val="1"/>
  <w:displayVerticalDrawingGridEvery w:val="1"/>
  <w:doNotShadeFormData w:val="true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tFileName" w:val="20210511155833410"/>
    <w:docVar w:name="commondata" w:val="eyJoZGlkIjoiOTE2NGE3MTgzNTlkZTA1YThiNmIxZTI3ODA5YWJhNjgifQ=="/>
    <w:docVar w:name="FileToLog" w:val="闵府规发〔2021〕1号.doc;20210511155833410"/>
  </w:docVars>
  <w:rsids>
    <w:rsidRoot w:val="00A137FA"/>
    <w:rsid w:val="00011F0A"/>
    <w:rsid w:val="00042165"/>
    <w:rsid w:val="000442A4"/>
    <w:rsid w:val="000863AB"/>
    <w:rsid w:val="00093715"/>
    <w:rsid w:val="00142A84"/>
    <w:rsid w:val="0014449E"/>
    <w:rsid w:val="0016327D"/>
    <w:rsid w:val="0018099E"/>
    <w:rsid w:val="00181FA5"/>
    <w:rsid w:val="00190121"/>
    <w:rsid w:val="00192851"/>
    <w:rsid w:val="001B7747"/>
    <w:rsid w:val="001E5DE1"/>
    <w:rsid w:val="00234AB1"/>
    <w:rsid w:val="002A2FC9"/>
    <w:rsid w:val="002F02F0"/>
    <w:rsid w:val="0032551C"/>
    <w:rsid w:val="00336931"/>
    <w:rsid w:val="003E6A78"/>
    <w:rsid w:val="004073C2"/>
    <w:rsid w:val="00427C1B"/>
    <w:rsid w:val="004665B2"/>
    <w:rsid w:val="004C749D"/>
    <w:rsid w:val="004E575D"/>
    <w:rsid w:val="00504C70"/>
    <w:rsid w:val="00522959"/>
    <w:rsid w:val="00533A84"/>
    <w:rsid w:val="0057190C"/>
    <w:rsid w:val="005A5B8D"/>
    <w:rsid w:val="005C2BE9"/>
    <w:rsid w:val="00620665"/>
    <w:rsid w:val="00663799"/>
    <w:rsid w:val="006B2026"/>
    <w:rsid w:val="00726BE6"/>
    <w:rsid w:val="007A6B7C"/>
    <w:rsid w:val="007B7D4A"/>
    <w:rsid w:val="007D2539"/>
    <w:rsid w:val="007E6483"/>
    <w:rsid w:val="007F2C42"/>
    <w:rsid w:val="008B26C0"/>
    <w:rsid w:val="008B3A94"/>
    <w:rsid w:val="008D3455"/>
    <w:rsid w:val="009360A5"/>
    <w:rsid w:val="009A740F"/>
    <w:rsid w:val="009B1D7B"/>
    <w:rsid w:val="00A137FA"/>
    <w:rsid w:val="00A255BB"/>
    <w:rsid w:val="00A75AEB"/>
    <w:rsid w:val="00A93AD8"/>
    <w:rsid w:val="00AF0A83"/>
    <w:rsid w:val="00B01B31"/>
    <w:rsid w:val="00B052CA"/>
    <w:rsid w:val="00B17AC5"/>
    <w:rsid w:val="00B76E12"/>
    <w:rsid w:val="00B92582"/>
    <w:rsid w:val="00BB4EA7"/>
    <w:rsid w:val="00C57418"/>
    <w:rsid w:val="00C63899"/>
    <w:rsid w:val="00C746DC"/>
    <w:rsid w:val="00C920E1"/>
    <w:rsid w:val="00CB1123"/>
    <w:rsid w:val="00CC36F4"/>
    <w:rsid w:val="00CE133A"/>
    <w:rsid w:val="00D13A19"/>
    <w:rsid w:val="00D2241E"/>
    <w:rsid w:val="00DD7BC4"/>
    <w:rsid w:val="00E51B44"/>
    <w:rsid w:val="00E84CEA"/>
    <w:rsid w:val="00EE5DC4"/>
    <w:rsid w:val="00EE7FF2"/>
    <w:rsid w:val="00F83D9F"/>
    <w:rsid w:val="00FA667C"/>
    <w:rsid w:val="00FC20FB"/>
    <w:rsid w:val="00FD101D"/>
    <w:rsid w:val="016F0A91"/>
    <w:rsid w:val="017240DE"/>
    <w:rsid w:val="030D6D91"/>
    <w:rsid w:val="04697A1A"/>
    <w:rsid w:val="055B5934"/>
    <w:rsid w:val="06EF23E2"/>
    <w:rsid w:val="092A7AD4"/>
    <w:rsid w:val="0A003409"/>
    <w:rsid w:val="0A4725AB"/>
    <w:rsid w:val="0A8E1F88"/>
    <w:rsid w:val="0B224DC6"/>
    <w:rsid w:val="0B9095CD"/>
    <w:rsid w:val="0BAF9390"/>
    <w:rsid w:val="0CC73A90"/>
    <w:rsid w:val="0D054530"/>
    <w:rsid w:val="0EF716A8"/>
    <w:rsid w:val="0F123305"/>
    <w:rsid w:val="0F2A424A"/>
    <w:rsid w:val="0F7D1EFA"/>
    <w:rsid w:val="0FEEBE25"/>
    <w:rsid w:val="1049FE07"/>
    <w:rsid w:val="11301FEB"/>
    <w:rsid w:val="11835F4C"/>
    <w:rsid w:val="11B86BB3"/>
    <w:rsid w:val="121865DB"/>
    <w:rsid w:val="12A94A78"/>
    <w:rsid w:val="12BBA799"/>
    <w:rsid w:val="13793307"/>
    <w:rsid w:val="13B945C0"/>
    <w:rsid w:val="13DF10CB"/>
    <w:rsid w:val="1421764F"/>
    <w:rsid w:val="1482785D"/>
    <w:rsid w:val="149A0C5C"/>
    <w:rsid w:val="16B965DF"/>
    <w:rsid w:val="17237EFC"/>
    <w:rsid w:val="17669ED0"/>
    <w:rsid w:val="17C9342E"/>
    <w:rsid w:val="17EE611E"/>
    <w:rsid w:val="18616F2E"/>
    <w:rsid w:val="19466124"/>
    <w:rsid w:val="19645136"/>
    <w:rsid w:val="19F1D740"/>
    <w:rsid w:val="1AEFCDE3"/>
    <w:rsid w:val="1B206023"/>
    <w:rsid w:val="1BC021BE"/>
    <w:rsid w:val="1D0E51AB"/>
    <w:rsid w:val="1D6F193D"/>
    <w:rsid w:val="1DAED809"/>
    <w:rsid w:val="1DE7A199"/>
    <w:rsid w:val="1DF55CA1"/>
    <w:rsid w:val="1DFB390F"/>
    <w:rsid w:val="1DFF8C71"/>
    <w:rsid w:val="1E5428C7"/>
    <w:rsid w:val="1E797C6C"/>
    <w:rsid w:val="1F137DC6"/>
    <w:rsid w:val="1F49DB1B"/>
    <w:rsid w:val="1F553747"/>
    <w:rsid w:val="1F7793E4"/>
    <w:rsid w:val="1FF731C4"/>
    <w:rsid w:val="1FFE890C"/>
    <w:rsid w:val="22FF3E08"/>
    <w:rsid w:val="23C14D25"/>
    <w:rsid w:val="24B14D99"/>
    <w:rsid w:val="24CF0CB8"/>
    <w:rsid w:val="24EC3FCF"/>
    <w:rsid w:val="24FAB8E5"/>
    <w:rsid w:val="259D0E7A"/>
    <w:rsid w:val="26406BB2"/>
    <w:rsid w:val="26EE126B"/>
    <w:rsid w:val="279B588D"/>
    <w:rsid w:val="27BBB38B"/>
    <w:rsid w:val="27DB6734"/>
    <w:rsid w:val="27E787E6"/>
    <w:rsid w:val="27FFC5D3"/>
    <w:rsid w:val="27FFF579"/>
    <w:rsid w:val="283C303C"/>
    <w:rsid w:val="289C7B0E"/>
    <w:rsid w:val="28BA27E6"/>
    <w:rsid w:val="28D61C74"/>
    <w:rsid w:val="28E03E9F"/>
    <w:rsid w:val="29A96F1B"/>
    <w:rsid w:val="2AF99B78"/>
    <w:rsid w:val="2AFFA3AA"/>
    <w:rsid w:val="2B190541"/>
    <w:rsid w:val="2BC03B14"/>
    <w:rsid w:val="2BE30DEB"/>
    <w:rsid w:val="2C706450"/>
    <w:rsid w:val="2D1F9424"/>
    <w:rsid w:val="2EDDE123"/>
    <w:rsid w:val="2FAE17D6"/>
    <w:rsid w:val="2FBE4E36"/>
    <w:rsid w:val="2FFF9F20"/>
    <w:rsid w:val="306514CF"/>
    <w:rsid w:val="314729E9"/>
    <w:rsid w:val="31C3610C"/>
    <w:rsid w:val="32C35097"/>
    <w:rsid w:val="3377831B"/>
    <w:rsid w:val="337C7ADF"/>
    <w:rsid w:val="33A525FF"/>
    <w:rsid w:val="33C350E4"/>
    <w:rsid w:val="33DFD88B"/>
    <w:rsid w:val="33F14C72"/>
    <w:rsid w:val="33FF26AE"/>
    <w:rsid w:val="346F2637"/>
    <w:rsid w:val="34733E19"/>
    <w:rsid w:val="35B779D2"/>
    <w:rsid w:val="35EC56BA"/>
    <w:rsid w:val="36B65B66"/>
    <w:rsid w:val="37900A84"/>
    <w:rsid w:val="37975807"/>
    <w:rsid w:val="37BF8F0E"/>
    <w:rsid w:val="37E7B4DA"/>
    <w:rsid w:val="37FB69BC"/>
    <w:rsid w:val="37FE29A2"/>
    <w:rsid w:val="387B329C"/>
    <w:rsid w:val="38D67AE9"/>
    <w:rsid w:val="39BF0547"/>
    <w:rsid w:val="39FF3B22"/>
    <w:rsid w:val="39FF549B"/>
    <w:rsid w:val="3A1EAD50"/>
    <w:rsid w:val="3ABF60DC"/>
    <w:rsid w:val="3AFE3515"/>
    <w:rsid w:val="3B1B52C9"/>
    <w:rsid w:val="3B6D0520"/>
    <w:rsid w:val="3B790602"/>
    <w:rsid w:val="3BE3E259"/>
    <w:rsid w:val="3BF1160D"/>
    <w:rsid w:val="3BFA66DD"/>
    <w:rsid w:val="3BFFA0E8"/>
    <w:rsid w:val="3CBBAA07"/>
    <w:rsid w:val="3D453CF0"/>
    <w:rsid w:val="3DA5895B"/>
    <w:rsid w:val="3DB3A151"/>
    <w:rsid w:val="3DEE2C17"/>
    <w:rsid w:val="3DFBACCB"/>
    <w:rsid w:val="3E5B0CBC"/>
    <w:rsid w:val="3EDF88FF"/>
    <w:rsid w:val="3EE57EF5"/>
    <w:rsid w:val="3EFF3DE4"/>
    <w:rsid w:val="3EFF5CA5"/>
    <w:rsid w:val="3F6E776C"/>
    <w:rsid w:val="3F77010F"/>
    <w:rsid w:val="3F7FE06A"/>
    <w:rsid w:val="3F88B2A1"/>
    <w:rsid w:val="3F8F7A71"/>
    <w:rsid w:val="3F9FB093"/>
    <w:rsid w:val="3FBC0D30"/>
    <w:rsid w:val="3FBFA2B7"/>
    <w:rsid w:val="3FCD4732"/>
    <w:rsid w:val="3FD0F3D6"/>
    <w:rsid w:val="3FD7050A"/>
    <w:rsid w:val="3FDBBA0B"/>
    <w:rsid w:val="3FDF5B8F"/>
    <w:rsid w:val="3FEEB110"/>
    <w:rsid w:val="3FF1CABC"/>
    <w:rsid w:val="3FFFE563"/>
    <w:rsid w:val="400C0C7E"/>
    <w:rsid w:val="422954D3"/>
    <w:rsid w:val="42674685"/>
    <w:rsid w:val="42BD6970"/>
    <w:rsid w:val="44056110"/>
    <w:rsid w:val="44CF38DF"/>
    <w:rsid w:val="45165A9C"/>
    <w:rsid w:val="45A1630C"/>
    <w:rsid w:val="45A22C16"/>
    <w:rsid w:val="466C691A"/>
    <w:rsid w:val="467B6B5D"/>
    <w:rsid w:val="46F5D5F9"/>
    <w:rsid w:val="47867568"/>
    <w:rsid w:val="47C167F2"/>
    <w:rsid w:val="47FCF7D6"/>
    <w:rsid w:val="48623B31"/>
    <w:rsid w:val="48FD2A6B"/>
    <w:rsid w:val="49FF50EF"/>
    <w:rsid w:val="4AFB026D"/>
    <w:rsid w:val="4B215F25"/>
    <w:rsid w:val="4C1E2465"/>
    <w:rsid w:val="4CB78806"/>
    <w:rsid w:val="4CEF98B1"/>
    <w:rsid w:val="4DD67476"/>
    <w:rsid w:val="4DEB281B"/>
    <w:rsid w:val="4DF6B8D5"/>
    <w:rsid w:val="4E225E33"/>
    <w:rsid w:val="4ECBAC6C"/>
    <w:rsid w:val="4EDF1801"/>
    <w:rsid w:val="4EEF0276"/>
    <w:rsid w:val="4EFEDBD9"/>
    <w:rsid w:val="4F605EBF"/>
    <w:rsid w:val="4F6524C6"/>
    <w:rsid w:val="4F73688B"/>
    <w:rsid w:val="4F757CA6"/>
    <w:rsid w:val="4FBDDC6E"/>
    <w:rsid w:val="4FFA7011"/>
    <w:rsid w:val="4FFBE2BA"/>
    <w:rsid w:val="4FFF2447"/>
    <w:rsid w:val="4FFFF825"/>
    <w:rsid w:val="50FF26F5"/>
    <w:rsid w:val="51FFD89E"/>
    <w:rsid w:val="521C0ABB"/>
    <w:rsid w:val="52FFDCF5"/>
    <w:rsid w:val="53BD6A07"/>
    <w:rsid w:val="53DEEE65"/>
    <w:rsid w:val="53E6ABAC"/>
    <w:rsid w:val="53F33BB5"/>
    <w:rsid w:val="53FF1CB0"/>
    <w:rsid w:val="5452714F"/>
    <w:rsid w:val="549B0199"/>
    <w:rsid w:val="5515ADC2"/>
    <w:rsid w:val="5563713A"/>
    <w:rsid w:val="55AB3269"/>
    <w:rsid w:val="55CD09E4"/>
    <w:rsid w:val="55E9A212"/>
    <w:rsid w:val="55FFEC5A"/>
    <w:rsid w:val="563FC3C9"/>
    <w:rsid w:val="564994F9"/>
    <w:rsid w:val="56EF1C97"/>
    <w:rsid w:val="56FD0450"/>
    <w:rsid w:val="573B036F"/>
    <w:rsid w:val="57CF67C8"/>
    <w:rsid w:val="57EF79FC"/>
    <w:rsid w:val="57FFFE6B"/>
    <w:rsid w:val="59DEB9B1"/>
    <w:rsid w:val="5A5D684E"/>
    <w:rsid w:val="5ADD521E"/>
    <w:rsid w:val="5B5F6BA1"/>
    <w:rsid w:val="5B777A9C"/>
    <w:rsid w:val="5B9DBB23"/>
    <w:rsid w:val="5BBD475F"/>
    <w:rsid w:val="5BEF788B"/>
    <w:rsid w:val="5BEFA81F"/>
    <w:rsid w:val="5BF7CAE3"/>
    <w:rsid w:val="5BFF068A"/>
    <w:rsid w:val="5BFF5219"/>
    <w:rsid w:val="5BFF733D"/>
    <w:rsid w:val="5C3722E9"/>
    <w:rsid w:val="5C7E5D68"/>
    <w:rsid w:val="5C7F68F3"/>
    <w:rsid w:val="5CE48B37"/>
    <w:rsid w:val="5CE6F0FF"/>
    <w:rsid w:val="5D571630"/>
    <w:rsid w:val="5DBB837A"/>
    <w:rsid w:val="5DBE2BA0"/>
    <w:rsid w:val="5DFFBA16"/>
    <w:rsid w:val="5E17EED1"/>
    <w:rsid w:val="5E310B22"/>
    <w:rsid w:val="5E7B5CF8"/>
    <w:rsid w:val="5E9BAA20"/>
    <w:rsid w:val="5EDE9D60"/>
    <w:rsid w:val="5EDEFB0F"/>
    <w:rsid w:val="5EED4F59"/>
    <w:rsid w:val="5EEFEA3E"/>
    <w:rsid w:val="5EF8B020"/>
    <w:rsid w:val="5EFFD8B6"/>
    <w:rsid w:val="5EFFE146"/>
    <w:rsid w:val="5F3301E3"/>
    <w:rsid w:val="5F3735BF"/>
    <w:rsid w:val="5F5B4FA3"/>
    <w:rsid w:val="5F7D65CF"/>
    <w:rsid w:val="5FD35240"/>
    <w:rsid w:val="5FDBA359"/>
    <w:rsid w:val="5FDF0481"/>
    <w:rsid w:val="5FF03ECD"/>
    <w:rsid w:val="5FFF1F87"/>
    <w:rsid w:val="5FFFA895"/>
    <w:rsid w:val="5FFFE18C"/>
    <w:rsid w:val="600B28A8"/>
    <w:rsid w:val="607A443E"/>
    <w:rsid w:val="60872356"/>
    <w:rsid w:val="609A4358"/>
    <w:rsid w:val="610C68D8"/>
    <w:rsid w:val="614F4217"/>
    <w:rsid w:val="62373E29"/>
    <w:rsid w:val="62620EA5"/>
    <w:rsid w:val="62FFE11D"/>
    <w:rsid w:val="635FDDFF"/>
    <w:rsid w:val="63BBC5D5"/>
    <w:rsid w:val="63DF9DF6"/>
    <w:rsid w:val="63FF0976"/>
    <w:rsid w:val="6424218B"/>
    <w:rsid w:val="654F4F4D"/>
    <w:rsid w:val="657038D9"/>
    <w:rsid w:val="65F67A79"/>
    <w:rsid w:val="661324B7"/>
    <w:rsid w:val="66965539"/>
    <w:rsid w:val="66FD52C2"/>
    <w:rsid w:val="674F3B26"/>
    <w:rsid w:val="676BC62E"/>
    <w:rsid w:val="67BF2200"/>
    <w:rsid w:val="67D99ADA"/>
    <w:rsid w:val="67DF637D"/>
    <w:rsid w:val="67EED244"/>
    <w:rsid w:val="67EF3C0E"/>
    <w:rsid w:val="67FE44FB"/>
    <w:rsid w:val="67FEC555"/>
    <w:rsid w:val="6878659F"/>
    <w:rsid w:val="688FB352"/>
    <w:rsid w:val="6A5B66A5"/>
    <w:rsid w:val="6AEFAE97"/>
    <w:rsid w:val="6AF13178"/>
    <w:rsid w:val="6B22499D"/>
    <w:rsid w:val="6B8A4FC9"/>
    <w:rsid w:val="6BBE6832"/>
    <w:rsid w:val="6BDB1928"/>
    <w:rsid w:val="6BDD6927"/>
    <w:rsid w:val="6BDE16A8"/>
    <w:rsid w:val="6BDF5F6D"/>
    <w:rsid w:val="6BF7BF0A"/>
    <w:rsid w:val="6C134FBF"/>
    <w:rsid w:val="6C8E17A7"/>
    <w:rsid w:val="6D3FAB94"/>
    <w:rsid w:val="6D7D9AE4"/>
    <w:rsid w:val="6DAB3ED0"/>
    <w:rsid w:val="6DB538CD"/>
    <w:rsid w:val="6DD7A2CA"/>
    <w:rsid w:val="6E5FE7DE"/>
    <w:rsid w:val="6E9FCC6C"/>
    <w:rsid w:val="6EA7719E"/>
    <w:rsid w:val="6EBDCD66"/>
    <w:rsid w:val="6ECBAED1"/>
    <w:rsid w:val="6EDFD073"/>
    <w:rsid w:val="6EE874CC"/>
    <w:rsid w:val="6EFCA849"/>
    <w:rsid w:val="6F19664F"/>
    <w:rsid w:val="6F1F1D6E"/>
    <w:rsid w:val="6F3E1C33"/>
    <w:rsid w:val="6F4B36E5"/>
    <w:rsid w:val="6F7FCE43"/>
    <w:rsid w:val="6F9B1327"/>
    <w:rsid w:val="6F9B87B0"/>
    <w:rsid w:val="6FAB8759"/>
    <w:rsid w:val="6FD922F6"/>
    <w:rsid w:val="6FDF8EAA"/>
    <w:rsid w:val="6FE5696A"/>
    <w:rsid w:val="6FFF2DD9"/>
    <w:rsid w:val="6FFF5B5A"/>
    <w:rsid w:val="70CF1ABB"/>
    <w:rsid w:val="712A9732"/>
    <w:rsid w:val="717438E1"/>
    <w:rsid w:val="717D6343"/>
    <w:rsid w:val="71B44331"/>
    <w:rsid w:val="71FF1837"/>
    <w:rsid w:val="72033D86"/>
    <w:rsid w:val="7237EF5F"/>
    <w:rsid w:val="72933894"/>
    <w:rsid w:val="72DBDB5C"/>
    <w:rsid w:val="732441F5"/>
    <w:rsid w:val="733BFB35"/>
    <w:rsid w:val="73ABA847"/>
    <w:rsid w:val="73BD0E94"/>
    <w:rsid w:val="73C7F372"/>
    <w:rsid w:val="7479F6DE"/>
    <w:rsid w:val="747E1862"/>
    <w:rsid w:val="74EB6AB4"/>
    <w:rsid w:val="757B6841"/>
    <w:rsid w:val="75BB08F1"/>
    <w:rsid w:val="75BDFB69"/>
    <w:rsid w:val="75CF8949"/>
    <w:rsid w:val="75FD443E"/>
    <w:rsid w:val="763D9640"/>
    <w:rsid w:val="7676061A"/>
    <w:rsid w:val="767EF5CD"/>
    <w:rsid w:val="769F3FE2"/>
    <w:rsid w:val="76BFED37"/>
    <w:rsid w:val="76CF297B"/>
    <w:rsid w:val="76FB5A7B"/>
    <w:rsid w:val="76FBFE36"/>
    <w:rsid w:val="76FEA896"/>
    <w:rsid w:val="775DD0C5"/>
    <w:rsid w:val="77678EBF"/>
    <w:rsid w:val="7775C89A"/>
    <w:rsid w:val="777BCFBE"/>
    <w:rsid w:val="777F5EAA"/>
    <w:rsid w:val="779010FA"/>
    <w:rsid w:val="77AF8D1C"/>
    <w:rsid w:val="77B5933A"/>
    <w:rsid w:val="77BD4077"/>
    <w:rsid w:val="77C64651"/>
    <w:rsid w:val="77CF0AF6"/>
    <w:rsid w:val="77DFE7C3"/>
    <w:rsid w:val="77E4ABA5"/>
    <w:rsid w:val="77ED873D"/>
    <w:rsid w:val="77F31E81"/>
    <w:rsid w:val="77F3654F"/>
    <w:rsid w:val="77F66A80"/>
    <w:rsid w:val="77F930EB"/>
    <w:rsid w:val="77FCD5E5"/>
    <w:rsid w:val="77FD11C0"/>
    <w:rsid w:val="77FD83DD"/>
    <w:rsid w:val="77FED747"/>
    <w:rsid w:val="77FFAF6A"/>
    <w:rsid w:val="78257091"/>
    <w:rsid w:val="78462278"/>
    <w:rsid w:val="78783A6D"/>
    <w:rsid w:val="789017A9"/>
    <w:rsid w:val="78991810"/>
    <w:rsid w:val="78FFF91A"/>
    <w:rsid w:val="795ACCB0"/>
    <w:rsid w:val="796436AA"/>
    <w:rsid w:val="797FF47C"/>
    <w:rsid w:val="798BF2C7"/>
    <w:rsid w:val="79D2C8A8"/>
    <w:rsid w:val="79F7E9D8"/>
    <w:rsid w:val="79FCA5C6"/>
    <w:rsid w:val="7A779AA9"/>
    <w:rsid w:val="7AF76F5D"/>
    <w:rsid w:val="7AFB8C2C"/>
    <w:rsid w:val="7B3ED5C6"/>
    <w:rsid w:val="7B554B2B"/>
    <w:rsid w:val="7B66B262"/>
    <w:rsid w:val="7B693C84"/>
    <w:rsid w:val="7BBE6565"/>
    <w:rsid w:val="7BC54826"/>
    <w:rsid w:val="7BD3C7BF"/>
    <w:rsid w:val="7BDB24F5"/>
    <w:rsid w:val="7BDE02E6"/>
    <w:rsid w:val="7BDE0AEB"/>
    <w:rsid w:val="7BE6C8E4"/>
    <w:rsid w:val="7BEFF0A0"/>
    <w:rsid w:val="7BF58A5F"/>
    <w:rsid w:val="7BF72E99"/>
    <w:rsid w:val="7BF78DD0"/>
    <w:rsid w:val="7BF7B6D6"/>
    <w:rsid w:val="7BFB31EC"/>
    <w:rsid w:val="7BFD392C"/>
    <w:rsid w:val="7BFFA510"/>
    <w:rsid w:val="7C4C0559"/>
    <w:rsid w:val="7C94001F"/>
    <w:rsid w:val="7CA12E24"/>
    <w:rsid w:val="7CCF8380"/>
    <w:rsid w:val="7CFF6CD4"/>
    <w:rsid w:val="7CFFF662"/>
    <w:rsid w:val="7D3D23F4"/>
    <w:rsid w:val="7D3F5E88"/>
    <w:rsid w:val="7D3FCD36"/>
    <w:rsid w:val="7D621824"/>
    <w:rsid w:val="7D710BEC"/>
    <w:rsid w:val="7D7FCB56"/>
    <w:rsid w:val="7D811E2A"/>
    <w:rsid w:val="7DAD8A82"/>
    <w:rsid w:val="7DB69E61"/>
    <w:rsid w:val="7DBDE904"/>
    <w:rsid w:val="7DBE690D"/>
    <w:rsid w:val="7DBF5738"/>
    <w:rsid w:val="7DCB051C"/>
    <w:rsid w:val="7DDFE6C2"/>
    <w:rsid w:val="7DEB1AC3"/>
    <w:rsid w:val="7DED787C"/>
    <w:rsid w:val="7DF707B9"/>
    <w:rsid w:val="7DF743BF"/>
    <w:rsid w:val="7DF7A8EB"/>
    <w:rsid w:val="7DFA5367"/>
    <w:rsid w:val="7DFF397F"/>
    <w:rsid w:val="7E6F281E"/>
    <w:rsid w:val="7E7C8EF5"/>
    <w:rsid w:val="7E7EBF07"/>
    <w:rsid w:val="7E9EBF1E"/>
    <w:rsid w:val="7EB72A7C"/>
    <w:rsid w:val="7EBBB3CF"/>
    <w:rsid w:val="7EBBE7F1"/>
    <w:rsid w:val="7EDAF970"/>
    <w:rsid w:val="7EDDFB3F"/>
    <w:rsid w:val="7EDF6D4F"/>
    <w:rsid w:val="7EE003C5"/>
    <w:rsid w:val="7EE36A72"/>
    <w:rsid w:val="7EEFDFB6"/>
    <w:rsid w:val="7EF7E618"/>
    <w:rsid w:val="7EFBB9A5"/>
    <w:rsid w:val="7EFD2948"/>
    <w:rsid w:val="7EFEE41A"/>
    <w:rsid w:val="7EFFD6D9"/>
    <w:rsid w:val="7F2FDA8E"/>
    <w:rsid w:val="7F3D8E4D"/>
    <w:rsid w:val="7F3F4F56"/>
    <w:rsid w:val="7F4C17C1"/>
    <w:rsid w:val="7F5F1C95"/>
    <w:rsid w:val="7F6F8F48"/>
    <w:rsid w:val="7F7571D9"/>
    <w:rsid w:val="7F75AB59"/>
    <w:rsid w:val="7F762E76"/>
    <w:rsid w:val="7F7CF052"/>
    <w:rsid w:val="7F7D28AD"/>
    <w:rsid w:val="7F7EE13F"/>
    <w:rsid w:val="7F7FA385"/>
    <w:rsid w:val="7F871EEB"/>
    <w:rsid w:val="7F8DF884"/>
    <w:rsid w:val="7F9CE6F4"/>
    <w:rsid w:val="7FB0F4D6"/>
    <w:rsid w:val="7FB4FE96"/>
    <w:rsid w:val="7FB71764"/>
    <w:rsid w:val="7FB79D25"/>
    <w:rsid w:val="7FBDDACA"/>
    <w:rsid w:val="7FBE48AD"/>
    <w:rsid w:val="7FBF0CA4"/>
    <w:rsid w:val="7FBFDF98"/>
    <w:rsid w:val="7FD66F9E"/>
    <w:rsid w:val="7FDD268C"/>
    <w:rsid w:val="7FDD80E8"/>
    <w:rsid w:val="7FDFB88D"/>
    <w:rsid w:val="7FE77103"/>
    <w:rsid w:val="7FE9B6A7"/>
    <w:rsid w:val="7FEE0F60"/>
    <w:rsid w:val="7FEF9EBC"/>
    <w:rsid w:val="7FEFBDD8"/>
    <w:rsid w:val="7FEFD65A"/>
    <w:rsid w:val="7FF0835B"/>
    <w:rsid w:val="7FF7AA66"/>
    <w:rsid w:val="7FF7CCDB"/>
    <w:rsid w:val="7FFB0876"/>
    <w:rsid w:val="7FFB91CE"/>
    <w:rsid w:val="7FFBB48F"/>
    <w:rsid w:val="7FFC18FE"/>
    <w:rsid w:val="7FFC8B0F"/>
    <w:rsid w:val="7FFD807C"/>
    <w:rsid w:val="7FFDB218"/>
    <w:rsid w:val="7FFE0B88"/>
    <w:rsid w:val="7FFE70C9"/>
    <w:rsid w:val="7FFF37CE"/>
    <w:rsid w:val="7FFF9A57"/>
    <w:rsid w:val="7FFFC42D"/>
    <w:rsid w:val="7FFFFA78"/>
    <w:rsid w:val="85FFA237"/>
    <w:rsid w:val="8D1B34A0"/>
    <w:rsid w:val="8D5F8994"/>
    <w:rsid w:val="8EDB0AE5"/>
    <w:rsid w:val="8EFEACE9"/>
    <w:rsid w:val="91E7033D"/>
    <w:rsid w:val="954B723E"/>
    <w:rsid w:val="95EFD38E"/>
    <w:rsid w:val="96BF5B6E"/>
    <w:rsid w:val="96DACDDB"/>
    <w:rsid w:val="973E17A9"/>
    <w:rsid w:val="97BFAEC0"/>
    <w:rsid w:val="97CE4D4B"/>
    <w:rsid w:val="99AFB10B"/>
    <w:rsid w:val="9AEE2A72"/>
    <w:rsid w:val="9AF699E1"/>
    <w:rsid w:val="9B9F6553"/>
    <w:rsid w:val="9BF9BDDD"/>
    <w:rsid w:val="9D36B21F"/>
    <w:rsid w:val="9E8EF12D"/>
    <w:rsid w:val="9EE3D8DF"/>
    <w:rsid w:val="9EEF7024"/>
    <w:rsid w:val="9EFF3058"/>
    <w:rsid w:val="9F5E0A26"/>
    <w:rsid w:val="9FCC95A8"/>
    <w:rsid w:val="9FCF3F53"/>
    <w:rsid w:val="9FEFDD0D"/>
    <w:rsid w:val="A2DC4787"/>
    <w:rsid w:val="A46B8B66"/>
    <w:rsid w:val="A5F12AB4"/>
    <w:rsid w:val="A71E86E2"/>
    <w:rsid w:val="A7FF9615"/>
    <w:rsid w:val="ABC6EC47"/>
    <w:rsid w:val="ABDEEE36"/>
    <w:rsid w:val="ABFC0B6A"/>
    <w:rsid w:val="ACFC04DD"/>
    <w:rsid w:val="ADFFCDE3"/>
    <w:rsid w:val="AE29E286"/>
    <w:rsid w:val="AE5FBC8F"/>
    <w:rsid w:val="AF772C0C"/>
    <w:rsid w:val="AF7F882E"/>
    <w:rsid w:val="AF9B0BDF"/>
    <w:rsid w:val="AF9F7A2D"/>
    <w:rsid w:val="AFAB8E8F"/>
    <w:rsid w:val="AFD5E1BC"/>
    <w:rsid w:val="AFEF89E5"/>
    <w:rsid w:val="B2EF62F9"/>
    <w:rsid w:val="B3EB6033"/>
    <w:rsid w:val="B3FF16E0"/>
    <w:rsid w:val="B53BD963"/>
    <w:rsid w:val="B55B4D16"/>
    <w:rsid w:val="B57A26E9"/>
    <w:rsid w:val="B6B7EF11"/>
    <w:rsid w:val="B6EF44EB"/>
    <w:rsid w:val="B6F920C7"/>
    <w:rsid w:val="B6FDA4C2"/>
    <w:rsid w:val="B77A372E"/>
    <w:rsid w:val="B77F5801"/>
    <w:rsid w:val="B7CFF15A"/>
    <w:rsid w:val="B7DF2247"/>
    <w:rsid w:val="B7F4C33C"/>
    <w:rsid w:val="B7FF5108"/>
    <w:rsid w:val="B84D39BE"/>
    <w:rsid w:val="BA3EB7F2"/>
    <w:rsid w:val="BAEF4557"/>
    <w:rsid w:val="BB5B3C6D"/>
    <w:rsid w:val="BB697971"/>
    <w:rsid w:val="BB7F668E"/>
    <w:rsid w:val="BB8F4CCD"/>
    <w:rsid w:val="BBAEB11B"/>
    <w:rsid w:val="BBBF0B00"/>
    <w:rsid w:val="BBDD76D8"/>
    <w:rsid w:val="BBF33229"/>
    <w:rsid w:val="BBFB457B"/>
    <w:rsid w:val="BC8B1A83"/>
    <w:rsid w:val="BCB7D38E"/>
    <w:rsid w:val="BCE3FFB7"/>
    <w:rsid w:val="BCF79C32"/>
    <w:rsid w:val="BCFFAF8D"/>
    <w:rsid w:val="BDB3B074"/>
    <w:rsid w:val="BDFDE3B3"/>
    <w:rsid w:val="BDFFAFE3"/>
    <w:rsid w:val="BE7DA486"/>
    <w:rsid w:val="BE8D9CE8"/>
    <w:rsid w:val="BE9A35C3"/>
    <w:rsid w:val="BEB4C80A"/>
    <w:rsid w:val="BECF9CA3"/>
    <w:rsid w:val="BEFB15A8"/>
    <w:rsid w:val="BF7453F3"/>
    <w:rsid w:val="BF7483C3"/>
    <w:rsid w:val="BF77DF63"/>
    <w:rsid w:val="BF7BC3CC"/>
    <w:rsid w:val="BF7EB7BD"/>
    <w:rsid w:val="BFBB236D"/>
    <w:rsid w:val="BFBBACEB"/>
    <w:rsid w:val="BFBCA2B7"/>
    <w:rsid w:val="BFDD16BA"/>
    <w:rsid w:val="BFDFA3CF"/>
    <w:rsid w:val="BFDFBF94"/>
    <w:rsid w:val="BFE35DE1"/>
    <w:rsid w:val="BFE7A3CB"/>
    <w:rsid w:val="BFEF2D8E"/>
    <w:rsid w:val="BFF98E8F"/>
    <w:rsid w:val="BFFC4D56"/>
    <w:rsid w:val="BFFD65A3"/>
    <w:rsid w:val="BFFF79AD"/>
    <w:rsid w:val="C2D80557"/>
    <w:rsid w:val="C3AA01E2"/>
    <w:rsid w:val="C3B75C3B"/>
    <w:rsid w:val="C3DFBF94"/>
    <w:rsid w:val="C6DF1435"/>
    <w:rsid w:val="C6F5224A"/>
    <w:rsid w:val="C7B1B8DC"/>
    <w:rsid w:val="C7FF4628"/>
    <w:rsid w:val="C8FF1C6B"/>
    <w:rsid w:val="C94683AB"/>
    <w:rsid w:val="CB6F00BB"/>
    <w:rsid w:val="CD775E18"/>
    <w:rsid w:val="CDB7C050"/>
    <w:rsid w:val="CDFBDD11"/>
    <w:rsid w:val="CF3E7C59"/>
    <w:rsid w:val="CF6722BE"/>
    <w:rsid w:val="CF7F4E44"/>
    <w:rsid w:val="CFBED814"/>
    <w:rsid w:val="CFE73B8B"/>
    <w:rsid w:val="CFEDC667"/>
    <w:rsid w:val="CFEF2CB6"/>
    <w:rsid w:val="CFEFA9D9"/>
    <w:rsid w:val="CFF65AE1"/>
    <w:rsid w:val="D0FFA2FB"/>
    <w:rsid w:val="D2D51B54"/>
    <w:rsid w:val="D3E777E6"/>
    <w:rsid w:val="D4FE4141"/>
    <w:rsid w:val="D5EFDD89"/>
    <w:rsid w:val="D5FFCF28"/>
    <w:rsid w:val="D6DFF14A"/>
    <w:rsid w:val="D707DEE7"/>
    <w:rsid w:val="D74B50CB"/>
    <w:rsid w:val="D77BB770"/>
    <w:rsid w:val="D77F747C"/>
    <w:rsid w:val="D7D9890F"/>
    <w:rsid w:val="D7EFCFD6"/>
    <w:rsid w:val="D7F787ED"/>
    <w:rsid w:val="D7FB3A06"/>
    <w:rsid w:val="D9F3C71C"/>
    <w:rsid w:val="D9FEF313"/>
    <w:rsid w:val="DA5F3025"/>
    <w:rsid w:val="DAFFE79F"/>
    <w:rsid w:val="DB9DC26C"/>
    <w:rsid w:val="DBAEAA29"/>
    <w:rsid w:val="DBAF0F0C"/>
    <w:rsid w:val="DBB7FCDD"/>
    <w:rsid w:val="DBCD2114"/>
    <w:rsid w:val="DBEBC5C5"/>
    <w:rsid w:val="DBF12A46"/>
    <w:rsid w:val="DCAF78E5"/>
    <w:rsid w:val="DCBE4C15"/>
    <w:rsid w:val="DCC72415"/>
    <w:rsid w:val="DCF3BD63"/>
    <w:rsid w:val="DCFF9DA0"/>
    <w:rsid w:val="DCFFDEAD"/>
    <w:rsid w:val="DDCB488D"/>
    <w:rsid w:val="DDCF137D"/>
    <w:rsid w:val="DDDFDAEB"/>
    <w:rsid w:val="DDE367B1"/>
    <w:rsid w:val="DDFFCB16"/>
    <w:rsid w:val="DE5F9F9C"/>
    <w:rsid w:val="DE677603"/>
    <w:rsid w:val="DEDD010C"/>
    <w:rsid w:val="DEF55487"/>
    <w:rsid w:val="DEF7294E"/>
    <w:rsid w:val="DEF7F822"/>
    <w:rsid w:val="DEFBC2C5"/>
    <w:rsid w:val="DEFD3FE9"/>
    <w:rsid w:val="DEFF6519"/>
    <w:rsid w:val="DF6FF168"/>
    <w:rsid w:val="DF7D7C05"/>
    <w:rsid w:val="DF7DED19"/>
    <w:rsid w:val="DF7F5E77"/>
    <w:rsid w:val="DF7FE9FC"/>
    <w:rsid w:val="DF8C0C1B"/>
    <w:rsid w:val="DFA98DDC"/>
    <w:rsid w:val="DFB3501E"/>
    <w:rsid w:val="DFBDDC33"/>
    <w:rsid w:val="DFBF365A"/>
    <w:rsid w:val="DFBF6116"/>
    <w:rsid w:val="DFDBC58F"/>
    <w:rsid w:val="DFEFCC61"/>
    <w:rsid w:val="DFF4AD6A"/>
    <w:rsid w:val="DFF69F59"/>
    <w:rsid w:val="DFFB5479"/>
    <w:rsid w:val="DFFE2E63"/>
    <w:rsid w:val="DFFF755C"/>
    <w:rsid w:val="E33CA4AA"/>
    <w:rsid w:val="E5CD17C7"/>
    <w:rsid w:val="E63C43A8"/>
    <w:rsid w:val="E73FE7BE"/>
    <w:rsid w:val="E79FB0E9"/>
    <w:rsid w:val="E7BF0304"/>
    <w:rsid w:val="E7F56566"/>
    <w:rsid w:val="E7FFFE49"/>
    <w:rsid w:val="EB2A4791"/>
    <w:rsid w:val="EBE362FC"/>
    <w:rsid w:val="EBF55D36"/>
    <w:rsid w:val="EBF5DD03"/>
    <w:rsid w:val="EBF915B8"/>
    <w:rsid w:val="EBFB9A63"/>
    <w:rsid w:val="EBFFB1A0"/>
    <w:rsid w:val="EC7778F4"/>
    <w:rsid w:val="EC7F455D"/>
    <w:rsid w:val="ECC39D0F"/>
    <w:rsid w:val="ECF7477A"/>
    <w:rsid w:val="ECFDDBE8"/>
    <w:rsid w:val="EDEEA503"/>
    <w:rsid w:val="EDF7C35D"/>
    <w:rsid w:val="EDFD2BE5"/>
    <w:rsid w:val="EDFE35A5"/>
    <w:rsid w:val="EDFE4EAD"/>
    <w:rsid w:val="EE67CECA"/>
    <w:rsid w:val="EEDA2A96"/>
    <w:rsid w:val="EEEF5BD5"/>
    <w:rsid w:val="EEFE70C1"/>
    <w:rsid w:val="EF69C436"/>
    <w:rsid w:val="EF6F2821"/>
    <w:rsid w:val="EF759AFA"/>
    <w:rsid w:val="EF7F2D09"/>
    <w:rsid w:val="EFA3A486"/>
    <w:rsid w:val="EFB979BF"/>
    <w:rsid w:val="EFBE7E8A"/>
    <w:rsid w:val="EFBF66E1"/>
    <w:rsid w:val="EFBFF89E"/>
    <w:rsid w:val="EFC9F783"/>
    <w:rsid w:val="EFDF7A6F"/>
    <w:rsid w:val="EFE77E26"/>
    <w:rsid w:val="EFEF6AB2"/>
    <w:rsid w:val="EFF9978E"/>
    <w:rsid w:val="EFFBF033"/>
    <w:rsid w:val="EFFE3B16"/>
    <w:rsid w:val="EFFEC7DC"/>
    <w:rsid w:val="EFFEE444"/>
    <w:rsid w:val="EFFF0FC2"/>
    <w:rsid w:val="F073DF22"/>
    <w:rsid w:val="F17F8468"/>
    <w:rsid w:val="F2B76B05"/>
    <w:rsid w:val="F397644B"/>
    <w:rsid w:val="F3CB3073"/>
    <w:rsid w:val="F3FBE286"/>
    <w:rsid w:val="F3FF9350"/>
    <w:rsid w:val="F3FFC5E5"/>
    <w:rsid w:val="F4AF57C8"/>
    <w:rsid w:val="F4B8911B"/>
    <w:rsid w:val="F4ED607C"/>
    <w:rsid w:val="F56C9D43"/>
    <w:rsid w:val="F57BA957"/>
    <w:rsid w:val="F58E698F"/>
    <w:rsid w:val="F58F972A"/>
    <w:rsid w:val="F59D6E23"/>
    <w:rsid w:val="F5AF2F69"/>
    <w:rsid w:val="F5AF508D"/>
    <w:rsid w:val="F5BD5F0C"/>
    <w:rsid w:val="F5F7E3AE"/>
    <w:rsid w:val="F63DA71C"/>
    <w:rsid w:val="F64E53FF"/>
    <w:rsid w:val="F6AF3A8A"/>
    <w:rsid w:val="F6EFDEEA"/>
    <w:rsid w:val="F6FAADF1"/>
    <w:rsid w:val="F6FE5A39"/>
    <w:rsid w:val="F6FF5908"/>
    <w:rsid w:val="F6FFBB77"/>
    <w:rsid w:val="F73FDC52"/>
    <w:rsid w:val="F7610A88"/>
    <w:rsid w:val="F777BA74"/>
    <w:rsid w:val="F77BC787"/>
    <w:rsid w:val="F77FEBD3"/>
    <w:rsid w:val="F7810D9E"/>
    <w:rsid w:val="F79B70A3"/>
    <w:rsid w:val="F79F0190"/>
    <w:rsid w:val="F7ABAA0E"/>
    <w:rsid w:val="F7BD26F1"/>
    <w:rsid w:val="F7DEEBAE"/>
    <w:rsid w:val="F7DF96BA"/>
    <w:rsid w:val="F7EEB5A4"/>
    <w:rsid w:val="F7F50E2B"/>
    <w:rsid w:val="F7FD2CF1"/>
    <w:rsid w:val="F7FD4AE4"/>
    <w:rsid w:val="F7FE9FF5"/>
    <w:rsid w:val="F7FF62BF"/>
    <w:rsid w:val="F7FF632A"/>
    <w:rsid w:val="F7FF7830"/>
    <w:rsid w:val="F93E83F4"/>
    <w:rsid w:val="F964C992"/>
    <w:rsid w:val="F9B995BA"/>
    <w:rsid w:val="F9BF3C3D"/>
    <w:rsid w:val="F9EB10F0"/>
    <w:rsid w:val="F9F536CD"/>
    <w:rsid w:val="F9FF288F"/>
    <w:rsid w:val="FA797917"/>
    <w:rsid w:val="FACF5703"/>
    <w:rsid w:val="FAE958CF"/>
    <w:rsid w:val="FAFC6B18"/>
    <w:rsid w:val="FAFF88D8"/>
    <w:rsid w:val="FB1E1473"/>
    <w:rsid w:val="FB2383F6"/>
    <w:rsid w:val="FB37B5BF"/>
    <w:rsid w:val="FB3F0E27"/>
    <w:rsid w:val="FB7F7126"/>
    <w:rsid w:val="FB7FDCF4"/>
    <w:rsid w:val="FBDB27D4"/>
    <w:rsid w:val="FBDC82FF"/>
    <w:rsid w:val="FBDF3DDE"/>
    <w:rsid w:val="FBF22B49"/>
    <w:rsid w:val="FBF2FE36"/>
    <w:rsid w:val="FBFB5D80"/>
    <w:rsid w:val="FBFD7466"/>
    <w:rsid w:val="FC1B5A23"/>
    <w:rsid w:val="FC5F758E"/>
    <w:rsid w:val="FD7B4792"/>
    <w:rsid w:val="FD7E06C8"/>
    <w:rsid w:val="FDB21CA0"/>
    <w:rsid w:val="FDB63860"/>
    <w:rsid w:val="FDBEB9D3"/>
    <w:rsid w:val="FDDB3266"/>
    <w:rsid w:val="FDDF39CE"/>
    <w:rsid w:val="FDF7EEFC"/>
    <w:rsid w:val="FDFD82CC"/>
    <w:rsid w:val="FDFF2242"/>
    <w:rsid w:val="FDFF2E2C"/>
    <w:rsid w:val="FDFF6C0C"/>
    <w:rsid w:val="FE2A676B"/>
    <w:rsid w:val="FE3EEBCC"/>
    <w:rsid w:val="FE5F1229"/>
    <w:rsid w:val="FE5FD4B8"/>
    <w:rsid w:val="FE751E84"/>
    <w:rsid w:val="FE7F2554"/>
    <w:rsid w:val="FE938866"/>
    <w:rsid w:val="FE9F2F86"/>
    <w:rsid w:val="FEA27701"/>
    <w:rsid w:val="FEB360E1"/>
    <w:rsid w:val="FEBB513C"/>
    <w:rsid w:val="FEC7201B"/>
    <w:rsid w:val="FECD38D8"/>
    <w:rsid w:val="FEDE2DBA"/>
    <w:rsid w:val="FEE791B6"/>
    <w:rsid w:val="FEEDDB24"/>
    <w:rsid w:val="FEF42293"/>
    <w:rsid w:val="FEF5BCC5"/>
    <w:rsid w:val="FEF7D355"/>
    <w:rsid w:val="FEFB066C"/>
    <w:rsid w:val="FEFB9181"/>
    <w:rsid w:val="FEFF09C7"/>
    <w:rsid w:val="FEFF7A33"/>
    <w:rsid w:val="FEFF91B2"/>
    <w:rsid w:val="FEFF93A3"/>
    <w:rsid w:val="FEFFDA4C"/>
    <w:rsid w:val="FEFFE258"/>
    <w:rsid w:val="FF04D7CE"/>
    <w:rsid w:val="FF395064"/>
    <w:rsid w:val="FF3FFACC"/>
    <w:rsid w:val="FF4675A8"/>
    <w:rsid w:val="FF537E55"/>
    <w:rsid w:val="FF5F8616"/>
    <w:rsid w:val="FF71BA93"/>
    <w:rsid w:val="FF7E42AB"/>
    <w:rsid w:val="FF977E44"/>
    <w:rsid w:val="FF97E5A7"/>
    <w:rsid w:val="FF99BFA6"/>
    <w:rsid w:val="FF9B37CB"/>
    <w:rsid w:val="FFAC0958"/>
    <w:rsid w:val="FFAFEC7E"/>
    <w:rsid w:val="FFB5E9C8"/>
    <w:rsid w:val="FFBBB4C2"/>
    <w:rsid w:val="FFBCF720"/>
    <w:rsid w:val="FFBD1F56"/>
    <w:rsid w:val="FFBDA1F5"/>
    <w:rsid w:val="FFD38761"/>
    <w:rsid w:val="FFD7B724"/>
    <w:rsid w:val="FFD7E242"/>
    <w:rsid w:val="FFDDC1D5"/>
    <w:rsid w:val="FFDFD87C"/>
    <w:rsid w:val="FFE6982D"/>
    <w:rsid w:val="FFE9727D"/>
    <w:rsid w:val="FFED3304"/>
    <w:rsid w:val="FFEF43AD"/>
    <w:rsid w:val="FFEF98B9"/>
    <w:rsid w:val="FFF5455E"/>
    <w:rsid w:val="FFF72C49"/>
    <w:rsid w:val="FFFB2967"/>
    <w:rsid w:val="FFFB932C"/>
    <w:rsid w:val="FFFBE5D4"/>
    <w:rsid w:val="FFFC09F7"/>
    <w:rsid w:val="FFFC5A6E"/>
    <w:rsid w:val="FFFD6821"/>
    <w:rsid w:val="FFFDAD20"/>
    <w:rsid w:val="FFFF0CD2"/>
    <w:rsid w:val="FFFF4F79"/>
    <w:rsid w:val="FFFF774E"/>
    <w:rsid w:val="FFFF9BBF"/>
    <w:rsid w:val="FFFFAF30"/>
    <w:rsid w:val="FFFFBCD1"/>
    <w:rsid w:val="FFFFD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3"/>
    <w:basedOn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line="360" w:lineRule="auto"/>
    </w:pPr>
    <w:rPr>
      <w:rFonts w:eastAsia="仿宋_GB2312"/>
      <w:sz w:val="30"/>
    </w:rPr>
  </w:style>
  <w:style w:type="paragraph" w:styleId="5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60" w:lineRule="exact"/>
      <w:ind w:firstLine="560"/>
    </w:pPr>
    <w:rPr>
      <w:rFonts w:ascii="仿宋_GB2312" w:eastAsia="仿宋_GB2312"/>
      <w:sz w:val="30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snapToGrid w:val="0"/>
      <w:spacing w:line="360" w:lineRule="auto"/>
      <w:ind w:firstLine="567"/>
    </w:pPr>
    <w:rPr>
      <w:rFonts w:ascii="仿宋_GB2312" w:eastAsia="仿宋_GB2312"/>
      <w:sz w:val="30"/>
    </w:rPr>
  </w:style>
  <w:style w:type="paragraph" w:styleId="13">
    <w:name w:val="Body Text 2"/>
    <w:basedOn w:val="1"/>
    <w:next w:val="14"/>
    <w:qFormat/>
    <w:uiPriority w:val="0"/>
    <w:pPr>
      <w:spacing w:line="440" w:lineRule="exact"/>
    </w:pPr>
    <w:rPr>
      <w:rFonts w:ascii="仿宋_GB2312" w:eastAsia="仿宋_GB2312"/>
      <w:sz w:val="28"/>
      <w:szCs w:val="28"/>
    </w:rPr>
  </w:style>
  <w:style w:type="paragraph" w:styleId="14">
    <w:name w:val="Body Text First Indent 2"/>
    <w:basedOn w:val="5"/>
    <w:qFormat/>
    <w:uiPriority w:val="0"/>
    <w:pPr>
      <w:ind w:firstLine="420" w:firstLineChars="200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Char"/>
    <w:basedOn w:val="1"/>
    <w:qFormat/>
    <w:uiPriority w:val="0"/>
    <w:pPr>
      <w:adjustRightInd w:val="0"/>
      <w:spacing w:line="360" w:lineRule="auto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6</Pages>
  <Words>2636</Words>
  <Characters>2731</Characters>
  <Lines>17</Lines>
  <Paragraphs>4</Paragraphs>
  <TotalTime>17</TotalTime>
  <ScaleCrop>false</ScaleCrop>
  <LinksUpToDate>false</LinksUpToDate>
  <CharactersWithSpaces>2733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2024-03-03T23:04:00Z</dcterms:created>
  <dc:creator>a</dc:creator>
  <cp:lastModifiedBy>user</cp:lastModifiedBy>
  <cp:lastPrinted>2024-03-04T22:10:00Z</cp:lastPrinted>
  <dcterms:modified xsi:type="dcterms:W3CDTF">2025-09-30T13:54:03Z</dcterms:modified>
  <dc:title>闵府发[2003]11号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1E58663C59EC4B96888E6126E8524774_13</vt:lpwstr>
  </property>
  <property fmtid="{D5CDD505-2E9C-101B-9397-08002B2CF9AE}" pid="4" name="KSOTemplateDocerSaveRecord">
    <vt:lpwstr>eyJoZGlkIjoiMDgwOTUzYjJiODQzMjc5MjI5MjViZjE0NzUwYmVjNGYiLCJ1c2VySWQiOiIxNzI5OTk4NDczIn0=</vt:lpwstr>
  </property>
</Properties>
</file>