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27C46">
      <w:pPr>
        <w:ind w:firstLine="0" w:firstLineChars="0"/>
        <w:jc w:val="center"/>
        <w:rPr>
          <w:rFonts w:hint="eastAsia" w:ascii="方正小标宋简体" w:eastAsia="方正小标宋简体"/>
          <w:sz w:val="44"/>
        </w:rPr>
      </w:pPr>
      <w:r>
        <w:rPr>
          <w:rFonts w:hint="eastAsia" w:ascii="方正小标宋简体" w:eastAsia="方正小标宋简体"/>
          <w:sz w:val="44"/>
        </w:rPr>
        <w:t>关于加快推进闵行区数字经济高质量发展的实施意见</w:t>
      </w:r>
    </w:p>
    <w:p w14:paraId="0891F09B">
      <w:pPr>
        <w:ind w:firstLine="0" w:firstLineChars="0"/>
        <w:jc w:val="center"/>
        <w:rPr>
          <w:rFonts w:ascii="方正小标宋简体" w:eastAsia="方正小标宋简体"/>
          <w:sz w:val="44"/>
        </w:rPr>
      </w:pPr>
      <w:r>
        <w:rPr>
          <w:rFonts w:hint="eastAsia" w:ascii="方正小标宋简体" w:eastAsia="方正小标宋简体"/>
          <w:sz w:val="30"/>
          <w:szCs w:val="30"/>
        </w:rPr>
        <w:t>（征求意见稿）</w:t>
      </w:r>
    </w:p>
    <w:p w14:paraId="2817B014">
      <w:pPr>
        <w:ind w:firstLine="640"/>
      </w:pPr>
      <w:bookmarkStart w:id="0" w:name="_GoBack"/>
      <w:bookmarkEnd w:id="0"/>
    </w:p>
    <w:p w14:paraId="52E3CC74">
      <w:pPr>
        <w:ind w:firstLine="640"/>
      </w:pPr>
      <w:r>
        <w:rPr>
          <w:rFonts w:hint="eastAsia"/>
        </w:rPr>
        <w:t>为深入贯彻国家数字中国战略和上海建设“国际数字之都”的部署，立足我区制造业基础和产教科创一体化优势，紧扣“一南一北”两大战略引擎功能定位，以“激活数据要素价值、强化人工智能赋能”为主线，系统性推进产业数字化转型与数字产业化发展，全力培育壮大新质生产力，为将闵行区打造成为具有国际竞争力的数字经济发展新高地、全面建成“创新开放、生态人文、宜居安居的现代化主城区”，特制定本实施意见。</w:t>
      </w:r>
    </w:p>
    <w:p w14:paraId="0827708F">
      <w:pPr>
        <w:ind w:firstLine="640"/>
        <w:rPr>
          <w:rFonts w:asciiTheme="majorEastAsia" w:hAnsiTheme="majorEastAsia" w:eastAsiaTheme="majorEastAsia"/>
        </w:rPr>
      </w:pPr>
      <w:r>
        <w:rPr>
          <w:rFonts w:hint="eastAsia" w:asciiTheme="majorEastAsia" w:hAnsiTheme="majorEastAsia" w:eastAsiaTheme="majorEastAsia"/>
        </w:rPr>
        <w:t>一、推动重点产业能级跃升</w:t>
      </w:r>
    </w:p>
    <w:p w14:paraId="6C15DF6F">
      <w:pPr>
        <w:ind w:firstLine="640"/>
      </w:pPr>
      <w:r>
        <w:rPr>
          <w:rFonts w:hint="eastAsia" w:ascii="楷体" w:hAnsi="楷体" w:eastAsia="楷体"/>
        </w:rPr>
        <w:t>（一）深化制造业“智改数转”与集群化转型。</w:t>
      </w:r>
      <w:r>
        <w:rPr>
          <w:rFonts w:hint="eastAsia"/>
        </w:rPr>
        <w:t>深入实施“工赋链主”培育计划，支持并强化龙头企业开放场景与核心能力，创新中小企业“链式”转型模式，带动产业链上下游中小企业协同转型。推进制造业“集群式”转型发展，聚焦高端装备、生物医药等优势产业集群，试点建设具备数据汇聚、资源协同等功能的行业级“产业大脑”。对标国际一流标准，制定并发布闵行区“未来工厂”认定体系，梯度培育一批达到“灯塔工厂”水平的智能制造标杆企业，系统性提升区域制造业核心竞争力。</w:t>
      </w:r>
      <w:r>
        <w:rPr>
          <w:rFonts w:hint="eastAsia" w:ascii="楷体" w:hAnsi="楷体" w:eastAsia="楷体"/>
        </w:rPr>
        <w:t>（责任单位：区经委、区科委、各街镇（莘庄工业区））</w:t>
      </w:r>
    </w:p>
    <w:p w14:paraId="1E299C17">
      <w:pPr>
        <w:ind w:firstLine="640"/>
      </w:pPr>
      <w:r>
        <w:rPr>
          <w:rFonts w:hint="eastAsia" w:ascii="楷体" w:hAnsi="楷体" w:eastAsia="楷体"/>
        </w:rPr>
        <w:t>（二）建设国际数字贸易示范区。</w:t>
      </w:r>
      <w:r>
        <w:rPr>
          <w:rFonts w:hint="eastAsia"/>
        </w:rPr>
        <w:t>加快创建国家跨境电商示范园区和国家数字服务出口基地。聚焦工业智算、生物医药研发外包（</w:t>
      </w:r>
      <w:r>
        <w:t>CRO）等高附加值领域，打造特色离岸数据服务外包生态。主动对标国际高标准经贸规则，积极开展规则对接与压力测试，探索建立安全便利的数据跨境流动与交易服务体系，打造国际数字贸易桥头堡。</w:t>
      </w:r>
      <w:r>
        <w:rPr>
          <w:rFonts w:ascii="楷体" w:hAnsi="楷体" w:eastAsia="楷体"/>
        </w:rPr>
        <w:t>（责任单位：区商务委、区委网信办、区数据局、南虹桥集团）</w:t>
      </w:r>
    </w:p>
    <w:p w14:paraId="3D55CE16">
      <w:pPr>
        <w:ind w:firstLine="640"/>
      </w:pPr>
      <w:r>
        <w:rPr>
          <w:rFonts w:hint="eastAsia" w:ascii="楷体" w:hAnsi="楷体" w:eastAsia="楷体"/>
        </w:rPr>
        <w:t>（三）培育壮大数字内容产业。</w:t>
      </w:r>
      <w:r>
        <w:rPr>
          <w:rFonts w:hint="eastAsia"/>
        </w:rPr>
        <w:t>以东方智媒城和中国（上海）网络视听产业基地为核心，打造数字内容产业集聚区，聚焦网络视听、游戏动漫、数字文创等重点领域，大力培育一批拥有核心原创</w:t>
      </w:r>
      <w:r>
        <w:t>IP、具备全球发行能力的文化出海龙头企业。依托上海电竞中心等世界级场馆，构建集顶级赛事、游戏研发、IP运营、专业直播于一体的电竞全产业链生态。</w:t>
      </w:r>
      <w:r>
        <w:rPr>
          <w:rFonts w:ascii="楷体" w:hAnsi="楷体" w:eastAsia="楷体"/>
        </w:rPr>
        <w:t>（责任单位：区委宣传部、区商务委、区文旅局、区体育局）</w:t>
      </w:r>
    </w:p>
    <w:p w14:paraId="1FCFF085">
      <w:pPr>
        <w:ind w:firstLine="640"/>
      </w:pPr>
      <w:r>
        <w:rPr>
          <w:rFonts w:hint="eastAsia" w:ascii="楷体" w:hAnsi="楷体" w:eastAsia="楷体"/>
        </w:rPr>
        <w:t>（四）打造数字消费新高地与平台经济新优势。</w:t>
      </w:r>
      <w:r>
        <w:rPr>
          <w:rFonts w:hint="eastAsia"/>
        </w:rPr>
        <w:t>加快重点商圈数字化、智慧化升级，鼓励发展智慧零售、无人配送、在线文娱等新业态，打造一批线上线下深度融合的智慧消费新场景。积极鼓励和规范发展健康、养老、出行、家政等领域的生活性互联网平台，培育多元化数字消费新增长点。</w:t>
      </w:r>
      <w:r>
        <w:rPr>
          <w:rFonts w:hint="eastAsia" w:ascii="楷体" w:hAnsi="楷体" w:eastAsia="楷体"/>
        </w:rPr>
        <w:t>（责任单位：区商务委、区市场监管局）</w:t>
      </w:r>
    </w:p>
    <w:p w14:paraId="074ADF95">
      <w:pPr>
        <w:ind w:firstLine="640"/>
      </w:pPr>
      <w:r>
        <w:rPr>
          <w:rFonts w:hint="eastAsia" w:ascii="楷体" w:hAnsi="楷体" w:eastAsia="楷体"/>
        </w:rPr>
        <w:t>（五）强化新一代信息技术产业核心竞争力。</w:t>
      </w:r>
      <w:r>
        <w:rPr>
          <w:rFonts w:hint="eastAsia"/>
        </w:rPr>
        <w:t>着力提升支撑</w:t>
      </w:r>
      <w:r>
        <w:t>5G-A通信、智能终端、新能源汽车等下游产业的关键材料与核心零部件的本地配套能力。支持浦江镇集成电路产业发展，全面提升设计、制造各环节能级。以虹桥镇、莘庄镇中小企业特色产业集群为依托，大力发展高端工业软件，鼓励骨干企业深度参与工业操作系统、数据库等基础软件的开源生态与技术标准制定，提升产业链自主可控水平。</w:t>
      </w:r>
      <w:r>
        <w:rPr>
          <w:rFonts w:ascii="楷体" w:hAnsi="楷体" w:eastAsia="楷体"/>
        </w:rPr>
        <w:t>（责任单位：区经委、虹桥镇、莘庄镇、浦江镇）</w:t>
      </w:r>
    </w:p>
    <w:p w14:paraId="5E70129F">
      <w:pPr>
        <w:ind w:firstLine="640"/>
      </w:pPr>
      <w:r>
        <w:rPr>
          <w:rFonts w:hint="eastAsia" w:ascii="楷体" w:hAnsi="楷体" w:eastAsia="楷体"/>
        </w:rPr>
        <w:t>（六）大力发展数字服务业。</w:t>
      </w:r>
      <w:r>
        <w:rPr>
          <w:rFonts w:hint="eastAsia"/>
        </w:rPr>
        <w:t>支持各类数字服务商聚焦企业数字化转型实际需求，打造“小快轻准”的产品和解决方案。鼓励数字服务商从“单点技术供给”向“全链条整体服务”升级，整合</w:t>
      </w:r>
      <w:r>
        <w:t>SaaS服务、智能算法与行业应用，为企业提供覆盖战略规划、系统搭建到运营优化的一体化解决方案。大力培育和引进服务实体经济的生产性互联网服务平台与行业级工业互联网平台，提升产业链、供应链协同效率，增强实体经济核心竞争力。</w:t>
      </w:r>
      <w:r>
        <w:rPr>
          <w:rFonts w:ascii="楷体" w:hAnsi="楷体" w:eastAsia="楷体"/>
        </w:rPr>
        <w:t>（责任单位：区经委、区商务委、各街镇（莘庄工业区）、南虹桥集团）</w:t>
      </w:r>
    </w:p>
    <w:p w14:paraId="0C874025">
      <w:pPr>
        <w:ind w:firstLine="640"/>
        <w:rPr>
          <w:rFonts w:asciiTheme="majorEastAsia" w:hAnsiTheme="majorEastAsia" w:eastAsiaTheme="majorEastAsia"/>
        </w:rPr>
      </w:pPr>
      <w:r>
        <w:rPr>
          <w:rFonts w:hint="eastAsia" w:asciiTheme="majorEastAsia" w:hAnsiTheme="majorEastAsia" w:eastAsiaTheme="majorEastAsia"/>
        </w:rPr>
        <w:t>二、全面实施“人工智能</w:t>
      </w:r>
      <w:r>
        <w:rPr>
          <w:rFonts w:asciiTheme="majorEastAsia" w:hAnsiTheme="majorEastAsia" w:eastAsiaTheme="majorEastAsia"/>
        </w:rPr>
        <w:t>+”赋能行动</w:t>
      </w:r>
    </w:p>
    <w:p w14:paraId="3BB491E0">
      <w:pPr>
        <w:ind w:firstLine="640"/>
      </w:pPr>
      <w:r>
        <w:rPr>
          <w:rFonts w:hint="eastAsia" w:ascii="楷体" w:hAnsi="楷体" w:eastAsia="楷体"/>
        </w:rPr>
        <w:t>（七）构筑人工智能产业核心优势。</w:t>
      </w:r>
      <w:r>
        <w:rPr>
          <w:rFonts w:hint="eastAsia"/>
        </w:rPr>
        <w:t>聚焦算法研究、</w:t>
      </w:r>
      <w:r>
        <w:t>AI芯片、云计算、高质量数据集等前沿领域，支持企业与科研机构组建创新联合体，开展关键核心技术研发。高标准建设市场化运营的公共算力服务平台，为中小企业和初创团队提供普惠、低成本的模型训练与开发环境。大力支持企业围绕大模型技术，构建活跃的开源社区和开发者生态，形成技术供给、产品开发、应用推广的良性循环，加速产业创新。</w:t>
      </w:r>
      <w:r>
        <w:rPr>
          <w:rFonts w:ascii="楷体" w:hAnsi="楷体" w:eastAsia="楷体"/>
        </w:rPr>
        <w:t>（责任单位：区经委、区科委、区数据局、各街镇（莘庄工业区））</w:t>
      </w:r>
    </w:p>
    <w:p w14:paraId="194D0E54">
      <w:pPr>
        <w:ind w:firstLine="640"/>
      </w:pPr>
      <w:r>
        <w:rPr>
          <w:rFonts w:hint="eastAsia" w:ascii="楷体" w:hAnsi="楷体" w:eastAsia="楷体"/>
        </w:rPr>
        <w:t>（八）推动“</w:t>
      </w:r>
      <w:r>
        <w:rPr>
          <w:rFonts w:ascii="楷体" w:hAnsi="楷体" w:eastAsia="楷体"/>
        </w:rPr>
        <w:t>AI+智能制造”深度赋能。</w:t>
      </w:r>
      <w:r>
        <w:t>聚焦智能制造主攻方向，深入实施“AI+”融合应用示范工程。支持建设一批应用成效显著、具有行业引领性的“AI+制造”示范工厂。鼓励企业在研发设计、生产制造、中试验证、经营管理、市场服务等全流程环节全面嵌入人工智能技术，大力推广AI质检、预测性维护等典型应用，构建人机协同、自主决策、持续优化的智能生产系统。</w:t>
      </w:r>
      <w:r>
        <w:rPr>
          <w:rFonts w:ascii="楷体" w:hAnsi="楷体" w:eastAsia="楷体"/>
        </w:rPr>
        <w:t>（责任单位：区经委、各街镇（莘庄工业区））</w:t>
      </w:r>
    </w:p>
    <w:p w14:paraId="3C2B58B9">
      <w:pPr>
        <w:ind w:firstLine="640"/>
      </w:pPr>
      <w:r>
        <w:rPr>
          <w:rFonts w:hint="eastAsia" w:ascii="楷体" w:hAnsi="楷体" w:eastAsia="楷体"/>
        </w:rPr>
        <w:t>（九）支持“</w:t>
      </w:r>
      <w:r>
        <w:rPr>
          <w:rFonts w:ascii="楷体" w:hAnsi="楷体" w:eastAsia="楷体"/>
        </w:rPr>
        <w:t>AI+生物医药”创新突破。</w:t>
      </w:r>
      <w:r>
        <w:t>聚焦生物医药产业创新需求，大力支持AI技术赋能新药研发、靶点发现、蛋白质结构预测、医学影像智能诊断和个性化精准治疗方案制定。鼓励龙头企业、研发机构、医疗机构与算法公司深度合作，共建高质量、合规化的临床与科研数据集，构建覆盖药品研发、临床试验到生产制造全生命周期的智能生态系统，加速创新成果转化。</w:t>
      </w:r>
      <w:r>
        <w:rPr>
          <w:rFonts w:ascii="楷体" w:hAnsi="楷体" w:eastAsia="楷体"/>
        </w:rPr>
        <w:t>（责任单位：区科委、区卫生健康委、区医保局、区市场监管局、各街镇（莘庄工业区））</w:t>
      </w:r>
    </w:p>
    <w:p w14:paraId="65F7917D">
      <w:pPr>
        <w:ind w:firstLine="640"/>
        <w:rPr>
          <w:rFonts w:ascii="楷体" w:hAnsi="楷体" w:eastAsia="楷体"/>
        </w:rPr>
      </w:pPr>
      <w:r>
        <w:rPr>
          <w:rFonts w:hint="eastAsia" w:ascii="楷体" w:hAnsi="楷体" w:eastAsia="楷体"/>
        </w:rPr>
        <w:t>（十）促进“</w:t>
      </w:r>
      <w:r>
        <w:rPr>
          <w:rFonts w:ascii="楷体" w:hAnsi="楷体" w:eastAsia="楷体"/>
        </w:rPr>
        <w:t>AI+航天航空”高端发展。</w:t>
      </w:r>
      <w:r>
        <w:t>聚焦航天航空等战略性高端装备产业，支持发展基于人工智能的复杂系统仿真设计、数字孪生、智能检测与自主控制技术。鼓励产业链核心企业开放重大应用场景，推动AI技术在关键零部件、核心控制系统、高端材料研发等领域的深度应用。支持建设航天航空领域专业数据集与算法模型库，培育解决方案供应商，提升产业链现代化水平。</w:t>
      </w:r>
      <w:r>
        <w:rPr>
          <w:rFonts w:ascii="楷体" w:hAnsi="楷体" w:eastAsia="楷体"/>
        </w:rPr>
        <w:t>（责任单位：区经委、区科委、各街镇（莘庄工业区））</w:t>
      </w:r>
    </w:p>
    <w:p w14:paraId="659551E8">
      <w:pPr>
        <w:ind w:firstLine="640"/>
      </w:pPr>
      <w:r>
        <w:rPr>
          <w:rFonts w:hint="eastAsia" w:ascii="楷体" w:hAnsi="楷体" w:eastAsia="楷体"/>
        </w:rPr>
        <w:t>（十一）系统化布局</w:t>
      </w:r>
      <w:r>
        <w:rPr>
          <w:rFonts w:ascii="楷体" w:hAnsi="楷体" w:eastAsia="楷体"/>
        </w:rPr>
        <w:t>AI+未来产业新赛道。</w:t>
      </w:r>
      <w:r>
        <w:t>强化“一湾一区”协同策源，加强大零号湾具身智能数据采集技术研发，加快应用场景在马桥人工智能创新试验区的承载落地，集中资源推动AI驱动的具身智能机器人产业化发展。依托华漕镇上海脑机接口未来产业集聚区“脑智天地”，加快发展脑机接口未来产业，围绕神经与精神疾病治疗、康复训练等场景，推动侵入式、半侵入式、非侵入式脑机接口产品研发，推动AI赋能的脑机接口技术转换应用。依托上海市养老科技产业园，大力推进面向居家、社区和机构的AIPC、康养机器人等AI智能终端建设，以高水平的人工智</w:t>
      </w:r>
      <w:r>
        <w:rPr>
          <w:rFonts w:hint="eastAsia"/>
        </w:rPr>
        <w:t>能应用满足未来养老需求。支持吴泾镇、浦江镇大力发展以人工智能调度与自主控制为核心的低空经济新业态。</w:t>
      </w:r>
      <w:r>
        <w:rPr>
          <w:rFonts w:hint="eastAsia" w:ascii="楷体" w:hAnsi="楷体" w:eastAsia="楷体"/>
        </w:rPr>
        <w:t>（责任单位：区科委、区经委、区民政局、浦江镇、吴泾镇、马桥镇、华漕镇、上海马桥人工智能创新试验区建设发展有限公司）</w:t>
      </w:r>
    </w:p>
    <w:p w14:paraId="2C7427E5">
      <w:pPr>
        <w:ind w:firstLine="640"/>
        <w:rPr>
          <w:rFonts w:asciiTheme="majorEastAsia" w:hAnsiTheme="majorEastAsia" w:eastAsiaTheme="majorEastAsia"/>
        </w:rPr>
      </w:pPr>
      <w:r>
        <w:rPr>
          <w:rFonts w:hint="eastAsia" w:asciiTheme="majorEastAsia" w:hAnsiTheme="majorEastAsia" w:eastAsiaTheme="majorEastAsia"/>
        </w:rPr>
        <w:t>三、激活数据要素核心价值</w:t>
      </w:r>
    </w:p>
    <w:p w14:paraId="7F2B4445">
      <w:pPr>
        <w:ind w:firstLine="640"/>
      </w:pPr>
      <w:r>
        <w:rPr>
          <w:rFonts w:hint="eastAsia" w:ascii="楷体" w:hAnsi="楷体" w:eastAsia="楷体"/>
        </w:rPr>
        <w:t>（十二）深化公共数据共享开放。</w:t>
      </w:r>
      <w:r>
        <w:rPr>
          <w:rFonts w:hint="eastAsia"/>
        </w:rPr>
        <w:t>稳步推进政务数据共享开放，建立动态更新与质量评估机制，提升数据可用性与实时性。强化数据治理，健全数据分类分级、目录管理、权责界定等制度体系，统一数据编码、格式等标准规范，缓解数据“孤岛”“杂乱”等问题。深化数据创新实验室建设，推动公共数据的市场化应用，在保障安全的前提下，最大限度释放公共数据价值。</w:t>
      </w:r>
      <w:r>
        <w:rPr>
          <w:rFonts w:hint="eastAsia" w:ascii="楷体" w:hAnsi="楷体" w:eastAsia="楷体"/>
        </w:rPr>
        <w:t>（责任单位：区数据局）</w:t>
      </w:r>
    </w:p>
    <w:p w14:paraId="39E7013B">
      <w:pPr>
        <w:ind w:firstLine="640"/>
      </w:pPr>
      <w:r>
        <w:rPr>
          <w:rFonts w:hint="eastAsia" w:ascii="楷体" w:hAnsi="楷体" w:eastAsia="楷体"/>
        </w:rPr>
        <w:t>（十三）构建高质量数据供给与可信数据智算空间。</w:t>
      </w:r>
      <w:r>
        <w:rPr>
          <w:rFonts w:hint="eastAsia"/>
        </w:rPr>
        <w:t>鼓励和支持智能制造、生物医药等数据富集行业，使用区域算力建设和开放高质量行业数据集、人工智能训练语料库以及可信数据空间。运用行业智能体、隐私计算等技术，建设集成数据、算法、模型、算力和服务的“跨域公共可信数据智算工厂”。在保障数据安全的前提下，构建跨域数据飞轮机制，加快数模融合与数据流通，通过数据消费与反馈，持续赋能工业制造、具身智能、生物医药、绿色低碳等特色产业实现更高水平的价值创造。</w:t>
      </w:r>
      <w:r>
        <w:rPr>
          <w:rFonts w:hint="eastAsia" w:ascii="楷体" w:hAnsi="楷体" w:eastAsia="楷体"/>
        </w:rPr>
        <w:t>（责任单位：区数据局、区经委、区科委）</w:t>
      </w:r>
    </w:p>
    <w:p w14:paraId="6E26F924">
      <w:pPr>
        <w:ind w:firstLine="640"/>
      </w:pPr>
      <w:r>
        <w:rPr>
          <w:rFonts w:hint="eastAsia" w:ascii="楷体" w:hAnsi="楷体" w:eastAsia="楷体"/>
        </w:rPr>
        <w:t>（十四）建设数据产业集聚区与监测体系。</w:t>
      </w:r>
      <w:r>
        <w:rPr>
          <w:rFonts w:hint="eastAsia"/>
        </w:rPr>
        <w:t>支持虹桥商务区闵行片区、莘庄商务区、虹桥镇合川路数创产业带等区域，结合自身优势，规划建设以数据服务、数据应用为核心的特色数据产业集聚区。支持企业申报专精特新中小企业、专精特新“小巨人”企业。建立健全数商发现培育机制、覆盖全区的数字经济动态监测、统计和综合评价指标体系，支持数商企业的申报认证，为产业规划、政策制定和招商引资提供精准决策支撑。</w:t>
      </w:r>
      <w:r>
        <w:rPr>
          <w:rFonts w:hint="eastAsia" w:ascii="楷体" w:hAnsi="楷体" w:eastAsia="楷体"/>
        </w:rPr>
        <w:t>（责任单位：区数据局、区发改委、区统计局、南虹桥集团、莘庄镇、虹桥镇）</w:t>
      </w:r>
    </w:p>
    <w:p w14:paraId="6830C992">
      <w:pPr>
        <w:ind w:firstLine="640"/>
        <w:rPr>
          <w:rFonts w:ascii="楷体" w:hAnsi="楷体" w:eastAsia="楷体"/>
        </w:rPr>
      </w:pPr>
      <w:r>
        <w:rPr>
          <w:rFonts w:hint="eastAsia" w:ascii="楷体" w:hAnsi="楷体" w:eastAsia="楷体"/>
        </w:rPr>
        <w:t>（十五）推进数据技术知识产权和标准创新。</w:t>
      </w:r>
      <w:r>
        <w:rPr>
          <w:rFonts w:hint="eastAsia"/>
        </w:rPr>
        <w:t>支持企业开展数据产品知识产权登记保护。鼓励企业牵头研制数据领域相关标准，开展标准贯彻应用。</w:t>
      </w:r>
      <w:r>
        <w:rPr>
          <w:rFonts w:hint="eastAsia" w:ascii="楷体" w:hAnsi="楷体" w:eastAsia="楷体"/>
        </w:rPr>
        <w:t>（责任单位：区市场监管局）</w:t>
      </w:r>
    </w:p>
    <w:p w14:paraId="32B1CAAB">
      <w:pPr>
        <w:ind w:firstLine="640"/>
      </w:pPr>
      <w:r>
        <w:rPr>
          <w:rFonts w:hint="eastAsia" w:ascii="楷体" w:hAnsi="楷体" w:eastAsia="楷体"/>
        </w:rPr>
        <w:t>（十六）筑牢数据安全屏障。</w:t>
      </w:r>
      <w:r>
        <w:rPr>
          <w:rFonts w:hint="eastAsia"/>
        </w:rPr>
        <w:t>严格落实网络安全和数据安全主体责任，全面实施数据分类分级管理，明确重要数据保护要求。加强对政务网络、工业互联网、车联网等关键信息基础设施的安全防护与风险评估。探索建立数据跨境流动安全评估、个人信息保护认证、数据安全应急响应等创新管理机制，构建技术、制度、管理三位一体的安全保障体系，实现发展与安全的动态平衡。</w:t>
      </w:r>
      <w:r>
        <w:rPr>
          <w:rFonts w:hint="eastAsia" w:ascii="楷体" w:hAnsi="楷体" w:eastAsia="楷体"/>
        </w:rPr>
        <w:t>（责任单位：区委网信办、区公安分局、区数据局）</w:t>
      </w:r>
    </w:p>
    <w:p w14:paraId="69B8D9C9">
      <w:pPr>
        <w:ind w:firstLine="640"/>
        <w:rPr>
          <w:rFonts w:asciiTheme="majorEastAsia" w:hAnsiTheme="majorEastAsia" w:eastAsiaTheme="majorEastAsia"/>
        </w:rPr>
      </w:pPr>
      <w:r>
        <w:rPr>
          <w:rFonts w:hint="eastAsia" w:asciiTheme="majorEastAsia" w:hAnsiTheme="majorEastAsia" w:eastAsiaTheme="majorEastAsia"/>
        </w:rPr>
        <w:t>四、夯实数字经济新型基座</w:t>
      </w:r>
    </w:p>
    <w:p w14:paraId="7387E1C9">
      <w:pPr>
        <w:ind w:firstLine="640"/>
      </w:pPr>
      <w:r>
        <w:rPr>
          <w:rFonts w:hint="eastAsia" w:ascii="楷体" w:hAnsi="楷体" w:eastAsia="楷体"/>
        </w:rPr>
        <w:t>（十七）升级高速泛在的融合网络设施。</w:t>
      </w:r>
      <w:r>
        <w:rPr>
          <w:rFonts w:hint="eastAsia"/>
        </w:rPr>
        <w:t>持续推进空天地一体化网络基础建设。深化</w:t>
      </w:r>
      <w:r>
        <w:t>5G信号深度覆盖和5G-A网络建设，扩大千兆、万兆光网在产业园区、商务楼宇和重点区域的覆盖范围，打造“双万兆”示范区。依托闵行低空测试基地与“浦江—吴泾”融合飞行示范区，支持“设施网—空联网—航路网—服务网”搭建，协同推进低空通信、智能起降、低空监视等基础设施建设，打造可复制的超大城市低空运行样板。推动建设国家空间信息基础设施承载区，加快布局商业航天与低轨卫星星座产业，支持卫星设计制造、星座组网与空间数据服务等核心环节发展。</w:t>
      </w:r>
      <w:r>
        <w:rPr>
          <w:rFonts w:ascii="楷体" w:hAnsi="楷体" w:eastAsia="楷体"/>
        </w:rPr>
        <w:t>（责任单位</w:t>
      </w:r>
      <w:r>
        <w:rPr>
          <w:rFonts w:hint="eastAsia" w:ascii="楷体" w:hAnsi="楷体" w:eastAsia="楷体"/>
        </w:rPr>
        <w:t>：区数据局、区经委、区交通委）</w:t>
      </w:r>
    </w:p>
    <w:p w14:paraId="3EEDE032">
      <w:pPr>
        <w:ind w:firstLine="640"/>
      </w:pPr>
      <w:r>
        <w:rPr>
          <w:rFonts w:hint="eastAsia" w:ascii="楷体" w:hAnsi="楷体" w:eastAsia="楷体"/>
        </w:rPr>
        <w:t>（十八）统筹布局智能算力与物联感知设施。</w:t>
      </w:r>
      <w:r>
        <w:rPr>
          <w:rFonts w:hint="eastAsia"/>
        </w:rPr>
        <w:t>依托临港浦江国际科技城等节点，构建普惠与高端并举、云边端协同的智能算力供给体系。整合区内政务、商用、科研等多元异构算力资源，构建市场化运营的算力统筹调度体系。统筹推进城市物联感知网络建设，实现对交通、能源、市政设施的全要素数字化映射与动态监测。</w:t>
      </w:r>
      <w:r>
        <w:rPr>
          <w:rFonts w:hint="eastAsia" w:ascii="楷体" w:hAnsi="楷体" w:eastAsia="楷体"/>
        </w:rPr>
        <w:t>（责任单位：区数据局、区经委、区交通委、区建管委、区城运中心）</w:t>
      </w:r>
    </w:p>
    <w:p w14:paraId="46BEA186">
      <w:pPr>
        <w:ind w:firstLine="640"/>
        <w:rPr>
          <w:rFonts w:asciiTheme="majorEastAsia" w:hAnsiTheme="majorEastAsia" w:eastAsiaTheme="majorEastAsia"/>
        </w:rPr>
      </w:pPr>
      <w:r>
        <w:rPr>
          <w:rFonts w:hint="eastAsia" w:asciiTheme="majorEastAsia" w:hAnsiTheme="majorEastAsia" w:eastAsiaTheme="majorEastAsia"/>
        </w:rPr>
        <w:t>五、提升关键核心技术创新能力</w:t>
      </w:r>
    </w:p>
    <w:p w14:paraId="1A4776D6">
      <w:pPr>
        <w:ind w:firstLine="640"/>
      </w:pPr>
      <w:r>
        <w:rPr>
          <w:rFonts w:hint="eastAsia" w:ascii="楷体" w:hAnsi="楷体" w:eastAsia="楷体"/>
        </w:rPr>
        <w:t>（十九）支持前沿颠覆性技术攻关。</w:t>
      </w:r>
      <w:r>
        <w:rPr>
          <w:rFonts w:hint="eastAsia"/>
        </w:rPr>
        <w:t>依托“大零号湾”科技创新策源功能区，发挥高校院所基础研究优势，聚焦</w:t>
      </w:r>
      <w:r>
        <w:t>AI for Science、量子科技、未来能源、航天航空、数据科学等前沿领域，通过设立重大科技专项、组建创新联合体等方式，支持开展战略性、前瞻性技术研发，力争产出一批具有国际影响力的原创性、颠覆性科技成果，强化未来发展战略科技力量。</w:t>
      </w:r>
      <w:r>
        <w:rPr>
          <w:rFonts w:ascii="楷体" w:hAnsi="楷体" w:eastAsia="楷体"/>
        </w:rPr>
        <w:t>（责任单位：区科委、大零号湾集团）</w:t>
      </w:r>
    </w:p>
    <w:p w14:paraId="42A6AB76">
      <w:pPr>
        <w:ind w:firstLine="640"/>
      </w:pPr>
      <w:r>
        <w:rPr>
          <w:rFonts w:hint="eastAsia" w:ascii="楷体" w:hAnsi="楷体" w:eastAsia="楷体"/>
        </w:rPr>
        <w:t>（二十）构建需求导向的场景创新与功能平台体系。</w:t>
      </w:r>
      <w:r>
        <w:rPr>
          <w:rFonts w:hint="eastAsia"/>
        </w:rPr>
        <w:t>建立“闵行城市机会清单”常态化发布制度，系统性开放政府治理、公共服务、产业升级等重大应用场景，面向全球“揭榜挂帅”。加快布局一批市场化运作的具身智能、脑机接口等人工智能产业特色验证中心与产业中试平台。支持“生产伴随”式数据采集等创新模式，提供全链条服务，畅通科技成果从“实验室”到“应用场”的转化路径。</w:t>
      </w:r>
      <w:r>
        <w:rPr>
          <w:rFonts w:hint="eastAsia" w:ascii="楷体" w:hAnsi="楷体" w:eastAsia="楷体"/>
        </w:rPr>
        <w:t>（责任单位：区经委）</w:t>
      </w:r>
    </w:p>
    <w:p w14:paraId="0F0C9ECB">
      <w:pPr>
        <w:ind w:firstLine="640"/>
        <w:rPr>
          <w:rFonts w:asciiTheme="majorEastAsia" w:hAnsiTheme="majorEastAsia" w:eastAsiaTheme="majorEastAsia"/>
        </w:rPr>
      </w:pPr>
      <w:r>
        <w:rPr>
          <w:rFonts w:hint="eastAsia" w:asciiTheme="majorEastAsia" w:hAnsiTheme="majorEastAsia" w:eastAsiaTheme="majorEastAsia"/>
        </w:rPr>
        <w:t>六、完善数字经济公共服务与生态</w:t>
      </w:r>
    </w:p>
    <w:p w14:paraId="72348BD0">
      <w:pPr>
        <w:ind w:firstLine="640"/>
      </w:pPr>
      <w:r>
        <w:rPr>
          <w:rFonts w:hint="eastAsia" w:ascii="楷体" w:hAnsi="楷体" w:eastAsia="楷体"/>
        </w:rPr>
        <w:t>（二十一）优化产业政策与金融支持体系。</w:t>
      </w:r>
      <w:r>
        <w:rPr>
          <w:rFonts w:hint="eastAsia"/>
        </w:rPr>
        <w:t>用好区级产业扶持资金，重点投向数据流通领域的重大平台、关键技术与示范应用。联合金融机构积极探索数据资产质押、数据保险等新型金融服务，充分激活数据要素价值，全面推动产业向高端化、智能化转型升级。</w:t>
      </w:r>
      <w:r>
        <w:rPr>
          <w:rFonts w:hint="eastAsia" w:ascii="楷体" w:hAnsi="楷体" w:eastAsia="楷体"/>
        </w:rPr>
        <w:t>（责任单位：区财政局、区市场监管局、上海闵行金融投资发展有限公司）</w:t>
      </w:r>
    </w:p>
    <w:p w14:paraId="64E4A1FF">
      <w:pPr>
        <w:ind w:firstLine="640"/>
      </w:pPr>
      <w:r>
        <w:rPr>
          <w:rFonts w:hint="eastAsia" w:ascii="楷体" w:hAnsi="楷体" w:eastAsia="楷体"/>
        </w:rPr>
        <w:t>（二十二）构建多层次数字人才引育体系。</w:t>
      </w:r>
      <w:r>
        <w:rPr>
          <w:rFonts w:hint="eastAsia"/>
        </w:rPr>
        <w:t>大力实施“春申人才计划”，面向全球精准引进数字经济领域的顶尖科学家和领军团队。深化与上海交通大学、华东师范大学、闵行职业技术学院等高校合作，共建市场化运作的“未来产业工程师学院”，采取企业出题、校企联合培养的模式，订单式培养产业急需的复合型、应用型人才。推进大数据、区块链、数据安全等数字技术方向的职称评审工作，畅通人才职业发展通道。</w:t>
      </w:r>
      <w:r>
        <w:rPr>
          <w:rFonts w:hint="eastAsia" w:ascii="楷体" w:hAnsi="楷体" w:eastAsia="楷体"/>
        </w:rPr>
        <w:t>（责任单位：区人才局、区人社局、区教育局、区数据局）</w:t>
      </w:r>
    </w:p>
    <w:p w14:paraId="3227A228">
      <w:pPr>
        <w:ind w:firstLine="640"/>
      </w:pPr>
      <w:r>
        <w:rPr>
          <w:rFonts w:hint="eastAsia" w:ascii="楷体" w:hAnsi="楷体" w:eastAsia="楷体"/>
        </w:rPr>
        <w:t>（二十三）提升数字公共服务与企业社区效能。</w:t>
      </w:r>
      <w:r>
        <w:rPr>
          <w:rFonts w:hint="eastAsia"/>
        </w:rPr>
        <w:t>高标准建设运营“一站式”数字公共服务中心，整合设立包含算力券、数据券、专业服务券的“数字服务券”，为中小企业提供精准赋能。支持多元主体组建开放协同的数字企业生态联盟或社区，打造平等共享、互利共赢的协作平台，建立企业需求动态响应机制，持续优化服务供给，营造一流创新创业生态。</w:t>
      </w:r>
      <w:r>
        <w:rPr>
          <w:rFonts w:hint="eastAsia" w:ascii="楷体" w:hAnsi="楷体" w:eastAsia="楷体"/>
        </w:rPr>
        <w:t>（责任单位：区数据局、区经委）</w:t>
      </w:r>
    </w:p>
    <w:p w14:paraId="3584AF4D">
      <w:pPr>
        <w:ind w:firstLine="640"/>
        <w:rPr>
          <w:rFonts w:asciiTheme="majorEastAsia" w:hAnsiTheme="majorEastAsia" w:eastAsiaTheme="majorEastAsia"/>
        </w:rPr>
      </w:pPr>
      <w:r>
        <w:rPr>
          <w:rFonts w:hint="eastAsia" w:asciiTheme="majorEastAsia" w:hAnsiTheme="majorEastAsia" w:eastAsiaTheme="majorEastAsia"/>
        </w:rPr>
        <w:t>七、强化高效协同的数字治理能力</w:t>
      </w:r>
    </w:p>
    <w:p w14:paraId="3E45DD7D">
      <w:pPr>
        <w:ind w:firstLine="640"/>
      </w:pPr>
      <w:r>
        <w:rPr>
          <w:rFonts w:hint="eastAsia" w:ascii="楷体" w:hAnsi="楷体" w:eastAsia="楷体"/>
        </w:rPr>
        <w:t>（二十四）提升数字政府服务与城市治理水平。</w:t>
      </w:r>
      <w:r>
        <w:rPr>
          <w:rFonts w:hint="eastAsia"/>
        </w:rPr>
        <w:t>加快整体性数字政府建设，提升数字政府建设水平与服务能级，持续拓展“一网通办”服务广度与深度，以“高效办成一件事”为牵引，深化业务流程革命性再造，推动惠企政策“免申即享”、数据资源“先用后付”、融资服务“秒批速兑”。深化城市运行“一网统管”平台功能，整合多源感知数据，构建“平急两用”的基层一体化智慧治理体系，全面提升城市治理现代化能力。</w:t>
      </w:r>
      <w:r>
        <w:rPr>
          <w:rFonts w:hint="eastAsia" w:ascii="楷体" w:hAnsi="楷体" w:eastAsia="楷体"/>
        </w:rPr>
        <w:t>（责任单位：区数据局、区发改委、区城运中心、区政务服务中心）</w:t>
      </w:r>
    </w:p>
    <w:p w14:paraId="194EC6F3">
      <w:pPr>
        <w:ind w:firstLine="640"/>
        <w:rPr>
          <w:rFonts w:asciiTheme="majorEastAsia" w:hAnsiTheme="majorEastAsia" w:eastAsiaTheme="majorEastAsia"/>
        </w:rPr>
      </w:pPr>
      <w:r>
        <w:rPr>
          <w:rFonts w:hint="eastAsia" w:asciiTheme="majorEastAsia" w:hAnsiTheme="majorEastAsia" w:eastAsiaTheme="majorEastAsia"/>
        </w:rPr>
        <w:t>八、构建紧密合作的保障机制</w:t>
      </w:r>
    </w:p>
    <w:p w14:paraId="0D28354F">
      <w:pPr>
        <w:ind w:firstLine="640"/>
      </w:pPr>
      <w:r>
        <w:rPr>
          <w:rFonts w:hint="eastAsia"/>
        </w:rPr>
        <w:t>建立健全数字经济发展工作推进机制，统筹重大战略、重要政策和重点项目。健全协同联动与督查落实机制，形成全区“一盘棋”工作格局。制定出台推动数据产业高质量发展“政策包”，支持数据领域重点项目建设、企业技术创新、平台载体打造、人才培养引进等。</w:t>
      </w:r>
    </w:p>
    <w:p w14:paraId="56009E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622A3"/>
    <w:rsid w:val="28D07CC8"/>
    <w:rsid w:val="59B6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5203</Words>
  <Characters>5251</Characters>
  <Lines>0</Lines>
  <Paragraphs>0</Paragraphs>
  <TotalTime>0</TotalTime>
  <ScaleCrop>false</ScaleCrop>
  <LinksUpToDate>false</LinksUpToDate>
  <CharactersWithSpaces>5253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2025-11-28T07:17:00Z</dcterms:created>
  <dc:creator>Lg</dc:creator>
  <cp:lastModifiedBy>Lg</cp:lastModifiedBy>
  <dcterms:modified xsi:type="dcterms:W3CDTF">2025-11-28T07:22:50Z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868FACAA0B234F3C8CBEBECBBF31B3DF_11</vt:lpwstr>
  </property>
  <property fmtid="{D5CDD505-2E9C-101B-9397-08002B2CF9AE}" pid="4" name="KSOTemplateDocerSaveRecord">
    <vt:lpwstr>eyJoZGlkIjoiNTJmYTMxMTZmNGIzM2VjZWQ0ZWE0NmY2ZmVkZThlNzAiLCJ1c2VySWQiOiIzMzIxMDc4NzgifQ==</vt:lpwstr>
  </property>
</Properties>
</file>