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CA107" w14:textId="77777777" w:rsidR="003569DC" w:rsidRPr="00E763FE" w:rsidRDefault="002F78F1">
      <w:pPr>
        <w:spacing w:line="580" w:lineRule="exact"/>
        <w:jc w:val="center"/>
        <w:rPr>
          <w:rFonts w:ascii="方正小标宋简体" w:eastAsia="方正小标宋简体" w:hAnsi="黑体" w:hint="eastAsia"/>
          <w:bCs/>
          <w:color w:val="000000" w:themeColor="text1"/>
          <w:sz w:val="22"/>
          <w:szCs w:val="44"/>
        </w:rPr>
      </w:pPr>
      <w:r w:rsidRPr="00E763FE">
        <w:rPr>
          <w:rFonts w:ascii="方正小标宋简体" w:eastAsia="方正小标宋简体" w:hAnsi="黑体" w:hint="eastAsia"/>
          <w:bCs/>
          <w:color w:val="000000" w:themeColor="text1"/>
          <w:sz w:val="44"/>
          <w:szCs w:val="44"/>
        </w:rPr>
        <w:t>闵行区老旧公房小区物业管理共建活动</w:t>
      </w:r>
      <w:r w:rsidRPr="00E763FE">
        <w:rPr>
          <w:rFonts w:ascii="方正小标宋简体" w:eastAsia="方正小标宋简体" w:hAnsi="黑体" w:hint="eastAsia"/>
          <w:bCs/>
          <w:color w:val="000000" w:themeColor="text1"/>
          <w:sz w:val="44"/>
          <w:szCs w:val="44"/>
        </w:rPr>
        <w:br/>
        <w:t>实施办法</w:t>
      </w:r>
    </w:p>
    <w:p w14:paraId="206D1472" w14:textId="7B3113A9" w:rsidR="003569DC" w:rsidRDefault="003569DC">
      <w:pPr>
        <w:jc w:val="center"/>
        <w:rPr>
          <w:rFonts w:ascii="仿宋" w:eastAsia="仿宋" w:hAnsi="仿宋"/>
          <w:color w:val="000000" w:themeColor="text1"/>
          <w:sz w:val="30"/>
          <w:szCs w:val="30"/>
        </w:rPr>
      </w:pPr>
    </w:p>
    <w:p w14:paraId="333838A6" w14:textId="77777777" w:rsidR="003569DC" w:rsidRPr="00DF1712" w:rsidRDefault="002F78F1" w:rsidP="00DF1712">
      <w:pPr>
        <w:adjustRightInd w:val="0"/>
        <w:snapToGrid w:val="0"/>
        <w:spacing w:line="336" w:lineRule="auto"/>
        <w:ind w:firstLineChars="200" w:firstLine="640"/>
        <w:jc w:val="left"/>
        <w:rPr>
          <w:rFonts w:ascii="仿宋_GB2312" w:eastAsia="仿宋_GB2312" w:hAnsi="仿宋" w:cs="仿宋" w:hint="eastAsia"/>
          <w:color w:val="000000" w:themeColor="text1"/>
          <w:sz w:val="32"/>
          <w:szCs w:val="32"/>
        </w:rPr>
      </w:pPr>
      <w:r w:rsidRPr="00DF1712">
        <w:rPr>
          <w:rFonts w:ascii="仿宋_GB2312" w:eastAsia="仿宋_GB2312" w:hAnsi="仿宋" w:hint="eastAsia"/>
          <w:color w:val="000000" w:themeColor="text1"/>
          <w:sz w:val="32"/>
          <w:szCs w:val="32"/>
        </w:rPr>
        <w:t>为进一步深化老旧公房小区物业治理，有效提升老旧公房小区物业服务总体水平，</w:t>
      </w:r>
      <w:r w:rsidRPr="00DF1712">
        <w:rPr>
          <w:rFonts w:ascii="仿宋_GB2312" w:eastAsia="仿宋_GB2312" w:hAnsi="仿宋" w:cs="仿宋" w:hint="eastAsia"/>
          <w:color w:val="000000" w:themeColor="text1"/>
          <w:sz w:val="32"/>
          <w:szCs w:val="32"/>
        </w:rPr>
        <w:t>按照市委、市政府关于党建引领物业治理的总体部署和区委、区政府关于深化“红色物业</w:t>
      </w:r>
      <w:r w:rsidRPr="00DF1712">
        <w:rPr>
          <w:rFonts w:ascii="仿宋_GB2312" w:eastAsia="仿宋_GB2312" w:hAnsi="仿宋_GB2312" w:cs="仿宋_GB2312" w:hint="eastAsia"/>
          <w:color w:val="000000" w:themeColor="text1"/>
          <w:sz w:val="32"/>
          <w:szCs w:val="32"/>
        </w:rPr>
        <w:t>”加强党建引领物业治理工作安排，</w:t>
      </w:r>
      <w:r w:rsidRPr="00DF1712">
        <w:rPr>
          <w:rFonts w:ascii="仿宋_GB2312" w:eastAsia="仿宋_GB2312" w:hAnsi="仿宋" w:cs="仿宋" w:hint="eastAsia"/>
          <w:color w:val="000000" w:themeColor="text1"/>
          <w:sz w:val="32"/>
          <w:szCs w:val="32"/>
        </w:rPr>
        <w:t>对本区老旧公房及外区动迁房小区开展物业管理共建活动，现结合本区实际情况，制定本办法。</w:t>
      </w:r>
    </w:p>
    <w:p w14:paraId="5F91293C" w14:textId="77777777" w:rsidR="003569DC" w:rsidRPr="00DF1712" w:rsidRDefault="002F78F1" w:rsidP="00DF1712">
      <w:pPr>
        <w:adjustRightInd w:val="0"/>
        <w:snapToGrid w:val="0"/>
        <w:spacing w:line="336" w:lineRule="auto"/>
        <w:ind w:firstLineChars="200" w:firstLine="640"/>
        <w:rPr>
          <w:rFonts w:ascii="黑体" w:eastAsia="黑体" w:hAnsi="黑体" w:cs="Times New Roman"/>
          <w:color w:val="000000" w:themeColor="text1"/>
          <w:sz w:val="32"/>
          <w:szCs w:val="32"/>
        </w:rPr>
      </w:pPr>
      <w:r w:rsidRPr="00DF1712">
        <w:rPr>
          <w:rFonts w:ascii="黑体" w:eastAsia="黑体" w:hAnsi="黑体" w:cs="Times New Roman" w:hint="eastAsia"/>
          <w:color w:val="000000" w:themeColor="text1"/>
          <w:sz w:val="32"/>
          <w:szCs w:val="32"/>
        </w:rPr>
        <w:t>一</w:t>
      </w:r>
      <w:r w:rsidRPr="00DF1712">
        <w:rPr>
          <w:rFonts w:ascii="黑体" w:eastAsia="黑体" w:hAnsi="黑体" w:cs="Times New Roman"/>
          <w:color w:val="000000" w:themeColor="text1"/>
          <w:sz w:val="32"/>
          <w:szCs w:val="32"/>
        </w:rPr>
        <w:t>、</w:t>
      </w:r>
      <w:r w:rsidRPr="00DF1712">
        <w:rPr>
          <w:rFonts w:ascii="黑体" w:eastAsia="黑体" w:hAnsi="黑体" w:cs="Times New Roman" w:hint="eastAsia"/>
          <w:color w:val="000000" w:themeColor="text1"/>
          <w:sz w:val="32"/>
          <w:szCs w:val="32"/>
        </w:rPr>
        <w:t>管理职责</w:t>
      </w:r>
    </w:p>
    <w:p w14:paraId="701283ED" w14:textId="77777777" w:rsidR="003569DC" w:rsidRPr="00DF1712" w:rsidRDefault="002F78F1" w:rsidP="00DF1712">
      <w:pPr>
        <w:adjustRightInd w:val="0"/>
        <w:snapToGrid w:val="0"/>
        <w:spacing w:line="336" w:lineRule="auto"/>
        <w:ind w:firstLineChars="200" w:firstLine="640"/>
        <w:rPr>
          <w:rFonts w:ascii="仿宋_GB2312" w:eastAsia="仿宋_GB2312" w:hAnsi="仿宋" w:cs="仿宋" w:hint="eastAsia"/>
          <w:color w:val="000000" w:themeColor="text1"/>
          <w:sz w:val="32"/>
          <w:szCs w:val="32"/>
        </w:rPr>
      </w:pPr>
      <w:r w:rsidRPr="00DF1712">
        <w:rPr>
          <w:rFonts w:ascii="仿宋_GB2312" w:eastAsia="仿宋_GB2312" w:hAnsi="仿宋" w:cs="仿宋" w:hint="eastAsia"/>
          <w:color w:val="000000" w:themeColor="text1"/>
          <w:sz w:val="32"/>
          <w:szCs w:val="32"/>
        </w:rPr>
        <w:t>区房屋管理局负责牵头本区老旧公房小区物业管理共建（以下简称共建）工作，对各镇、街道、莘庄工业区（以下简称</w:t>
      </w:r>
      <w:r w:rsidRPr="00DF1712">
        <w:rPr>
          <w:rFonts w:ascii="仿宋_GB2312" w:eastAsia="仿宋_GB2312" w:hAnsi="仿宋" w:cs="仿宋" w:hint="eastAsia"/>
          <w:sz w:val="32"/>
          <w:szCs w:val="32"/>
        </w:rPr>
        <w:t>各街镇</w:t>
      </w:r>
      <w:r w:rsidRPr="00DF1712">
        <w:rPr>
          <w:rFonts w:ascii="仿宋_GB2312" w:eastAsia="仿宋_GB2312" w:hAnsi="仿宋" w:cs="仿宋" w:hint="eastAsia"/>
          <w:color w:val="000000" w:themeColor="text1"/>
          <w:sz w:val="32"/>
          <w:szCs w:val="32"/>
        </w:rPr>
        <w:t>）参加共建小区的申请进行复审，复核街镇的考核奖补结果，指导和监督各街镇的共建工作。</w:t>
      </w:r>
    </w:p>
    <w:p w14:paraId="615D260E" w14:textId="19696E79" w:rsidR="003569DC" w:rsidRPr="00DF1712" w:rsidRDefault="002F78F1" w:rsidP="00DF1712">
      <w:pPr>
        <w:adjustRightInd w:val="0"/>
        <w:snapToGrid w:val="0"/>
        <w:spacing w:line="336" w:lineRule="auto"/>
        <w:ind w:firstLineChars="200" w:firstLine="640"/>
        <w:rPr>
          <w:rFonts w:ascii="仿宋_GB2312" w:eastAsia="仿宋_GB2312" w:hAnsi="黑体" w:cs="Times New Roman" w:hint="eastAsia"/>
          <w:color w:val="000000" w:themeColor="text1"/>
          <w:sz w:val="32"/>
          <w:szCs w:val="32"/>
        </w:rPr>
      </w:pPr>
      <w:r w:rsidRPr="00DF1712">
        <w:rPr>
          <w:rFonts w:ascii="仿宋_GB2312" w:eastAsia="仿宋_GB2312" w:hAnsi="仿宋" w:cs="仿宋" w:hint="eastAsia"/>
          <w:color w:val="000000" w:themeColor="text1"/>
          <w:sz w:val="32"/>
          <w:szCs w:val="32"/>
        </w:rPr>
        <w:t>各街镇负责辖区内老旧公房小区共建工作，具体由</w:t>
      </w:r>
      <w:r w:rsidRPr="00DF1712">
        <w:rPr>
          <w:rFonts w:ascii="仿宋_GB2312" w:eastAsia="仿宋_GB2312" w:hAnsi="仿宋" w:cs="仿宋" w:hint="eastAsia"/>
          <w:sz w:val="32"/>
          <w:szCs w:val="32"/>
        </w:rPr>
        <w:t>各街镇房管机构</w:t>
      </w:r>
      <w:r w:rsidRPr="00DF1712">
        <w:rPr>
          <w:rFonts w:ascii="仿宋_GB2312" w:eastAsia="仿宋_GB2312" w:hAnsi="仿宋" w:cs="仿宋" w:hint="eastAsia"/>
          <w:color w:val="000000" w:themeColor="text1"/>
          <w:sz w:val="32"/>
          <w:szCs w:val="32"/>
        </w:rPr>
        <w:t>牵头，组织共建范围内的小区申请参加共建并进行初审，组织居民区党组织、居委会、业委会、业主及本辖区相关职能部门，对参加共建的小区进行考核评价，并做好辖区内共建小区考评基础资料的收集和归档工作。</w:t>
      </w:r>
    </w:p>
    <w:p w14:paraId="2DA2ED0F" w14:textId="77777777" w:rsidR="003569DC" w:rsidRPr="00DF1712" w:rsidRDefault="002F78F1" w:rsidP="00DF1712">
      <w:pPr>
        <w:adjustRightInd w:val="0"/>
        <w:snapToGrid w:val="0"/>
        <w:spacing w:line="336" w:lineRule="auto"/>
        <w:ind w:firstLineChars="200" w:firstLine="640"/>
        <w:rPr>
          <w:rFonts w:ascii="黑体" w:eastAsia="黑体" w:hAnsi="黑体"/>
          <w:color w:val="000000" w:themeColor="text1"/>
          <w:sz w:val="32"/>
          <w:szCs w:val="32"/>
        </w:rPr>
      </w:pPr>
      <w:r w:rsidRPr="00DF1712">
        <w:rPr>
          <w:rFonts w:ascii="黑体" w:eastAsia="黑体" w:hAnsi="黑体" w:hint="eastAsia"/>
          <w:color w:val="000000" w:themeColor="text1"/>
          <w:sz w:val="32"/>
          <w:szCs w:val="32"/>
        </w:rPr>
        <w:t>二、共建范围</w:t>
      </w:r>
    </w:p>
    <w:p w14:paraId="1CA9ADD3" w14:textId="77777777" w:rsidR="003569DC" w:rsidRPr="00DF1712" w:rsidRDefault="002F78F1" w:rsidP="00DF1712">
      <w:pPr>
        <w:adjustRightInd w:val="0"/>
        <w:snapToGrid w:val="0"/>
        <w:spacing w:line="336" w:lineRule="auto"/>
        <w:ind w:firstLineChars="200" w:firstLine="640"/>
        <w:jc w:val="left"/>
        <w:rPr>
          <w:rFonts w:ascii="仿宋_GB2312" w:eastAsia="仿宋_GB2312" w:hAnsi="仿宋" w:hint="eastAsia"/>
          <w:color w:val="000000" w:themeColor="text1"/>
          <w:sz w:val="32"/>
          <w:szCs w:val="32"/>
        </w:rPr>
      </w:pPr>
      <w:r w:rsidRPr="00DF1712">
        <w:rPr>
          <w:rFonts w:ascii="仿宋_GB2312" w:eastAsia="仿宋_GB2312" w:hAnsi="仿宋" w:hint="eastAsia"/>
          <w:color w:val="000000" w:themeColor="text1"/>
          <w:sz w:val="32"/>
          <w:szCs w:val="32"/>
        </w:rPr>
        <w:t>直管公房、系统公房、售后公房小区（以下统称公房小区），混合型小区（公房与商品房、动迁房等其它性质房屋共存，公房户数或面积超过60%）及外区动迁房小区（早期安置外区居民的动迁基地及世博动迁项目）三类小区纳入共</w:t>
      </w:r>
      <w:r w:rsidRPr="00DF1712">
        <w:rPr>
          <w:rFonts w:ascii="仿宋_GB2312" w:eastAsia="仿宋_GB2312" w:hAnsi="仿宋" w:hint="eastAsia"/>
          <w:color w:val="000000" w:themeColor="text1"/>
          <w:sz w:val="32"/>
          <w:szCs w:val="32"/>
        </w:rPr>
        <w:lastRenderedPageBreak/>
        <w:t>建范围。本区农民动迁房小区由各街镇参照本</w:t>
      </w:r>
      <w:r w:rsidRPr="00DF1712">
        <w:rPr>
          <w:rFonts w:ascii="仿宋_GB2312" w:eastAsia="仿宋_GB2312" w:hAnsi="仿宋" w:hint="eastAsia"/>
          <w:sz w:val="32"/>
          <w:szCs w:val="32"/>
        </w:rPr>
        <w:t>办法</w:t>
      </w:r>
      <w:r w:rsidRPr="00DF1712">
        <w:rPr>
          <w:rFonts w:ascii="仿宋_GB2312" w:eastAsia="仿宋_GB2312" w:hAnsi="仿宋" w:hint="eastAsia"/>
          <w:color w:val="000000" w:themeColor="text1"/>
          <w:sz w:val="32"/>
          <w:szCs w:val="32"/>
        </w:rPr>
        <w:t>，纳入属地考核奖补范围。</w:t>
      </w:r>
    </w:p>
    <w:p w14:paraId="4C21BEB7" w14:textId="77777777" w:rsidR="003569DC" w:rsidRPr="00DF1712" w:rsidRDefault="002F78F1" w:rsidP="00DF1712">
      <w:pPr>
        <w:adjustRightInd w:val="0"/>
        <w:snapToGrid w:val="0"/>
        <w:spacing w:line="336" w:lineRule="auto"/>
        <w:ind w:firstLineChars="150" w:firstLine="480"/>
        <w:rPr>
          <w:rFonts w:ascii="黑体" w:eastAsia="黑体" w:hAnsi="黑体"/>
          <w:color w:val="000000" w:themeColor="text1"/>
          <w:sz w:val="32"/>
          <w:szCs w:val="32"/>
        </w:rPr>
      </w:pPr>
      <w:r w:rsidRPr="00DF1712">
        <w:rPr>
          <w:rFonts w:ascii="黑体" w:eastAsia="黑体" w:hAnsi="黑体" w:hint="eastAsia"/>
          <w:color w:val="000000" w:themeColor="text1"/>
          <w:sz w:val="32"/>
          <w:szCs w:val="32"/>
        </w:rPr>
        <w:t>三、准入条件</w:t>
      </w:r>
    </w:p>
    <w:p w14:paraId="33111290" w14:textId="77777777" w:rsidR="003569DC" w:rsidRPr="00DF1712" w:rsidRDefault="002F78F1" w:rsidP="00DF1712">
      <w:pPr>
        <w:adjustRightInd w:val="0"/>
        <w:snapToGrid w:val="0"/>
        <w:spacing w:line="336" w:lineRule="auto"/>
        <w:ind w:firstLineChars="200" w:firstLine="640"/>
        <w:rPr>
          <w:rFonts w:ascii="仿宋_GB2312" w:eastAsia="仿宋_GB2312" w:hAnsi="仿宋" w:cs="仿宋" w:hint="eastAsia"/>
          <w:color w:val="000000" w:themeColor="text1"/>
          <w:sz w:val="32"/>
          <w:szCs w:val="32"/>
        </w:rPr>
      </w:pPr>
      <w:r w:rsidRPr="00DF1712">
        <w:rPr>
          <w:rFonts w:ascii="仿宋_GB2312" w:eastAsia="仿宋_GB2312" w:hAnsi="仿宋" w:cs="仿宋" w:hint="eastAsia"/>
          <w:color w:val="000000" w:themeColor="text1"/>
          <w:sz w:val="32"/>
          <w:szCs w:val="32"/>
        </w:rPr>
        <w:t>共建范围内的小区须同时符合以下准入条件方可申请参加共建：</w:t>
      </w:r>
    </w:p>
    <w:p w14:paraId="31CFD088" w14:textId="77777777" w:rsidR="003569DC" w:rsidRPr="00DF1712" w:rsidRDefault="002F78F1" w:rsidP="00DF1712">
      <w:pPr>
        <w:adjustRightInd w:val="0"/>
        <w:snapToGrid w:val="0"/>
        <w:spacing w:line="336" w:lineRule="auto"/>
        <w:ind w:firstLineChars="200" w:firstLine="640"/>
        <w:rPr>
          <w:rFonts w:ascii="仿宋_GB2312" w:eastAsia="仿宋_GB2312" w:hAnsi="仿宋" w:cs="仿宋" w:hint="eastAsia"/>
          <w:color w:val="000000" w:themeColor="text1"/>
          <w:sz w:val="32"/>
          <w:szCs w:val="32"/>
        </w:rPr>
      </w:pPr>
      <w:r w:rsidRPr="00DF1712">
        <w:rPr>
          <w:rFonts w:ascii="仿宋_GB2312" w:eastAsia="仿宋_GB2312" w:hAnsi="仿宋" w:cs="仿宋" w:hint="eastAsia"/>
          <w:color w:val="000000" w:themeColor="text1"/>
          <w:sz w:val="32"/>
          <w:szCs w:val="32"/>
        </w:rPr>
        <w:t>（一）物业费收缴率（实收物业费占应收物业费比率）达到85%；</w:t>
      </w:r>
    </w:p>
    <w:p w14:paraId="589A538D" w14:textId="77777777" w:rsidR="003569DC" w:rsidRPr="00DF1712" w:rsidRDefault="002F78F1" w:rsidP="00DF1712">
      <w:pPr>
        <w:adjustRightInd w:val="0"/>
        <w:snapToGrid w:val="0"/>
        <w:spacing w:line="336" w:lineRule="auto"/>
        <w:ind w:firstLineChars="200" w:firstLine="640"/>
        <w:rPr>
          <w:rFonts w:ascii="仿宋_GB2312" w:eastAsia="仿宋_GB2312" w:hAnsi="仿宋" w:cs="仿宋" w:hint="eastAsia"/>
          <w:color w:val="000000" w:themeColor="text1"/>
          <w:sz w:val="32"/>
          <w:szCs w:val="32"/>
        </w:rPr>
      </w:pPr>
      <w:r w:rsidRPr="00DF1712">
        <w:rPr>
          <w:rFonts w:ascii="仿宋_GB2312" w:eastAsia="仿宋_GB2312" w:hAnsi="仿宋" w:cs="仿宋" w:hint="eastAsia"/>
          <w:color w:val="000000" w:themeColor="text1"/>
          <w:sz w:val="32"/>
          <w:szCs w:val="32"/>
        </w:rPr>
        <w:t>（二）符合业委会组建条件的，业委会应当按程序组建；不符合组建条件的，居委会应当有效代行业委会职责；</w:t>
      </w:r>
    </w:p>
    <w:p w14:paraId="69F64CC7" w14:textId="77777777" w:rsidR="003569DC" w:rsidRPr="00DF1712" w:rsidRDefault="002F78F1" w:rsidP="00DF1712">
      <w:pPr>
        <w:adjustRightInd w:val="0"/>
        <w:snapToGrid w:val="0"/>
        <w:spacing w:line="336" w:lineRule="auto"/>
        <w:ind w:firstLineChars="200" w:firstLine="640"/>
        <w:jc w:val="left"/>
        <w:rPr>
          <w:rFonts w:ascii="仿宋_GB2312" w:eastAsia="仿宋_GB2312" w:hAnsi="仿宋_GB2312" w:cs="仿宋_GB2312" w:hint="eastAsia"/>
          <w:color w:val="000000" w:themeColor="text1"/>
          <w:sz w:val="32"/>
          <w:szCs w:val="32"/>
        </w:rPr>
      </w:pPr>
      <w:r w:rsidRPr="00DF1712">
        <w:rPr>
          <w:rFonts w:ascii="仿宋_GB2312" w:eastAsia="仿宋_GB2312" w:hAnsi="仿宋_GB2312" w:cs="仿宋_GB2312" w:hint="eastAsia"/>
          <w:color w:val="000000" w:themeColor="text1"/>
          <w:sz w:val="32"/>
          <w:szCs w:val="32"/>
        </w:rPr>
        <w:t>（三）已成立业主大会并开通业主大会账户的小区，应按规定完成上年度专项维修资金、公共收益的收支情况和业委会工作经费年度审计工作。</w:t>
      </w:r>
    </w:p>
    <w:p w14:paraId="3ACA0004" w14:textId="77777777" w:rsidR="003569DC" w:rsidRPr="00DF1712" w:rsidRDefault="002F78F1" w:rsidP="00DF1712">
      <w:pPr>
        <w:adjustRightInd w:val="0"/>
        <w:snapToGrid w:val="0"/>
        <w:spacing w:line="336" w:lineRule="auto"/>
        <w:ind w:firstLineChars="200" w:firstLine="640"/>
        <w:rPr>
          <w:rFonts w:ascii="黑体" w:eastAsia="黑体" w:hAnsi="黑体" w:cs="Times New Roman"/>
          <w:color w:val="000000" w:themeColor="text1"/>
          <w:sz w:val="32"/>
          <w:szCs w:val="32"/>
        </w:rPr>
      </w:pPr>
      <w:r w:rsidRPr="00DF1712">
        <w:rPr>
          <w:rFonts w:ascii="黑体" w:eastAsia="黑体" w:hAnsi="黑体" w:cs="Times New Roman" w:hint="eastAsia"/>
          <w:color w:val="000000" w:themeColor="text1"/>
          <w:sz w:val="32"/>
          <w:szCs w:val="32"/>
        </w:rPr>
        <w:t>四、考评奖补</w:t>
      </w:r>
    </w:p>
    <w:p w14:paraId="296DB467" w14:textId="77777777" w:rsidR="003569DC" w:rsidRPr="00DF1712" w:rsidRDefault="002F78F1" w:rsidP="00DF1712">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DF1712">
        <w:rPr>
          <w:rFonts w:ascii="仿宋_GB2312" w:eastAsia="仿宋_GB2312" w:hAnsi="Times New Roman" w:cs="Times New Roman" w:hint="eastAsia"/>
          <w:color w:val="000000" w:themeColor="text1"/>
          <w:sz w:val="32"/>
          <w:szCs w:val="32"/>
        </w:rPr>
        <w:t>每半年一次对共建小区物业管理情况进行综合考核评价，最终得分与奖补资金挂钩。</w:t>
      </w:r>
    </w:p>
    <w:p w14:paraId="576E1C46" w14:textId="77777777" w:rsidR="003569DC" w:rsidRPr="00DF1712" w:rsidRDefault="002F78F1" w:rsidP="00DF1712">
      <w:pPr>
        <w:adjustRightInd w:val="0"/>
        <w:snapToGrid w:val="0"/>
        <w:spacing w:line="336" w:lineRule="auto"/>
        <w:ind w:firstLineChars="200" w:firstLine="640"/>
        <w:rPr>
          <w:rFonts w:ascii="楷体" w:eastAsia="楷体" w:hAnsi="楷体" w:cs="Times New Roman"/>
          <w:color w:val="000000" w:themeColor="text1"/>
          <w:sz w:val="32"/>
          <w:szCs w:val="32"/>
        </w:rPr>
      </w:pPr>
      <w:r w:rsidRPr="00DF1712">
        <w:rPr>
          <w:rFonts w:ascii="楷体" w:eastAsia="楷体" w:hAnsi="楷体" w:cs="Times New Roman" w:hint="eastAsia"/>
          <w:color w:val="000000" w:themeColor="text1"/>
          <w:sz w:val="32"/>
          <w:szCs w:val="32"/>
        </w:rPr>
        <w:t>（一）考评</w:t>
      </w:r>
      <w:r w:rsidRPr="00DF1712">
        <w:rPr>
          <w:rFonts w:ascii="楷体" w:eastAsia="楷体" w:hAnsi="楷体" w:cs="Times New Roman"/>
          <w:color w:val="000000" w:themeColor="text1"/>
          <w:sz w:val="32"/>
          <w:szCs w:val="32"/>
        </w:rPr>
        <w:t>方式</w:t>
      </w:r>
    </w:p>
    <w:p w14:paraId="635743B3" w14:textId="68CF39E6" w:rsidR="003569DC" w:rsidRPr="00DF1712" w:rsidRDefault="002F78F1" w:rsidP="00DF1712">
      <w:pPr>
        <w:adjustRightInd w:val="0"/>
        <w:snapToGrid w:val="0"/>
        <w:spacing w:line="336" w:lineRule="auto"/>
        <w:ind w:firstLineChars="200" w:firstLine="643"/>
        <w:rPr>
          <w:rFonts w:ascii="仿宋_GB2312" w:eastAsia="仿宋_GB2312" w:hAnsi="Times New Roman" w:cs="Times New Roman"/>
          <w:color w:val="000000" w:themeColor="text1"/>
          <w:sz w:val="32"/>
          <w:szCs w:val="32"/>
        </w:rPr>
      </w:pPr>
      <w:r w:rsidRPr="00DF1712">
        <w:rPr>
          <w:rFonts w:ascii="仿宋_GB2312" w:eastAsia="仿宋_GB2312" w:hAnsi="楷体" w:cs="Times New Roman" w:hint="eastAsia"/>
          <w:b/>
          <w:color w:val="000000" w:themeColor="text1"/>
          <w:sz w:val="32"/>
          <w:szCs w:val="32"/>
        </w:rPr>
        <w:t>1</w:t>
      </w:r>
      <w:r w:rsidR="00DF1712" w:rsidRPr="00DF1712">
        <w:rPr>
          <w:rFonts w:ascii="仿宋_GB2312" w:eastAsia="仿宋_GB2312" w:hAnsi="楷体" w:cs="Times New Roman" w:hint="eastAsia"/>
          <w:b/>
          <w:color w:val="000000" w:themeColor="text1"/>
          <w:sz w:val="32"/>
          <w:szCs w:val="32"/>
        </w:rPr>
        <w:t>、</w:t>
      </w:r>
      <w:r w:rsidRPr="00DF1712">
        <w:rPr>
          <w:rFonts w:ascii="仿宋_GB2312" w:eastAsia="仿宋_GB2312" w:hAnsi="楷体" w:cs="Times New Roman" w:hint="eastAsia"/>
          <w:b/>
          <w:color w:val="000000" w:themeColor="text1"/>
          <w:sz w:val="32"/>
          <w:szCs w:val="32"/>
        </w:rPr>
        <w:t>区级考核评价</w:t>
      </w:r>
      <w:r w:rsidRPr="00DF1712">
        <w:rPr>
          <w:rFonts w:ascii="仿宋_GB2312" w:eastAsia="仿宋_GB2312" w:hAnsi="Times New Roman" w:cs="Times New Roman" w:hint="eastAsia"/>
          <w:b/>
          <w:color w:val="000000" w:themeColor="text1"/>
          <w:sz w:val="32"/>
          <w:szCs w:val="32"/>
        </w:rPr>
        <w:t>（权重为20%）。</w:t>
      </w:r>
      <w:r w:rsidRPr="00DF1712">
        <w:rPr>
          <w:rFonts w:ascii="仿宋_GB2312" w:eastAsia="仿宋_GB2312" w:hAnsi="Times New Roman" w:cs="Times New Roman" w:hint="eastAsia"/>
          <w:sz w:val="32"/>
          <w:szCs w:val="32"/>
        </w:rPr>
        <w:t>区房屋</w:t>
      </w:r>
      <w:r w:rsidRPr="00DF1712">
        <w:rPr>
          <w:rFonts w:ascii="仿宋_GB2312" w:eastAsia="仿宋_GB2312" w:hAnsi="Times New Roman" w:cs="Times New Roman"/>
          <w:sz w:val="32"/>
          <w:szCs w:val="32"/>
        </w:rPr>
        <w:t>管理局</w:t>
      </w:r>
      <w:r w:rsidRPr="00DF1712">
        <w:rPr>
          <w:rFonts w:ascii="仿宋_GB2312" w:eastAsia="仿宋_GB2312" w:hAnsi="Times New Roman" w:cs="Times New Roman" w:hint="eastAsia"/>
          <w:sz w:val="32"/>
          <w:szCs w:val="32"/>
        </w:rPr>
        <w:t>负责牵头组织</w:t>
      </w:r>
      <w:r w:rsidRPr="00DF1712">
        <w:rPr>
          <w:rFonts w:ascii="仿宋_GB2312" w:eastAsia="仿宋_GB2312" w:hAnsi="Times New Roman" w:cs="Times New Roman" w:hint="eastAsia"/>
          <w:color w:val="000000" w:themeColor="text1"/>
          <w:sz w:val="32"/>
          <w:szCs w:val="32"/>
        </w:rPr>
        <w:t>，根据住宅小区“防台防汛”、“防冻保暖”专项检查情况、物业经理自查情况、维修资金账目公布上传及公共收益入账等情况进行评价,区其他相关部门对住宅小区检查情况进行评价。</w:t>
      </w:r>
    </w:p>
    <w:p w14:paraId="052A847A" w14:textId="0DB975E1" w:rsidR="003569DC" w:rsidRDefault="002F78F1" w:rsidP="00DF1712">
      <w:pPr>
        <w:adjustRightInd w:val="0"/>
        <w:snapToGrid w:val="0"/>
        <w:spacing w:line="336" w:lineRule="auto"/>
        <w:ind w:firstLineChars="200" w:firstLine="643"/>
        <w:rPr>
          <w:rFonts w:ascii="仿宋_GB2312" w:eastAsia="仿宋_GB2312" w:hAnsi="Times New Roman" w:cs="Times New Roman"/>
          <w:color w:val="000000" w:themeColor="text1"/>
          <w:sz w:val="30"/>
          <w:szCs w:val="30"/>
        </w:rPr>
      </w:pPr>
      <w:r w:rsidRPr="00DF1712">
        <w:rPr>
          <w:rFonts w:ascii="仿宋_GB2312" w:eastAsia="仿宋_GB2312" w:hAnsi="楷体" w:cs="Times New Roman" w:hint="eastAsia"/>
          <w:b/>
          <w:color w:val="000000" w:themeColor="text1"/>
          <w:sz w:val="32"/>
          <w:szCs w:val="32"/>
        </w:rPr>
        <w:t>2</w:t>
      </w:r>
      <w:r w:rsidR="00DF1712" w:rsidRPr="00DF1712">
        <w:rPr>
          <w:rFonts w:ascii="仿宋_GB2312" w:eastAsia="仿宋_GB2312" w:hAnsi="楷体" w:cs="Times New Roman" w:hint="eastAsia"/>
          <w:b/>
          <w:color w:val="000000" w:themeColor="text1"/>
          <w:sz w:val="32"/>
          <w:szCs w:val="32"/>
        </w:rPr>
        <w:t>、</w:t>
      </w:r>
      <w:r w:rsidRPr="00DF1712">
        <w:rPr>
          <w:rFonts w:ascii="仿宋_GB2312" w:eastAsia="仿宋_GB2312" w:hAnsi="楷体" w:cs="Times New Roman" w:hint="eastAsia"/>
          <w:b/>
          <w:color w:val="000000" w:themeColor="text1"/>
          <w:sz w:val="32"/>
          <w:szCs w:val="32"/>
        </w:rPr>
        <w:t>属地街镇考核评价</w:t>
      </w:r>
      <w:r w:rsidRPr="00DF1712">
        <w:rPr>
          <w:rFonts w:ascii="仿宋_GB2312" w:eastAsia="仿宋_GB2312" w:hAnsi="Times New Roman" w:cs="Times New Roman" w:hint="eastAsia"/>
          <w:b/>
          <w:color w:val="000000" w:themeColor="text1"/>
          <w:sz w:val="32"/>
          <w:szCs w:val="32"/>
        </w:rPr>
        <w:t>（权重为40%）。</w:t>
      </w:r>
      <w:r w:rsidR="001072DB" w:rsidRPr="00DF1712">
        <w:rPr>
          <w:rFonts w:ascii="仿宋_GB2312" w:eastAsia="仿宋_GB2312" w:hAnsi="Times New Roman" w:cs="Times New Roman" w:hint="eastAsia"/>
          <w:sz w:val="32"/>
          <w:szCs w:val="32"/>
        </w:rPr>
        <w:t>各</w:t>
      </w:r>
      <w:r w:rsidRPr="00DF1712">
        <w:rPr>
          <w:rFonts w:ascii="仿宋_GB2312" w:eastAsia="仿宋_GB2312" w:hAnsi="Times New Roman" w:cs="Times New Roman" w:hint="eastAsia"/>
          <w:sz w:val="32"/>
          <w:szCs w:val="32"/>
        </w:rPr>
        <w:t>街镇房管机构</w:t>
      </w:r>
      <w:r w:rsidRPr="00DF1712">
        <w:rPr>
          <w:rFonts w:ascii="仿宋_GB2312" w:eastAsia="仿宋_GB2312" w:hAnsi="Times New Roman" w:cs="Times New Roman" w:hint="eastAsia"/>
          <w:color w:val="000000" w:themeColor="text1"/>
          <w:sz w:val="32"/>
          <w:szCs w:val="32"/>
        </w:rPr>
        <w:t>牵头属地公安、消防、水务、城管等部门组成考核小组，按照各自职责和相应标准分别对小区物业管理情况进行评价。</w:t>
      </w:r>
    </w:p>
    <w:p w14:paraId="317F0A44" w14:textId="0B277187" w:rsidR="003569DC" w:rsidRPr="00DF1712" w:rsidRDefault="002F78F1" w:rsidP="00DF1712">
      <w:pPr>
        <w:adjustRightInd w:val="0"/>
        <w:snapToGrid w:val="0"/>
        <w:spacing w:line="336" w:lineRule="auto"/>
        <w:ind w:firstLineChars="200" w:firstLine="643"/>
        <w:rPr>
          <w:rFonts w:ascii="仿宋_GB2312" w:eastAsia="仿宋_GB2312" w:hAnsi="Times New Roman" w:cs="Times New Roman"/>
          <w:color w:val="000000" w:themeColor="text1"/>
          <w:sz w:val="32"/>
          <w:szCs w:val="32"/>
        </w:rPr>
      </w:pPr>
      <w:r w:rsidRPr="00DF1712">
        <w:rPr>
          <w:rFonts w:ascii="仿宋_GB2312" w:eastAsia="仿宋_GB2312" w:hAnsi="楷体" w:cs="Times New Roman" w:hint="eastAsia"/>
          <w:b/>
          <w:color w:val="000000" w:themeColor="text1"/>
          <w:sz w:val="32"/>
          <w:szCs w:val="32"/>
        </w:rPr>
        <w:lastRenderedPageBreak/>
        <w:t>3</w:t>
      </w:r>
      <w:r w:rsidR="00DF1712" w:rsidRPr="00DF1712">
        <w:rPr>
          <w:rFonts w:ascii="仿宋_GB2312" w:eastAsia="仿宋_GB2312" w:hAnsi="楷体" w:cs="Times New Roman" w:hint="eastAsia"/>
          <w:b/>
          <w:color w:val="000000" w:themeColor="text1"/>
          <w:sz w:val="32"/>
          <w:szCs w:val="32"/>
        </w:rPr>
        <w:t>、</w:t>
      </w:r>
      <w:r w:rsidRPr="00DF1712">
        <w:rPr>
          <w:rFonts w:ascii="仿宋_GB2312" w:eastAsia="仿宋_GB2312" w:hAnsi="楷体" w:cs="Times New Roman" w:hint="eastAsia"/>
          <w:b/>
          <w:color w:val="000000" w:themeColor="text1"/>
          <w:sz w:val="32"/>
          <w:szCs w:val="32"/>
        </w:rPr>
        <w:t>小区“三位一体”考核评价</w:t>
      </w:r>
      <w:r w:rsidRPr="00DF1712">
        <w:rPr>
          <w:rFonts w:ascii="仿宋_GB2312" w:eastAsia="仿宋_GB2312" w:hAnsi="Times New Roman" w:cs="Times New Roman" w:hint="eastAsia"/>
          <w:b/>
          <w:color w:val="000000" w:themeColor="text1"/>
          <w:sz w:val="32"/>
          <w:szCs w:val="32"/>
        </w:rPr>
        <w:t>（权重为40%）。</w:t>
      </w:r>
      <w:r w:rsidRPr="00DF1712">
        <w:rPr>
          <w:rFonts w:ascii="仿宋_GB2312" w:eastAsia="仿宋_GB2312" w:hAnsi="Times New Roman" w:cs="Times New Roman" w:hint="eastAsia"/>
          <w:color w:val="000000" w:themeColor="text1"/>
          <w:sz w:val="32"/>
          <w:szCs w:val="32"/>
        </w:rPr>
        <w:t>综合</w:t>
      </w:r>
      <w:r w:rsidRPr="00DF1712">
        <w:rPr>
          <w:rFonts w:ascii="仿宋_GB2312" w:eastAsia="仿宋_GB2312" w:hAnsi="Times New Roman" w:cs="Times New Roman"/>
          <w:color w:val="000000" w:themeColor="text1"/>
          <w:sz w:val="32"/>
          <w:szCs w:val="32"/>
        </w:rPr>
        <w:t>小区所在</w:t>
      </w:r>
      <w:r w:rsidRPr="00DF1712">
        <w:rPr>
          <w:rFonts w:ascii="仿宋_GB2312" w:eastAsia="仿宋_GB2312" w:hAnsi="Times New Roman" w:cs="Times New Roman" w:hint="eastAsia"/>
          <w:color w:val="000000" w:themeColor="text1"/>
          <w:sz w:val="32"/>
          <w:szCs w:val="32"/>
        </w:rPr>
        <w:t>居民区党组织、居委会、业委会及业主的评价，其中居民区党组织牵头居委会对住宅小区物业服务及党建、创全、垃圾分类等工作情况进行评价（占15%），业委会按照物业服务合同对物业服务企业履约情况进行综合评价（占10%），居委会</w:t>
      </w:r>
      <w:r w:rsidRPr="00DF1712">
        <w:rPr>
          <w:rFonts w:ascii="仿宋_GB2312" w:eastAsia="仿宋_GB2312" w:hAnsi="Times New Roman" w:cs="Times New Roman"/>
          <w:color w:val="000000" w:themeColor="text1"/>
          <w:sz w:val="32"/>
          <w:szCs w:val="32"/>
        </w:rPr>
        <w:t>、业委会在评价前应听取</w:t>
      </w:r>
      <w:r w:rsidRPr="00DF1712">
        <w:rPr>
          <w:rFonts w:ascii="仿宋_GB2312" w:eastAsia="仿宋_GB2312" w:hAnsi="Times New Roman" w:cs="Times New Roman" w:hint="eastAsia"/>
          <w:color w:val="000000" w:themeColor="text1"/>
          <w:sz w:val="32"/>
          <w:szCs w:val="32"/>
        </w:rPr>
        <w:t>居民</w:t>
      </w:r>
      <w:r w:rsidRPr="00DF1712">
        <w:rPr>
          <w:rFonts w:ascii="仿宋_GB2312" w:eastAsia="仿宋_GB2312" w:hAnsi="Times New Roman" w:cs="Times New Roman"/>
          <w:color w:val="000000" w:themeColor="text1"/>
          <w:sz w:val="32"/>
          <w:szCs w:val="32"/>
        </w:rPr>
        <w:t>代表</w:t>
      </w:r>
      <w:r w:rsidRPr="00DF1712">
        <w:rPr>
          <w:rFonts w:ascii="仿宋_GB2312" w:eastAsia="仿宋_GB2312" w:hAnsi="Times New Roman" w:cs="Times New Roman" w:hint="eastAsia"/>
          <w:color w:val="000000" w:themeColor="text1"/>
          <w:sz w:val="32"/>
          <w:szCs w:val="32"/>
        </w:rPr>
        <w:t>、业主</w:t>
      </w:r>
      <w:r w:rsidRPr="00DF1712">
        <w:rPr>
          <w:rFonts w:ascii="仿宋_GB2312" w:eastAsia="仿宋_GB2312" w:hAnsi="Times New Roman" w:cs="Times New Roman"/>
          <w:color w:val="000000" w:themeColor="text1"/>
          <w:sz w:val="32"/>
          <w:szCs w:val="32"/>
        </w:rPr>
        <w:t>小组组长</w:t>
      </w:r>
      <w:r w:rsidRPr="00DF1712">
        <w:rPr>
          <w:rFonts w:ascii="仿宋_GB2312" w:eastAsia="仿宋_GB2312" w:hAnsi="Times New Roman" w:cs="Times New Roman" w:hint="eastAsia"/>
          <w:color w:val="000000" w:themeColor="text1"/>
          <w:sz w:val="32"/>
          <w:szCs w:val="32"/>
        </w:rPr>
        <w:t>等多方</w:t>
      </w:r>
      <w:r w:rsidRPr="00DF1712">
        <w:rPr>
          <w:rFonts w:ascii="仿宋_GB2312" w:eastAsia="仿宋_GB2312" w:hAnsi="Times New Roman" w:cs="Times New Roman"/>
          <w:color w:val="000000" w:themeColor="text1"/>
          <w:sz w:val="32"/>
          <w:szCs w:val="32"/>
        </w:rPr>
        <w:t>意见</w:t>
      </w:r>
      <w:r w:rsidRPr="00DF1712">
        <w:rPr>
          <w:rFonts w:ascii="仿宋_GB2312" w:eastAsia="仿宋_GB2312" w:hAnsi="Times New Roman" w:cs="Times New Roman" w:hint="eastAsia"/>
          <w:color w:val="000000" w:themeColor="text1"/>
          <w:sz w:val="32"/>
          <w:szCs w:val="32"/>
        </w:rPr>
        <w:t>，</w:t>
      </w:r>
      <w:r w:rsidRPr="00DF1712">
        <w:rPr>
          <w:rFonts w:ascii="仿宋_GB2312" w:eastAsia="仿宋_GB2312" w:hAnsi="Times New Roman" w:cs="Times New Roman"/>
          <w:color w:val="000000" w:themeColor="text1"/>
          <w:sz w:val="32"/>
          <w:szCs w:val="32"/>
        </w:rPr>
        <w:t>提升评价</w:t>
      </w:r>
      <w:r w:rsidRPr="00DF1712">
        <w:rPr>
          <w:rFonts w:ascii="仿宋_GB2312" w:eastAsia="仿宋_GB2312" w:hAnsi="Times New Roman" w:cs="Times New Roman" w:hint="eastAsia"/>
          <w:color w:val="000000" w:themeColor="text1"/>
          <w:sz w:val="32"/>
          <w:szCs w:val="32"/>
        </w:rPr>
        <w:t>的客观</w:t>
      </w:r>
      <w:r w:rsidRPr="00DF1712">
        <w:rPr>
          <w:rFonts w:ascii="仿宋_GB2312" w:eastAsia="仿宋_GB2312" w:hAnsi="Times New Roman" w:cs="Times New Roman"/>
          <w:color w:val="000000" w:themeColor="text1"/>
          <w:sz w:val="32"/>
          <w:szCs w:val="32"/>
        </w:rPr>
        <w:t>性。</w:t>
      </w:r>
      <w:r w:rsidRPr="00DF1712">
        <w:rPr>
          <w:rFonts w:ascii="仿宋_GB2312" w:eastAsia="仿宋_GB2312" w:hAnsi="Times New Roman" w:cs="Times New Roman" w:hint="eastAsia"/>
          <w:color w:val="000000" w:themeColor="text1"/>
          <w:sz w:val="32"/>
          <w:szCs w:val="32"/>
        </w:rPr>
        <w:t>业主满意度评价主要由闵行物业服务直通车的数据采集折算（占15%）。</w:t>
      </w:r>
    </w:p>
    <w:p w14:paraId="75478B6D" w14:textId="77777777" w:rsidR="003569DC" w:rsidRPr="00313C55" w:rsidRDefault="002F78F1" w:rsidP="00313C55">
      <w:pPr>
        <w:adjustRightInd w:val="0"/>
        <w:snapToGrid w:val="0"/>
        <w:spacing w:line="336" w:lineRule="auto"/>
        <w:ind w:firstLineChars="200" w:firstLine="640"/>
        <w:rPr>
          <w:rFonts w:ascii="楷体" w:eastAsia="楷体" w:hAnsi="楷体" w:cs="Times New Roman"/>
          <w:color w:val="000000" w:themeColor="text1"/>
          <w:sz w:val="32"/>
          <w:szCs w:val="32"/>
        </w:rPr>
      </w:pPr>
      <w:r w:rsidRPr="00313C55">
        <w:rPr>
          <w:rFonts w:ascii="楷体" w:eastAsia="楷体" w:hAnsi="楷体" w:cs="Times New Roman" w:hint="eastAsia"/>
          <w:color w:val="000000" w:themeColor="text1"/>
          <w:sz w:val="32"/>
          <w:szCs w:val="32"/>
        </w:rPr>
        <w:t>（二）奖补标准</w:t>
      </w:r>
    </w:p>
    <w:p w14:paraId="3967501C" w14:textId="5A7FDC3D"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1</w:t>
      </w:r>
      <w:r w:rsidR="00313C55" w:rsidRP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公房小区和混合型小区，面积1.5万平方米以上的按一般不超过0.3元/平方米·月标准奖补；面积不足1</w:t>
      </w:r>
      <w:r w:rsidRPr="00313C55">
        <w:rPr>
          <w:rFonts w:ascii="仿宋_GB2312" w:eastAsia="仿宋_GB2312" w:hAnsi="Times New Roman" w:cs="Times New Roman"/>
          <w:color w:val="000000" w:themeColor="text1"/>
          <w:sz w:val="32"/>
          <w:szCs w:val="32"/>
        </w:rPr>
        <w:t>.5</w:t>
      </w:r>
      <w:r w:rsidRPr="00313C55">
        <w:rPr>
          <w:rFonts w:ascii="仿宋_GB2312" w:eastAsia="仿宋_GB2312" w:hAnsi="Times New Roman" w:cs="Times New Roman" w:hint="eastAsia"/>
          <w:color w:val="000000" w:themeColor="text1"/>
          <w:sz w:val="32"/>
          <w:szCs w:val="32"/>
        </w:rPr>
        <w:t>万平方米的按不超过0.</w:t>
      </w:r>
      <w:r w:rsidRPr="00313C55">
        <w:rPr>
          <w:rFonts w:ascii="仿宋_GB2312" w:eastAsia="仿宋_GB2312" w:hAnsi="Times New Roman" w:cs="Times New Roman"/>
          <w:color w:val="000000" w:themeColor="text1"/>
          <w:sz w:val="32"/>
          <w:szCs w:val="32"/>
        </w:rPr>
        <w:t>6</w:t>
      </w:r>
      <w:r w:rsidRPr="00313C55">
        <w:rPr>
          <w:rFonts w:ascii="仿宋_GB2312" w:eastAsia="仿宋_GB2312" w:hAnsi="Times New Roman" w:cs="Times New Roman" w:hint="eastAsia"/>
          <w:color w:val="000000" w:themeColor="text1"/>
          <w:sz w:val="32"/>
          <w:szCs w:val="32"/>
        </w:rPr>
        <w:t>元/平方米/月标准奖补（零星小区合并为一个物业管理区域的，原各零星小区</w:t>
      </w:r>
      <w:r w:rsidRPr="00313C55">
        <w:rPr>
          <w:rFonts w:ascii="仿宋_GB2312" w:eastAsia="仿宋_GB2312" w:hAnsi="Times New Roman" w:cs="Times New Roman"/>
          <w:color w:val="000000" w:themeColor="text1"/>
          <w:sz w:val="32"/>
          <w:szCs w:val="32"/>
        </w:rPr>
        <w:t>的</w:t>
      </w:r>
      <w:r w:rsidRPr="00313C55">
        <w:rPr>
          <w:rFonts w:ascii="仿宋_GB2312" w:eastAsia="仿宋_GB2312" w:hAnsi="Times New Roman" w:cs="Times New Roman" w:hint="eastAsia"/>
          <w:color w:val="000000" w:themeColor="text1"/>
          <w:sz w:val="32"/>
          <w:szCs w:val="32"/>
        </w:rPr>
        <w:t>面积符合上述标准的纳入本档）。</w:t>
      </w:r>
    </w:p>
    <w:p w14:paraId="46CE016A" w14:textId="1F19CCDC"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2</w:t>
      </w:r>
      <w:r w:rsid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外区动迁房小区按一般不超过0.15元/平方米/月标准奖补。</w:t>
      </w:r>
    </w:p>
    <w:p w14:paraId="273BB074" w14:textId="256EB8FB" w:rsidR="003569DC" w:rsidRPr="00313C55" w:rsidRDefault="00313C55"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w:t>
      </w:r>
      <w:r w:rsidR="002F78F1" w:rsidRPr="00313C55">
        <w:rPr>
          <w:rFonts w:ascii="仿宋_GB2312" w:eastAsia="仿宋_GB2312" w:hAnsi="Times New Roman" w:cs="Times New Roman" w:hint="eastAsia"/>
          <w:color w:val="000000" w:themeColor="text1"/>
          <w:sz w:val="32"/>
          <w:szCs w:val="32"/>
        </w:rPr>
        <w:t>考评得分</w:t>
      </w:r>
      <w:r w:rsidR="002F78F1" w:rsidRPr="00313C55">
        <w:rPr>
          <w:rFonts w:ascii="仿宋_GB2312" w:eastAsia="仿宋_GB2312" w:hAnsi="Times New Roman" w:cs="Times New Roman"/>
          <w:color w:val="000000" w:themeColor="text1"/>
          <w:sz w:val="32"/>
          <w:szCs w:val="32"/>
        </w:rPr>
        <w:t>80</w:t>
      </w:r>
      <w:r w:rsidR="002F78F1" w:rsidRPr="00313C55">
        <w:rPr>
          <w:rFonts w:ascii="仿宋_GB2312" w:eastAsia="仿宋_GB2312" w:hAnsi="Times New Roman" w:cs="Times New Roman" w:hint="eastAsia"/>
          <w:color w:val="000000" w:themeColor="text1"/>
          <w:sz w:val="32"/>
          <w:szCs w:val="32"/>
        </w:rPr>
        <w:t>-100分之间的给予相应奖补资金，得分不足</w:t>
      </w:r>
      <w:r w:rsidR="002F78F1" w:rsidRPr="00313C55">
        <w:rPr>
          <w:rFonts w:ascii="仿宋_GB2312" w:eastAsia="仿宋_GB2312" w:hAnsi="Times New Roman" w:cs="Times New Roman"/>
          <w:color w:val="000000" w:themeColor="text1"/>
          <w:sz w:val="32"/>
          <w:szCs w:val="32"/>
        </w:rPr>
        <w:t>8</w:t>
      </w:r>
      <w:r w:rsidR="002F78F1" w:rsidRPr="00313C55">
        <w:rPr>
          <w:rFonts w:ascii="仿宋_GB2312" w:eastAsia="仿宋_GB2312" w:hAnsi="Times New Roman" w:cs="Times New Roman" w:hint="eastAsia"/>
          <w:color w:val="000000" w:themeColor="text1"/>
          <w:sz w:val="32"/>
          <w:szCs w:val="32"/>
        </w:rPr>
        <w:t>0分的取消当期奖补资格（详见下表），得分小数点后忽略不计。</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401"/>
      </w:tblGrid>
      <w:tr w:rsidR="003569DC" w14:paraId="6556A094" w14:textId="77777777">
        <w:tc>
          <w:tcPr>
            <w:tcW w:w="3119" w:type="dxa"/>
            <w:tcBorders>
              <w:top w:val="single" w:sz="4" w:space="0" w:color="auto"/>
              <w:left w:val="single" w:sz="4" w:space="0" w:color="auto"/>
              <w:bottom w:val="single" w:sz="4" w:space="0" w:color="auto"/>
              <w:right w:val="single" w:sz="4" w:space="0" w:color="auto"/>
            </w:tcBorders>
          </w:tcPr>
          <w:p w14:paraId="74CDC341"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96-100分</w:t>
            </w:r>
          </w:p>
        </w:tc>
        <w:tc>
          <w:tcPr>
            <w:tcW w:w="5401" w:type="dxa"/>
            <w:tcBorders>
              <w:top w:val="single" w:sz="4" w:space="0" w:color="auto"/>
              <w:left w:val="single" w:sz="4" w:space="0" w:color="auto"/>
              <w:bottom w:val="single" w:sz="4" w:space="0" w:color="auto"/>
              <w:right w:val="single" w:sz="4" w:space="0" w:color="auto"/>
            </w:tcBorders>
          </w:tcPr>
          <w:p w14:paraId="08A8996D"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给予100%奖补资金</w:t>
            </w:r>
          </w:p>
        </w:tc>
      </w:tr>
      <w:tr w:rsidR="003569DC" w14:paraId="1B086C00" w14:textId="77777777">
        <w:tc>
          <w:tcPr>
            <w:tcW w:w="3119" w:type="dxa"/>
            <w:tcBorders>
              <w:top w:val="single" w:sz="4" w:space="0" w:color="auto"/>
              <w:left w:val="single" w:sz="4" w:space="0" w:color="auto"/>
              <w:bottom w:val="single" w:sz="4" w:space="0" w:color="auto"/>
              <w:right w:val="single" w:sz="4" w:space="0" w:color="auto"/>
            </w:tcBorders>
          </w:tcPr>
          <w:p w14:paraId="05EA7C45"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91-95分</w:t>
            </w:r>
          </w:p>
        </w:tc>
        <w:tc>
          <w:tcPr>
            <w:tcW w:w="5401" w:type="dxa"/>
            <w:tcBorders>
              <w:top w:val="single" w:sz="4" w:space="0" w:color="auto"/>
              <w:left w:val="single" w:sz="4" w:space="0" w:color="auto"/>
              <w:bottom w:val="single" w:sz="4" w:space="0" w:color="auto"/>
              <w:right w:val="single" w:sz="4" w:space="0" w:color="auto"/>
            </w:tcBorders>
          </w:tcPr>
          <w:p w14:paraId="45C54228"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给予90%奖补资金</w:t>
            </w:r>
          </w:p>
        </w:tc>
      </w:tr>
      <w:tr w:rsidR="003569DC" w14:paraId="6BB6447C" w14:textId="77777777">
        <w:tc>
          <w:tcPr>
            <w:tcW w:w="3119" w:type="dxa"/>
            <w:tcBorders>
              <w:top w:val="single" w:sz="4" w:space="0" w:color="auto"/>
              <w:left w:val="single" w:sz="4" w:space="0" w:color="auto"/>
              <w:bottom w:val="single" w:sz="4" w:space="0" w:color="auto"/>
              <w:right w:val="single" w:sz="4" w:space="0" w:color="auto"/>
            </w:tcBorders>
          </w:tcPr>
          <w:p w14:paraId="30234B46"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86-90分</w:t>
            </w:r>
          </w:p>
        </w:tc>
        <w:tc>
          <w:tcPr>
            <w:tcW w:w="5401" w:type="dxa"/>
            <w:tcBorders>
              <w:top w:val="single" w:sz="4" w:space="0" w:color="auto"/>
              <w:left w:val="single" w:sz="4" w:space="0" w:color="auto"/>
              <w:bottom w:val="single" w:sz="4" w:space="0" w:color="auto"/>
              <w:right w:val="single" w:sz="4" w:space="0" w:color="auto"/>
            </w:tcBorders>
          </w:tcPr>
          <w:p w14:paraId="11D6E9C2"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给予85%奖补资金</w:t>
            </w:r>
          </w:p>
        </w:tc>
      </w:tr>
      <w:tr w:rsidR="003569DC" w14:paraId="6E1172A1" w14:textId="77777777">
        <w:tc>
          <w:tcPr>
            <w:tcW w:w="3119" w:type="dxa"/>
            <w:tcBorders>
              <w:top w:val="single" w:sz="4" w:space="0" w:color="auto"/>
              <w:left w:val="single" w:sz="4" w:space="0" w:color="auto"/>
              <w:bottom w:val="single" w:sz="4" w:space="0" w:color="auto"/>
              <w:right w:val="single" w:sz="4" w:space="0" w:color="auto"/>
            </w:tcBorders>
          </w:tcPr>
          <w:p w14:paraId="7596B935"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80-85分</w:t>
            </w:r>
          </w:p>
        </w:tc>
        <w:tc>
          <w:tcPr>
            <w:tcW w:w="5401" w:type="dxa"/>
            <w:tcBorders>
              <w:top w:val="single" w:sz="4" w:space="0" w:color="auto"/>
              <w:left w:val="single" w:sz="4" w:space="0" w:color="auto"/>
              <w:bottom w:val="single" w:sz="4" w:space="0" w:color="auto"/>
              <w:right w:val="single" w:sz="4" w:space="0" w:color="auto"/>
            </w:tcBorders>
          </w:tcPr>
          <w:p w14:paraId="4E547A9A"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给予80%奖补资金</w:t>
            </w:r>
          </w:p>
        </w:tc>
      </w:tr>
      <w:tr w:rsidR="003569DC" w14:paraId="7FD721E9" w14:textId="77777777">
        <w:tc>
          <w:tcPr>
            <w:tcW w:w="3119" w:type="dxa"/>
            <w:tcBorders>
              <w:top w:val="single" w:sz="4" w:space="0" w:color="auto"/>
              <w:left w:val="single" w:sz="4" w:space="0" w:color="auto"/>
              <w:bottom w:val="single" w:sz="4" w:space="0" w:color="auto"/>
              <w:right w:val="single" w:sz="4" w:space="0" w:color="auto"/>
            </w:tcBorders>
          </w:tcPr>
          <w:p w14:paraId="72FD1566"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不足80分</w:t>
            </w:r>
          </w:p>
        </w:tc>
        <w:tc>
          <w:tcPr>
            <w:tcW w:w="5401" w:type="dxa"/>
            <w:tcBorders>
              <w:top w:val="single" w:sz="4" w:space="0" w:color="auto"/>
              <w:left w:val="single" w:sz="4" w:space="0" w:color="auto"/>
              <w:bottom w:val="single" w:sz="4" w:space="0" w:color="auto"/>
              <w:right w:val="single" w:sz="4" w:space="0" w:color="auto"/>
            </w:tcBorders>
          </w:tcPr>
          <w:p w14:paraId="24109064" w14:textId="77777777" w:rsidR="003569DC" w:rsidRPr="00313C55" w:rsidRDefault="002F78F1" w:rsidP="00055B9A">
            <w:pPr>
              <w:adjustRightInd w:val="0"/>
              <w:snapToGrid w:val="0"/>
              <w:spacing w:line="336" w:lineRule="auto"/>
              <w:rPr>
                <w:rFonts w:ascii="仿宋_GB2312" w:eastAsia="仿宋_GB2312" w:hAnsi="仿宋" w:cs="仿宋" w:hint="eastAsia"/>
                <w:color w:val="000000" w:themeColor="text1"/>
                <w:kern w:val="0"/>
                <w:sz w:val="28"/>
                <w:szCs w:val="28"/>
              </w:rPr>
            </w:pPr>
            <w:r w:rsidRPr="00313C55">
              <w:rPr>
                <w:rFonts w:ascii="仿宋_GB2312" w:eastAsia="仿宋_GB2312" w:hAnsi="仿宋" w:cs="仿宋" w:hint="eastAsia"/>
                <w:color w:val="000000" w:themeColor="text1"/>
                <w:kern w:val="0"/>
                <w:sz w:val="28"/>
                <w:szCs w:val="28"/>
              </w:rPr>
              <w:t>取消当期奖补资格</w:t>
            </w:r>
          </w:p>
        </w:tc>
      </w:tr>
    </w:tbl>
    <w:p w14:paraId="36B56BE0" w14:textId="5E80E827"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hint="eastAsia"/>
          <w:color w:val="000000" w:themeColor="text1"/>
          <w:sz w:val="32"/>
          <w:szCs w:val="32"/>
        </w:rPr>
      </w:pPr>
      <w:r w:rsidRPr="00313C55">
        <w:rPr>
          <w:rFonts w:ascii="仿宋_GB2312" w:eastAsia="仿宋_GB2312" w:hAnsi="Times New Roman" w:cs="Times New Roman" w:hint="eastAsia"/>
          <w:color w:val="000000" w:themeColor="text1"/>
          <w:sz w:val="32"/>
          <w:szCs w:val="32"/>
        </w:rPr>
        <w:lastRenderedPageBreak/>
        <w:t>4</w:t>
      </w:r>
      <w:r w:rsidR="00313C55" w:rsidRP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在一个考核周期内，面积1.5万平方米以上的公房小区和混合型小区（零星小区合并为一个物业管理区域的，面积1.5万平方米以下的原各零星小区除外），</w:t>
      </w:r>
      <w:r w:rsidRPr="00313C55">
        <w:rPr>
          <w:rFonts w:ascii="仿宋_GB2312" w:eastAsia="仿宋_GB2312" w:hAnsi="Times New Roman" w:cs="Times New Roman" w:hint="eastAsia"/>
          <w:color w:val="000000" w:themeColor="text1"/>
          <w:kern w:val="0"/>
          <w:sz w:val="32"/>
          <w:szCs w:val="32"/>
        </w:rPr>
        <w:t>各类房屋的</w:t>
      </w:r>
      <w:r w:rsidRPr="00313C55">
        <w:rPr>
          <w:rFonts w:ascii="仿宋_GB2312" w:eastAsia="仿宋_GB2312" w:hAnsi="Times New Roman" w:cs="Times New Roman" w:hint="eastAsia"/>
          <w:color w:val="000000" w:themeColor="text1"/>
          <w:sz w:val="32"/>
          <w:szCs w:val="32"/>
        </w:rPr>
        <w:t>物业费未全部达0.8元/平方米·月的，各月均按0.2元/平方米·月标准奖补；外区动迁房小区各类房屋的物业费未全部达0.8元/平方米·月的，各月均按0.1元/平方米·月标准奖补。</w:t>
      </w:r>
    </w:p>
    <w:p w14:paraId="1E5A8DE5" w14:textId="5F08A500"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hint="eastAsia"/>
          <w:color w:val="000000" w:themeColor="text1"/>
          <w:sz w:val="32"/>
          <w:szCs w:val="32"/>
        </w:rPr>
      </w:pPr>
      <w:r w:rsidRPr="00313C55">
        <w:rPr>
          <w:rFonts w:ascii="仿宋_GB2312" w:eastAsia="仿宋_GB2312" w:hAnsi="Times New Roman" w:cs="Times New Roman" w:hint="eastAsia"/>
          <w:color w:val="000000" w:themeColor="text1"/>
          <w:sz w:val="32"/>
          <w:szCs w:val="32"/>
        </w:rPr>
        <w:t>有下列情形的小区另行调扣奖补资金：</w:t>
      </w:r>
      <w:r w:rsidRPr="00313C55">
        <w:rPr>
          <w:rFonts w:ascii="仿宋_GB2312" w:eastAsia="仿宋_GB2312" w:hAnsi="仿宋" w:cs="Times New Roman" w:hint="eastAsia"/>
          <w:color w:val="000000" w:themeColor="text1"/>
          <w:sz w:val="32"/>
          <w:szCs w:val="32"/>
        </w:rPr>
        <w:t>⑴</w:t>
      </w:r>
      <w:r w:rsidRPr="00313C55">
        <w:rPr>
          <w:rFonts w:ascii="仿宋_GB2312" w:eastAsia="仿宋_GB2312" w:hAnsi="Times New Roman" w:cs="Times New Roman" w:hint="eastAsia"/>
          <w:color w:val="000000" w:themeColor="text1"/>
          <w:sz w:val="32"/>
          <w:szCs w:val="32"/>
        </w:rPr>
        <w:t>上海市生活垃圾分类评分未达标的小区，该期考核另扣0.05元/平方米/月的奖补资金；</w:t>
      </w:r>
      <w:r w:rsidRPr="00313C55">
        <w:rPr>
          <w:rFonts w:ascii="仿宋_GB2312" w:eastAsia="仿宋_GB2312" w:hAnsi="仿宋" w:cs="Times New Roman" w:hint="eastAsia"/>
          <w:color w:val="000000" w:themeColor="text1"/>
          <w:sz w:val="32"/>
          <w:szCs w:val="32"/>
        </w:rPr>
        <w:t>⑵</w:t>
      </w:r>
      <w:r w:rsidRPr="00313C55">
        <w:rPr>
          <w:rFonts w:ascii="仿宋_GB2312" w:eastAsia="仿宋_GB2312" w:hAnsi="Times New Roman" w:cs="Times New Roman" w:hint="eastAsia"/>
          <w:color w:val="000000" w:themeColor="text1"/>
          <w:sz w:val="32"/>
          <w:szCs w:val="32"/>
        </w:rPr>
        <w:t>物业服务企业失信行为累计记分达到6分、9分、12分、15分的小区，该期考核依次另扣0.03-0.06元/平方米/月的奖补资金</w:t>
      </w:r>
      <w:r w:rsidRPr="00313C55">
        <w:rPr>
          <w:rFonts w:ascii="仿宋_GB2312" w:eastAsia="仿宋_GB2312" w:hAnsi="仿宋" w:cs="Times New Roman" w:hint="eastAsia"/>
          <w:color w:val="000000" w:themeColor="text1"/>
          <w:sz w:val="32"/>
          <w:szCs w:val="32"/>
        </w:rPr>
        <w:t>。</w:t>
      </w:r>
    </w:p>
    <w:p w14:paraId="14C0BAFA" w14:textId="77777777" w:rsidR="003569DC" w:rsidRPr="00313C55" w:rsidRDefault="002F78F1" w:rsidP="00313C55">
      <w:pPr>
        <w:adjustRightInd w:val="0"/>
        <w:snapToGrid w:val="0"/>
        <w:spacing w:line="336" w:lineRule="auto"/>
        <w:ind w:firstLineChars="200" w:firstLine="640"/>
        <w:rPr>
          <w:rFonts w:ascii="黑体" w:eastAsia="黑体" w:hAnsi="黑体" w:cs="Times New Roman"/>
          <w:color w:val="000000" w:themeColor="text1"/>
          <w:sz w:val="32"/>
          <w:szCs w:val="32"/>
        </w:rPr>
      </w:pPr>
      <w:r w:rsidRPr="00313C55">
        <w:rPr>
          <w:rFonts w:ascii="黑体" w:eastAsia="黑体" w:hAnsi="黑体" w:cs="Times New Roman" w:hint="eastAsia"/>
          <w:color w:val="000000" w:themeColor="text1"/>
          <w:sz w:val="32"/>
          <w:szCs w:val="32"/>
        </w:rPr>
        <w:t>五</w:t>
      </w:r>
      <w:r w:rsidRPr="00313C55">
        <w:rPr>
          <w:rFonts w:ascii="黑体" w:eastAsia="黑体" w:hAnsi="黑体" w:cs="Times New Roman"/>
          <w:color w:val="000000" w:themeColor="text1"/>
          <w:sz w:val="32"/>
          <w:szCs w:val="32"/>
        </w:rPr>
        <w:t>、</w:t>
      </w:r>
      <w:r w:rsidRPr="00313C55">
        <w:rPr>
          <w:rFonts w:ascii="黑体" w:eastAsia="黑体" w:hAnsi="黑体" w:cs="Times New Roman" w:hint="eastAsia"/>
          <w:color w:val="000000" w:themeColor="text1"/>
          <w:sz w:val="32"/>
          <w:szCs w:val="32"/>
        </w:rPr>
        <w:t>退出</w:t>
      </w:r>
      <w:r w:rsidRPr="00313C55">
        <w:rPr>
          <w:rFonts w:ascii="黑体" w:eastAsia="黑体" w:hAnsi="黑体" w:cs="Times New Roman"/>
          <w:color w:val="000000" w:themeColor="text1"/>
          <w:sz w:val="32"/>
          <w:szCs w:val="32"/>
        </w:rPr>
        <w:t>机制</w:t>
      </w:r>
    </w:p>
    <w:p w14:paraId="14F5F373" w14:textId="77777777" w:rsidR="003569DC" w:rsidRPr="00313C55" w:rsidRDefault="002F78F1" w:rsidP="00313C55">
      <w:pPr>
        <w:adjustRightInd w:val="0"/>
        <w:snapToGrid w:val="0"/>
        <w:spacing w:line="336" w:lineRule="auto"/>
        <w:ind w:firstLineChars="200" w:firstLine="640"/>
        <w:rPr>
          <w:rFonts w:ascii="仿宋_GB2312" w:eastAsia="仿宋_GB2312" w:hAnsi="仿宋" w:cs="仿宋" w:hint="eastAsia"/>
          <w:color w:val="000000" w:themeColor="text1"/>
          <w:sz w:val="32"/>
          <w:szCs w:val="32"/>
        </w:rPr>
      </w:pPr>
      <w:r w:rsidRPr="00313C55">
        <w:rPr>
          <w:rFonts w:ascii="仿宋_GB2312" w:eastAsia="仿宋_GB2312" w:hAnsi="仿宋" w:cs="仿宋" w:hint="eastAsia"/>
          <w:bCs/>
          <w:color w:val="000000" w:themeColor="text1"/>
          <w:sz w:val="32"/>
          <w:szCs w:val="32"/>
        </w:rPr>
        <w:t>建立考核奖补退出机制。</w:t>
      </w:r>
      <w:r w:rsidRPr="00313C55">
        <w:rPr>
          <w:rFonts w:ascii="仿宋_GB2312" w:eastAsia="仿宋_GB2312" w:hAnsi="仿宋_GB2312" w:cs="仿宋_GB2312" w:hint="eastAsia"/>
          <w:color w:val="000000" w:themeColor="text1"/>
          <w:sz w:val="32"/>
          <w:szCs w:val="32"/>
        </w:rPr>
        <w:t>对一年内连续两次综合考评得分不足80分、连续两季度物业服务综合评价为C级、物业服务企业或者项目经理累计失信行为记分达18分、在共建小区年度专项审计中提供虚假审计资料、因物业管理失职发生人员伤亡安全责任事故的</w:t>
      </w:r>
      <w:r w:rsidRPr="00313C55">
        <w:rPr>
          <w:rFonts w:ascii="仿宋_GB2312" w:eastAsia="仿宋_GB2312" w:hAnsi="仿宋" w:cs="仿宋" w:hint="eastAsia"/>
          <w:color w:val="000000" w:themeColor="text1"/>
          <w:sz w:val="32"/>
          <w:szCs w:val="32"/>
        </w:rPr>
        <w:t>在管小区物业服务企业，实行一票否决制，取消当期及本轮政策后续各期的共建奖补资格。上述被取消共建奖补资格的小区，如重新选聘物业服务企业，新进物业服务企业符合准入条件的仍可申请共建奖补。</w:t>
      </w:r>
    </w:p>
    <w:p w14:paraId="087A1ACC" w14:textId="77777777" w:rsidR="003569DC" w:rsidRPr="00313C55" w:rsidRDefault="002F78F1" w:rsidP="00313C55">
      <w:pPr>
        <w:adjustRightInd w:val="0"/>
        <w:snapToGrid w:val="0"/>
        <w:spacing w:line="336" w:lineRule="auto"/>
        <w:ind w:firstLineChars="200" w:firstLine="640"/>
        <w:rPr>
          <w:rFonts w:ascii="仿宋_GB2312" w:eastAsia="仿宋_GB2312" w:hAnsi="仿宋_GB2312" w:cs="仿宋_GB2312" w:hint="eastAsia"/>
          <w:color w:val="000000" w:themeColor="text1"/>
          <w:sz w:val="32"/>
          <w:szCs w:val="32"/>
        </w:rPr>
      </w:pPr>
      <w:r w:rsidRPr="00313C55">
        <w:rPr>
          <w:rFonts w:ascii="仿宋_GB2312" w:eastAsia="仿宋_GB2312" w:hAnsi="仿宋_GB2312" w:cs="仿宋_GB2312" w:hint="eastAsia"/>
          <w:color w:val="000000" w:themeColor="text1"/>
          <w:sz w:val="32"/>
          <w:szCs w:val="32"/>
        </w:rPr>
        <w:t>由政府出资进行新一轮“美丽家园”专项提升改造的共建小区，改造项目竣</w:t>
      </w:r>
      <w:r w:rsidRPr="00313C55">
        <w:rPr>
          <w:rFonts w:ascii="仿宋_GB2312" w:eastAsia="仿宋_GB2312" w:hAnsi="仿宋" w:cs="仿宋" w:hint="eastAsia"/>
          <w:color w:val="000000" w:themeColor="text1"/>
          <w:sz w:val="32"/>
          <w:szCs w:val="32"/>
        </w:rPr>
        <w:t>工后第二年起不再列入共建范围</w:t>
      </w:r>
      <w:r w:rsidRPr="00313C55">
        <w:rPr>
          <w:rFonts w:ascii="仿宋_GB2312" w:eastAsia="仿宋_GB2312" w:hAnsi="仿宋_GB2312" w:cs="仿宋_GB2312" w:hint="eastAsia"/>
          <w:color w:val="000000" w:themeColor="text1"/>
          <w:sz w:val="32"/>
          <w:szCs w:val="32"/>
        </w:rPr>
        <w:t>。待本轮政策期满后，随着物业服务“质价相符”市场机制的逐步</w:t>
      </w:r>
      <w:r w:rsidRPr="00313C55">
        <w:rPr>
          <w:rFonts w:ascii="仿宋_GB2312" w:eastAsia="仿宋_GB2312" w:hAnsi="仿宋_GB2312" w:cs="仿宋_GB2312" w:hint="eastAsia"/>
          <w:color w:val="000000" w:themeColor="text1"/>
          <w:sz w:val="32"/>
          <w:szCs w:val="32"/>
        </w:rPr>
        <w:lastRenderedPageBreak/>
        <w:t>形成，政府考评奖补资金可以考虑适时退出。</w:t>
      </w:r>
    </w:p>
    <w:p w14:paraId="018B59DE" w14:textId="77777777" w:rsidR="003569DC" w:rsidRPr="00313C55" w:rsidRDefault="002F78F1" w:rsidP="00313C55">
      <w:pPr>
        <w:adjustRightInd w:val="0"/>
        <w:snapToGrid w:val="0"/>
        <w:spacing w:line="336" w:lineRule="auto"/>
        <w:ind w:firstLineChars="200" w:firstLine="640"/>
        <w:rPr>
          <w:rFonts w:ascii="黑体" w:eastAsia="黑体" w:hAnsi="黑体" w:cs="Times New Roman"/>
          <w:color w:val="000000" w:themeColor="text1"/>
          <w:sz w:val="32"/>
          <w:szCs w:val="32"/>
        </w:rPr>
      </w:pPr>
      <w:r w:rsidRPr="00313C55">
        <w:rPr>
          <w:rFonts w:ascii="黑体" w:eastAsia="黑体" w:hAnsi="黑体" w:cs="Times New Roman" w:hint="eastAsia"/>
          <w:color w:val="000000" w:themeColor="text1"/>
          <w:sz w:val="32"/>
          <w:szCs w:val="32"/>
        </w:rPr>
        <w:t>六、资金管理</w:t>
      </w:r>
    </w:p>
    <w:p w14:paraId="025358A9" w14:textId="77777777" w:rsidR="003569DC" w:rsidRPr="00313C55" w:rsidRDefault="002F78F1" w:rsidP="00313C55">
      <w:pPr>
        <w:adjustRightInd w:val="0"/>
        <w:snapToGrid w:val="0"/>
        <w:spacing w:line="336" w:lineRule="auto"/>
        <w:ind w:firstLineChars="200" w:firstLine="640"/>
        <w:rPr>
          <w:rFonts w:ascii="楷体" w:eastAsia="楷体" w:hAnsi="楷体" w:cs="Times New Roman"/>
          <w:color w:val="000000" w:themeColor="text1"/>
          <w:sz w:val="32"/>
          <w:szCs w:val="32"/>
        </w:rPr>
      </w:pPr>
      <w:r w:rsidRPr="00313C55">
        <w:rPr>
          <w:rFonts w:ascii="楷体" w:eastAsia="楷体" w:hAnsi="楷体" w:cs="Times New Roman" w:hint="eastAsia"/>
          <w:color w:val="000000" w:themeColor="text1"/>
          <w:sz w:val="32"/>
          <w:szCs w:val="32"/>
        </w:rPr>
        <w:t>（一）资金来源</w:t>
      </w:r>
    </w:p>
    <w:p w14:paraId="7F766E40" w14:textId="397482C9"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hint="eastAsia"/>
          <w:color w:val="000000" w:themeColor="text1"/>
          <w:sz w:val="32"/>
          <w:szCs w:val="32"/>
        </w:rPr>
      </w:pPr>
      <w:r w:rsidRPr="00313C55">
        <w:rPr>
          <w:rFonts w:ascii="仿宋_GB2312" w:eastAsia="仿宋_GB2312" w:hAnsi="仿宋" w:cs="仿宋" w:hint="eastAsia"/>
          <w:color w:val="000000" w:themeColor="text1"/>
          <w:sz w:val="32"/>
          <w:szCs w:val="32"/>
        </w:rPr>
        <w:t>在编制财政预算前，区房屋管理局牵头各街镇组织共建范围内小区申请参加下年度共建，确定共建考核奖补计划。</w:t>
      </w:r>
      <w:r w:rsidRPr="00313C55">
        <w:rPr>
          <w:rFonts w:ascii="仿宋_GB2312" w:eastAsia="仿宋_GB2312" w:hAnsi="Times New Roman" w:cs="Times New Roman" w:hint="eastAsia"/>
          <w:color w:val="000000" w:themeColor="text1"/>
          <w:sz w:val="32"/>
          <w:szCs w:val="32"/>
        </w:rPr>
        <w:t>区房屋管理局根据共建范围内小区情况，编制共建奖补资金预算，纳入本局区财力年度预算。共建奖补资金由区镇两级分担：</w:t>
      </w:r>
      <w:r w:rsidRPr="00313C55">
        <w:rPr>
          <w:rFonts w:ascii="仿宋_GB2312" w:eastAsia="仿宋_GB2312" w:hAnsi="仿宋" w:cs="Times New Roman" w:hint="eastAsia"/>
          <w:color w:val="000000" w:themeColor="text1"/>
          <w:sz w:val="32"/>
          <w:szCs w:val="32"/>
        </w:rPr>
        <w:t>⑴</w:t>
      </w:r>
      <w:r w:rsidRPr="00313C55">
        <w:rPr>
          <w:rFonts w:ascii="仿宋_GB2312" w:eastAsia="仿宋_GB2312" w:hAnsi="Times New Roman" w:cs="Times New Roman" w:hint="eastAsia"/>
          <w:color w:val="000000" w:themeColor="text1"/>
          <w:sz w:val="32"/>
          <w:szCs w:val="32"/>
        </w:rPr>
        <w:t>区属共建配套工作经费（第三方审计费用）由区财政承担，由区房屋管理局申请列支使用；</w:t>
      </w:r>
      <w:r w:rsidRPr="00313C55">
        <w:rPr>
          <w:rFonts w:ascii="仿宋_GB2312" w:eastAsia="仿宋_GB2312" w:hAnsi="仿宋" w:cs="Times New Roman" w:hint="eastAsia"/>
          <w:color w:val="000000" w:themeColor="text1"/>
          <w:sz w:val="32"/>
          <w:szCs w:val="32"/>
        </w:rPr>
        <w:t>⑵</w:t>
      </w:r>
      <w:r w:rsidRPr="00313C55">
        <w:rPr>
          <w:rFonts w:ascii="仿宋_GB2312" w:eastAsia="仿宋_GB2312" w:hAnsi="Times New Roman" w:cs="Times New Roman" w:hint="eastAsia"/>
          <w:color w:val="000000" w:themeColor="text1"/>
          <w:sz w:val="32"/>
          <w:szCs w:val="32"/>
        </w:rPr>
        <w:t>共建奖补资金中公房小区和混合型小区资金由区财政承担，各镇的外区动迁房小区资金由区、镇两级财政各承担50%，街道（莘庄工业区）的外区动迁房小区资金由区财政承担，其中区财政承担部分统一拨付街镇列支使用。</w:t>
      </w:r>
    </w:p>
    <w:p w14:paraId="45D72CCD" w14:textId="77777777" w:rsidR="003569DC" w:rsidRPr="00313C55" w:rsidRDefault="002F78F1" w:rsidP="00313C55">
      <w:pPr>
        <w:adjustRightInd w:val="0"/>
        <w:snapToGrid w:val="0"/>
        <w:spacing w:line="336" w:lineRule="auto"/>
        <w:ind w:firstLineChars="200" w:firstLine="640"/>
        <w:rPr>
          <w:rFonts w:ascii="楷体" w:eastAsia="楷体" w:hAnsi="楷体" w:cs="Times New Roman"/>
          <w:color w:val="000000" w:themeColor="text1"/>
          <w:sz w:val="32"/>
          <w:szCs w:val="32"/>
        </w:rPr>
      </w:pPr>
      <w:r w:rsidRPr="00313C55">
        <w:rPr>
          <w:rFonts w:ascii="楷体" w:eastAsia="楷体" w:hAnsi="楷体" w:cs="Times New Roman" w:hint="eastAsia"/>
          <w:color w:val="000000" w:themeColor="text1"/>
          <w:sz w:val="32"/>
          <w:szCs w:val="32"/>
        </w:rPr>
        <w:t>（二）资金申领</w:t>
      </w:r>
    </w:p>
    <w:p w14:paraId="7306197C" w14:textId="5C85E06C"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每半年</w:t>
      </w:r>
      <w:r w:rsidRPr="00313C55">
        <w:rPr>
          <w:rFonts w:ascii="仿宋_GB2312" w:eastAsia="仿宋_GB2312" w:hAnsi="Times New Roman" w:cs="Times New Roman" w:hint="eastAsia"/>
          <w:sz w:val="32"/>
          <w:szCs w:val="32"/>
        </w:rPr>
        <w:t>考评</w:t>
      </w:r>
      <w:r w:rsidRPr="00313C55">
        <w:rPr>
          <w:rFonts w:ascii="仿宋_GB2312" w:eastAsia="仿宋_GB2312" w:hAnsi="Times New Roman" w:cs="Times New Roman"/>
          <w:sz w:val="32"/>
          <w:szCs w:val="32"/>
        </w:rPr>
        <w:t>一次</w:t>
      </w:r>
      <w:r w:rsidRPr="00313C55">
        <w:rPr>
          <w:rFonts w:ascii="仿宋_GB2312" w:eastAsia="仿宋_GB2312" w:hAnsi="Times New Roman" w:cs="Times New Roman" w:hint="eastAsia"/>
          <w:sz w:val="32"/>
          <w:szCs w:val="32"/>
        </w:rPr>
        <w:t>，由小区物业服务企业提出书面申请并附相关申报材料，提交</w:t>
      </w:r>
      <w:r w:rsidR="000E3716" w:rsidRPr="00313C55">
        <w:rPr>
          <w:rFonts w:ascii="仿宋_GB2312" w:eastAsia="仿宋_GB2312" w:hAnsi="Times New Roman" w:cs="Times New Roman" w:hint="eastAsia"/>
          <w:sz w:val="32"/>
          <w:szCs w:val="32"/>
        </w:rPr>
        <w:t>各</w:t>
      </w:r>
      <w:r w:rsidRPr="00313C55">
        <w:rPr>
          <w:rFonts w:ascii="仿宋_GB2312" w:eastAsia="仿宋_GB2312" w:hAnsi="Times New Roman" w:cs="Times New Roman" w:hint="eastAsia"/>
          <w:sz w:val="32"/>
          <w:szCs w:val="32"/>
        </w:rPr>
        <w:t>街镇房管机构进行审核，</w:t>
      </w:r>
      <w:r w:rsidR="000E3716" w:rsidRPr="00313C55">
        <w:rPr>
          <w:rFonts w:ascii="仿宋_GB2312" w:eastAsia="仿宋_GB2312" w:hAnsi="Times New Roman" w:cs="Times New Roman" w:hint="eastAsia"/>
          <w:sz w:val="32"/>
          <w:szCs w:val="32"/>
        </w:rPr>
        <w:t>各</w:t>
      </w:r>
      <w:r w:rsidRPr="00313C55">
        <w:rPr>
          <w:rFonts w:ascii="仿宋_GB2312" w:eastAsia="仿宋_GB2312" w:hAnsi="Times New Roman" w:cs="Times New Roman" w:hint="eastAsia"/>
          <w:sz w:val="32"/>
          <w:szCs w:val="32"/>
        </w:rPr>
        <w:t>街镇房管机构</w:t>
      </w:r>
      <w:r w:rsidRPr="00313C55">
        <w:rPr>
          <w:rFonts w:ascii="仿宋_GB2312" w:eastAsia="仿宋_GB2312" w:hAnsi="Times New Roman" w:cs="Times New Roman" w:hint="eastAsia"/>
          <w:color w:val="000000" w:themeColor="text1"/>
          <w:sz w:val="32"/>
          <w:szCs w:val="32"/>
        </w:rPr>
        <w:t>牵头居民区党组织、居委会、业委会及相关职能部门对共建小区进行</w:t>
      </w:r>
      <w:r w:rsidRPr="00313C55">
        <w:rPr>
          <w:rFonts w:ascii="仿宋_GB2312" w:eastAsia="仿宋_GB2312" w:hAnsi="Times New Roman" w:cs="Times New Roman" w:hint="eastAsia"/>
          <w:sz w:val="32"/>
          <w:szCs w:val="32"/>
        </w:rPr>
        <w:t>考评</w:t>
      </w:r>
      <w:r w:rsidRPr="00313C55">
        <w:rPr>
          <w:rFonts w:ascii="仿宋_GB2312" w:eastAsia="仿宋_GB2312" w:hAnsi="Times New Roman" w:cs="Times New Roman" w:hint="eastAsia"/>
          <w:color w:val="000000" w:themeColor="text1"/>
          <w:sz w:val="32"/>
          <w:szCs w:val="32"/>
        </w:rPr>
        <w:t>后</w:t>
      </w:r>
      <w:r w:rsidRPr="00313C55">
        <w:rPr>
          <w:rFonts w:ascii="仿宋_GB2312" w:eastAsia="仿宋_GB2312" w:hAnsi="Times New Roman" w:cs="Times New Roman"/>
          <w:color w:val="000000" w:themeColor="text1"/>
          <w:sz w:val="32"/>
          <w:szCs w:val="32"/>
        </w:rPr>
        <w:t>，</w:t>
      </w:r>
      <w:r w:rsidRPr="00313C55">
        <w:rPr>
          <w:rFonts w:ascii="仿宋_GB2312" w:eastAsia="仿宋_GB2312" w:hAnsi="Times New Roman" w:cs="Times New Roman" w:hint="eastAsia"/>
          <w:color w:val="000000" w:themeColor="text1"/>
          <w:sz w:val="32"/>
          <w:szCs w:val="32"/>
        </w:rPr>
        <w:t>上报</w:t>
      </w:r>
      <w:r w:rsidR="00F316E1" w:rsidRPr="00313C55">
        <w:rPr>
          <w:rFonts w:ascii="仿宋_GB2312" w:eastAsia="仿宋_GB2312" w:hAnsi="Times New Roman" w:cs="Times New Roman" w:hint="eastAsia"/>
          <w:color w:val="000000" w:themeColor="text1"/>
          <w:sz w:val="32"/>
          <w:szCs w:val="32"/>
        </w:rPr>
        <w:t>各</w:t>
      </w:r>
      <w:r w:rsidRPr="00313C55">
        <w:rPr>
          <w:rFonts w:ascii="仿宋_GB2312" w:eastAsia="仿宋_GB2312" w:hAnsi="Times New Roman" w:cs="Times New Roman" w:hint="eastAsia"/>
          <w:color w:val="000000" w:themeColor="text1"/>
          <w:sz w:val="32"/>
          <w:szCs w:val="32"/>
        </w:rPr>
        <w:t>街镇核准进行综合评分（包括区级评价），</w:t>
      </w:r>
      <w:r w:rsidR="00F316E1" w:rsidRPr="00313C55">
        <w:rPr>
          <w:rFonts w:ascii="仿宋_GB2312" w:eastAsia="仿宋_GB2312" w:hAnsi="Times New Roman" w:cs="Times New Roman" w:hint="eastAsia"/>
          <w:color w:val="000000" w:themeColor="text1"/>
          <w:sz w:val="32"/>
          <w:szCs w:val="32"/>
        </w:rPr>
        <w:t>各</w:t>
      </w:r>
      <w:r w:rsidRPr="00313C55">
        <w:rPr>
          <w:rFonts w:ascii="仿宋_GB2312" w:eastAsia="仿宋_GB2312" w:hAnsi="Times New Roman" w:cs="Times New Roman" w:hint="eastAsia"/>
          <w:color w:val="000000" w:themeColor="text1"/>
          <w:sz w:val="32"/>
          <w:szCs w:val="32"/>
        </w:rPr>
        <w:t>街镇完成</w:t>
      </w:r>
      <w:r w:rsidRPr="00313C55">
        <w:rPr>
          <w:rFonts w:ascii="仿宋_GB2312" w:eastAsia="仿宋_GB2312" w:hAnsi="Times New Roman" w:cs="Times New Roman"/>
          <w:color w:val="000000" w:themeColor="text1"/>
          <w:sz w:val="32"/>
          <w:szCs w:val="32"/>
        </w:rPr>
        <w:t>综合评分后</w:t>
      </w:r>
      <w:r w:rsidRPr="00313C55">
        <w:rPr>
          <w:rFonts w:ascii="仿宋_GB2312" w:eastAsia="仿宋_GB2312" w:hAnsi="Times New Roman" w:cs="Times New Roman" w:hint="eastAsia"/>
          <w:color w:val="000000" w:themeColor="text1"/>
          <w:sz w:val="32"/>
          <w:szCs w:val="32"/>
        </w:rPr>
        <w:t>提交考评奖补资金申领表等相关材料至区房屋管理局复审，复审通过后，</w:t>
      </w:r>
      <w:r w:rsidR="00F316E1" w:rsidRPr="00313C55">
        <w:rPr>
          <w:rFonts w:ascii="仿宋_GB2312" w:eastAsia="仿宋_GB2312" w:hAnsi="Times New Roman" w:cs="Times New Roman" w:hint="eastAsia"/>
          <w:color w:val="000000" w:themeColor="text1"/>
          <w:sz w:val="32"/>
          <w:szCs w:val="32"/>
        </w:rPr>
        <w:t>各</w:t>
      </w:r>
      <w:r w:rsidRPr="00313C55">
        <w:rPr>
          <w:rFonts w:ascii="仿宋_GB2312" w:eastAsia="仿宋_GB2312" w:hAnsi="Times New Roman" w:cs="Times New Roman" w:hint="eastAsia"/>
          <w:color w:val="000000" w:themeColor="text1"/>
          <w:sz w:val="32"/>
          <w:szCs w:val="32"/>
        </w:rPr>
        <w:t>街镇根据考评结果下拨奖补资金至物业服务企业。</w:t>
      </w:r>
      <w:r w:rsidRPr="00313C55">
        <w:rPr>
          <w:rFonts w:ascii="仿宋_GB2312" w:eastAsia="仿宋_GB2312" w:hAnsi="Times New Roman" w:cs="Times New Roman"/>
          <w:color w:val="000000" w:themeColor="text1"/>
          <w:sz w:val="32"/>
          <w:szCs w:val="32"/>
        </w:rPr>
        <w:t>考核</w:t>
      </w:r>
      <w:r w:rsidRPr="00313C55">
        <w:rPr>
          <w:rFonts w:ascii="仿宋_GB2312" w:eastAsia="仿宋_GB2312" w:hAnsi="Times New Roman" w:cs="Times New Roman" w:hint="eastAsia"/>
          <w:color w:val="000000" w:themeColor="text1"/>
          <w:sz w:val="32"/>
          <w:szCs w:val="32"/>
        </w:rPr>
        <w:t>剩余项目化资金按照专款专用原则由各街镇报区房屋管理局审核后使用。</w:t>
      </w:r>
    </w:p>
    <w:p w14:paraId="33261848" w14:textId="77777777"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共建奖补资金通过财力结算下达至各镇，由各镇拨付至</w:t>
      </w:r>
      <w:r w:rsidRPr="00313C55">
        <w:rPr>
          <w:rFonts w:ascii="仿宋_GB2312" w:eastAsia="仿宋_GB2312" w:hAnsi="Times New Roman" w:cs="Times New Roman" w:hint="eastAsia"/>
          <w:color w:val="000000" w:themeColor="text1"/>
          <w:sz w:val="32"/>
          <w:szCs w:val="32"/>
        </w:rPr>
        <w:lastRenderedPageBreak/>
        <w:t>各共建小区所属物业服务企业；通过部门预算的方式下达</w:t>
      </w:r>
      <w:r w:rsidRPr="00313C55">
        <w:rPr>
          <w:rFonts w:ascii="仿宋_GB2312" w:eastAsia="仿宋_GB2312" w:hAnsi="Times New Roman" w:cs="Times New Roman"/>
          <w:color w:val="000000" w:themeColor="text1"/>
          <w:sz w:val="32"/>
          <w:szCs w:val="32"/>
        </w:rPr>
        <w:t>至各</w:t>
      </w:r>
      <w:r w:rsidRPr="00313C55">
        <w:rPr>
          <w:rFonts w:ascii="仿宋_GB2312" w:eastAsia="仿宋_GB2312" w:hAnsi="Times New Roman" w:cs="Times New Roman" w:hint="eastAsia"/>
          <w:color w:val="000000" w:themeColor="text1"/>
          <w:sz w:val="32"/>
          <w:szCs w:val="32"/>
        </w:rPr>
        <w:t>街道，由</w:t>
      </w:r>
      <w:r w:rsidRPr="00313C55">
        <w:rPr>
          <w:rFonts w:ascii="仿宋_GB2312" w:eastAsia="仿宋_GB2312" w:hAnsi="Times New Roman" w:cs="Times New Roman"/>
          <w:color w:val="000000" w:themeColor="text1"/>
          <w:sz w:val="32"/>
          <w:szCs w:val="32"/>
        </w:rPr>
        <w:t>各街道</w:t>
      </w:r>
      <w:r w:rsidRPr="00313C55">
        <w:rPr>
          <w:rFonts w:ascii="仿宋_GB2312" w:eastAsia="仿宋_GB2312" w:hAnsi="Times New Roman" w:cs="Times New Roman" w:hint="eastAsia"/>
          <w:color w:val="000000" w:themeColor="text1"/>
          <w:sz w:val="32"/>
          <w:szCs w:val="32"/>
        </w:rPr>
        <w:t xml:space="preserve">拨付至各共建小区所属物业服务企业。 </w:t>
      </w:r>
    </w:p>
    <w:p w14:paraId="2EEE68E3" w14:textId="77777777" w:rsidR="003569DC" w:rsidRPr="00313C55" w:rsidRDefault="002F78F1" w:rsidP="00313C55">
      <w:pPr>
        <w:adjustRightInd w:val="0"/>
        <w:snapToGrid w:val="0"/>
        <w:spacing w:line="336" w:lineRule="auto"/>
        <w:ind w:firstLineChars="200" w:firstLine="640"/>
        <w:rPr>
          <w:rFonts w:ascii="楷体" w:eastAsia="楷体" w:hAnsi="楷体" w:cs="Times New Roman"/>
          <w:color w:val="000000" w:themeColor="text1"/>
          <w:sz w:val="32"/>
          <w:szCs w:val="32"/>
        </w:rPr>
      </w:pPr>
      <w:r w:rsidRPr="00313C55">
        <w:rPr>
          <w:rFonts w:ascii="楷体" w:eastAsia="楷体" w:hAnsi="楷体" w:cs="Times New Roman" w:hint="eastAsia"/>
          <w:color w:val="000000" w:themeColor="text1"/>
          <w:sz w:val="32"/>
          <w:szCs w:val="32"/>
        </w:rPr>
        <w:t>（三）资金使用</w:t>
      </w:r>
    </w:p>
    <w:p w14:paraId="0F877CC3" w14:textId="39976637"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hint="eastAsia"/>
          <w:color w:val="000000" w:themeColor="text1"/>
          <w:sz w:val="32"/>
          <w:szCs w:val="32"/>
        </w:rPr>
      </w:pPr>
      <w:r w:rsidRPr="00313C55">
        <w:rPr>
          <w:rFonts w:ascii="仿宋_GB2312" w:eastAsia="仿宋_GB2312" w:hAnsi="Times New Roman" w:cs="Times New Roman" w:hint="eastAsia"/>
          <w:color w:val="000000" w:themeColor="text1"/>
          <w:sz w:val="32"/>
          <w:szCs w:val="32"/>
        </w:rPr>
        <w:t>1</w:t>
      </w:r>
      <w:r w:rsidR="00313C55" w:rsidRP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物业服务企业日常运行补贴：主要用于物业服务企业为提升小区服务能级所增加的人力成本以及“四保一管理”运行的维养费用；</w:t>
      </w:r>
    </w:p>
    <w:p w14:paraId="11546C80" w14:textId="2C1C1313"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hint="eastAsia"/>
          <w:color w:val="000000" w:themeColor="text1"/>
          <w:sz w:val="32"/>
          <w:szCs w:val="32"/>
        </w:rPr>
      </w:pPr>
      <w:r w:rsidRPr="00313C55">
        <w:rPr>
          <w:rFonts w:ascii="仿宋_GB2312" w:eastAsia="仿宋_GB2312" w:hAnsi="仿宋" w:cs="Times New Roman" w:hint="eastAsia"/>
          <w:color w:val="000000" w:themeColor="text1"/>
          <w:sz w:val="32"/>
          <w:szCs w:val="32"/>
        </w:rPr>
        <w:t>2</w:t>
      </w:r>
      <w:r w:rsidR="00313C55" w:rsidRPr="00313C55">
        <w:rPr>
          <w:rFonts w:ascii="仿宋_GB2312" w:eastAsia="仿宋_GB2312" w:hAnsi="仿宋"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考核剩余项目化扶持资金：各街镇结合年度共建奖补资金剩余情况，重点聚焦物业治理有成效、物业费调价成功、物业服务水平显著提升的共建小区，采取</w:t>
      </w:r>
      <w:r w:rsidR="00487F2A" w:rsidRPr="00313C55">
        <w:rPr>
          <w:rFonts w:ascii="仿宋_GB2312" w:eastAsia="仿宋_GB2312" w:hAnsi="Times New Roman" w:cs="Times New Roman" w:hint="eastAsia"/>
          <w:sz w:val="32"/>
          <w:szCs w:val="32"/>
        </w:rPr>
        <w:t>按实</w:t>
      </w:r>
      <w:r w:rsidRPr="00313C55">
        <w:rPr>
          <w:rFonts w:ascii="仿宋_GB2312" w:eastAsia="仿宋_GB2312" w:hAnsi="Times New Roman" w:cs="Times New Roman" w:hint="eastAsia"/>
          <w:color w:val="000000" w:themeColor="text1"/>
          <w:sz w:val="32"/>
          <w:szCs w:val="32"/>
        </w:rPr>
        <w:t>或部分补贴的方式，用于软件及硬件设施改造建设项目及小区民生类实事工程项目，在项目完成验收后，由各街镇拨付资金。</w:t>
      </w:r>
      <w:r w:rsidR="00382D05" w:rsidRPr="00313C55">
        <w:rPr>
          <w:rFonts w:ascii="仿宋_GB2312" w:eastAsia="仿宋_GB2312" w:hAnsi="Times New Roman" w:cs="Times New Roman" w:hint="eastAsia"/>
          <w:color w:val="000000" w:themeColor="text1"/>
          <w:sz w:val="32"/>
          <w:szCs w:val="32"/>
        </w:rPr>
        <w:t>各</w:t>
      </w:r>
      <w:r w:rsidRPr="00313C55">
        <w:rPr>
          <w:rFonts w:ascii="仿宋_GB2312" w:eastAsia="仿宋_GB2312" w:hAnsi="Times New Roman" w:cs="Times New Roman" w:hint="eastAsia"/>
          <w:color w:val="000000" w:themeColor="text1"/>
          <w:sz w:val="32"/>
          <w:szCs w:val="32"/>
        </w:rPr>
        <w:t>街镇的考核剩余项目化扶持资金在两年内未使用完的，区财政予以收回。</w:t>
      </w:r>
    </w:p>
    <w:p w14:paraId="1F20E0D2" w14:textId="77777777"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hint="eastAsia"/>
          <w:color w:val="000000" w:themeColor="text1"/>
          <w:sz w:val="32"/>
          <w:szCs w:val="32"/>
        </w:rPr>
      </w:pPr>
      <w:r w:rsidRPr="00313C55">
        <w:rPr>
          <w:rFonts w:ascii="仿宋_GB2312" w:eastAsia="仿宋_GB2312" w:hAnsi="仿宋_GB2312" w:cs="仿宋_GB2312" w:hint="eastAsia"/>
          <w:color w:val="000000" w:themeColor="text1"/>
          <w:sz w:val="32"/>
          <w:szCs w:val="32"/>
        </w:rPr>
        <w:t>区房屋管理局和区财政局要完善对各</w:t>
      </w:r>
      <w:r w:rsidRPr="00313C55">
        <w:rPr>
          <w:rFonts w:ascii="仿宋_GB2312" w:eastAsia="仿宋_GB2312" w:hAnsi="Times New Roman" w:cs="Times New Roman" w:hint="eastAsia"/>
          <w:color w:val="000000" w:themeColor="text1"/>
          <w:sz w:val="32"/>
          <w:szCs w:val="32"/>
        </w:rPr>
        <w:t>街镇</w:t>
      </w:r>
      <w:r w:rsidRPr="00313C55">
        <w:rPr>
          <w:rFonts w:ascii="仿宋_GB2312" w:eastAsia="仿宋_GB2312" w:hAnsi="仿宋_GB2312" w:cs="仿宋_GB2312" w:hint="eastAsia"/>
          <w:color w:val="000000" w:themeColor="text1"/>
          <w:sz w:val="32"/>
          <w:szCs w:val="32"/>
        </w:rPr>
        <w:t>共建资金使用的监督管理，委托第三方机构对全部共建小区的年度收支盈亏情况和物业费收缴情况进行专项审计。第三方审计费用列入区房屋管理局部门预算。</w:t>
      </w:r>
    </w:p>
    <w:p w14:paraId="5EBB7E07" w14:textId="77777777"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各街镇作为本辖区</w:t>
      </w:r>
      <w:r w:rsidRPr="00313C55">
        <w:rPr>
          <w:rFonts w:ascii="仿宋_GB2312" w:eastAsia="仿宋_GB2312" w:hAnsi="Times New Roman" w:cs="Times New Roman"/>
          <w:color w:val="000000" w:themeColor="text1"/>
          <w:sz w:val="32"/>
          <w:szCs w:val="32"/>
        </w:rPr>
        <w:t>共建资金使用的监管主体，</w:t>
      </w:r>
      <w:r w:rsidRPr="00313C55">
        <w:rPr>
          <w:rFonts w:ascii="仿宋_GB2312" w:eastAsia="仿宋_GB2312" w:hAnsi="Times New Roman" w:cs="Times New Roman" w:hint="eastAsia"/>
          <w:color w:val="000000" w:themeColor="text1"/>
          <w:sz w:val="32"/>
          <w:szCs w:val="32"/>
        </w:rPr>
        <w:t>要不断加强对共建小区物业服务企业的考核监督及业务指导，督促物业服务企业加强内部核算及项目管理，规范奖补资金的使用，严格遵守相关财经纪律及要求，并按国家有关规定进行会计核算。</w:t>
      </w:r>
    </w:p>
    <w:p w14:paraId="78635184" w14:textId="77777777" w:rsidR="003569DC" w:rsidRPr="00313C55" w:rsidRDefault="002F78F1" w:rsidP="00313C55">
      <w:pPr>
        <w:adjustRightInd w:val="0"/>
        <w:snapToGrid w:val="0"/>
        <w:spacing w:line="336" w:lineRule="auto"/>
        <w:ind w:firstLineChars="200" w:firstLine="640"/>
        <w:rPr>
          <w:rFonts w:ascii="黑体" w:eastAsia="黑体" w:hAnsi="黑体" w:cs="Times New Roman"/>
          <w:color w:val="000000" w:themeColor="text1"/>
          <w:sz w:val="32"/>
          <w:szCs w:val="32"/>
        </w:rPr>
      </w:pPr>
      <w:r w:rsidRPr="00313C55">
        <w:rPr>
          <w:rFonts w:ascii="黑体" w:eastAsia="黑体" w:hAnsi="黑体" w:cs="Times New Roman" w:hint="eastAsia"/>
          <w:color w:val="000000" w:themeColor="text1"/>
          <w:sz w:val="32"/>
          <w:szCs w:val="32"/>
        </w:rPr>
        <w:t>七</w:t>
      </w:r>
      <w:r w:rsidRPr="00313C55">
        <w:rPr>
          <w:rFonts w:ascii="黑体" w:eastAsia="黑体" w:hAnsi="黑体" w:cs="Times New Roman"/>
          <w:color w:val="000000" w:themeColor="text1"/>
          <w:sz w:val="32"/>
          <w:szCs w:val="32"/>
        </w:rPr>
        <w:t>、</w:t>
      </w:r>
      <w:r w:rsidRPr="00313C55">
        <w:rPr>
          <w:rFonts w:ascii="黑体" w:eastAsia="黑体" w:hAnsi="黑体" w:cs="Times New Roman" w:hint="eastAsia"/>
          <w:color w:val="000000" w:themeColor="text1"/>
          <w:sz w:val="32"/>
          <w:szCs w:val="32"/>
        </w:rPr>
        <w:t>相关</w:t>
      </w:r>
      <w:r w:rsidRPr="00313C55">
        <w:rPr>
          <w:rFonts w:ascii="黑体" w:eastAsia="黑体" w:hAnsi="黑体" w:cs="Times New Roman"/>
          <w:color w:val="000000" w:themeColor="text1"/>
          <w:sz w:val="32"/>
          <w:szCs w:val="32"/>
        </w:rPr>
        <w:t>附则</w:t>
      </w:r>
    </w:p>
    <w:p w14:paraId="5FB68743" w14:textId="4A509415" w:rsidR="003569DC" w:rsidRPr="00313C55" w:rsidRDefault="002F78F1"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1</w:t>
      </w:r>
      <w:r w:rsidR="00313C55" w:rsidRP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本办法自202</w:t>
      </w:r>
      <w:r w:rsidR="0044617A" w:rsidRPr="00313C55">
        <w:rPr>
          <w:rFonts w:ascii="仿宋_GB2312" w:eastAsia="仿宋_GB2312" w:hAnsi="Times New Roman" w:cs="Times New Roman"/>
          <w:color w:val="000000" w:themeColor="text1"/>
          <w:sz w:val="32"/>
          <w:szCs w:val="32"/>
        </w:rPr>
        <w:t>6</w:t>
      </w:r>
      <w:r w:rsidRPr="00313C55">
        <w:rPr>
          <w:rFonts w:ascii="仿宋_GB2312" w:eastAsia="仿宋_GB2312" w:hAnsi="Times New Roman" w:cs="Times New Roman" w:hint="eastAsia"/>
          <w:color w:val="000000" w:themeColor="text1"/>
          <w:sz w:val="32"/>
          <w:szCs w:val="32"/>
        </w:rPr>
        <w:t>年</w:t>
      </w:r>
      <w:r w:rsidR="0044617A" w:rsidRPr="00313C55">
        <w:rPr>
          <w:rFonts w:ascii="仿宋_GB2312" w:eastAsia="仿宋_GB2312" w:hAnsi="Times New Roman" w:cs="Times New Roman"/>
          <w:color w:val="000000" w:themeColor="text1"/>
          <w:sz w:val="32"/>
          <w:szCs w:val="32"/>
        </w:rPr>
        <w:t>1</w:t>
      </w:r>
      <w:r w:rsidRPr="00313C55">
        <w:rPr>
          <w:rFonts w:ascii="仿宋_GB2312" w:eastAsia="仿宋_GB2312" w:hAnsi="Times New Roman" w:cs="Times New Roman" w:hint="eastAsia"/>
          <w:color w:val="000000" w:themeColor="text1"/>
          <w:sz w:val="32"/>
          <w:szCs w:val="32"/>
        </w:rPr>
        <w:t>月</w:t>
      </w:r>
      <w:r w:rsidR="0044617A" w:rsidRPr="00313C55">
        <w:rPr>
          <w:rFonts w:ascii="仿宋_GB2312" w:eastAsia="仿宋_GB2312" w:hAnsi="Times New Roman" w:cs="Times New Roman"/>
          <w:color w:val="000000" w:themeColor="text1"/>
          <w:sz w:val="32"/>
          <w:szCs w:val="32"/>
        </w:rPr>
        <w:t>1</w:t>
      </w:r>
      <w:r w:rsidRPr="00313C55">
        <w:rPr>
          <w:rFonts w:ascii="仿宋_GB2312" w:eastAsia="仿宋_GB2312" w:hAnsi="Times New Roman" w:cs="Times New Roman" w:hint="eastAsia"/>
          <w:color w:val="000000" w:themeColor="text1"/>
          <w:sz w:val="32"/>
          <w:szCs w:val="32"/>
        </w:rPr>
        <w:t>日起施行，有效期至</w:t>
      </w:r>
      <w:r w:rsidRPr="00313C55">
        <w:rPr>
          <w:rFonts w:ascii="仿宋_GB2312" w:eastAsia="仿宋_GB2312" w:hAnsi="Times New Roman" w:cs="Times New Roman"/>
          <w:color w:val="000000" w:themeColor="text1"/>
          <w:sz w:val="32"/>
          <w:szCs w:val="32"/>
        </w:rPr>
        <w:t>2028</w:t>
      </w:r>
      <w:r w:rsidRPr="00313C55">
        <w:rPr>
          <w:rFonts w:ascii="仿宋_GB2312" w:eastAsia="仿宋_GB2312" w:hAnsi="Times New Roman" w:cs="Times New Roman" w:hint="eastAsia"/>
          <w:color w:val="000000" w:themeColor="text1"/>
          <w:sz w:val="32"/>
          <w:szCs w:val="32"/>
        </w:rPr>
        <w:lastRenderedPageBreak/>
        <w:t>年</w:t>
      </w:r>
      <w:r w:rsidR="0044617A" w:rsidRPr="00313C55">
        <w:rPr>
          <w:rFonts w:ascii="仿宋_GB2312" w:eastAsia="仿宋_GB2312" w:hAnsi="Times New Roman" w:cs="Times New Roman"/>
          <w:color w:val="000000" w:themeColor="text1"/>
          <w:sz w:val="32"/>
          <w:szCs w:val="32"/>
        </w:rPr>
        <w:t>12</w:t>
      </w:r>
      <w:r w:rsidRPr="00313C55">
        <w:rPr>
          <w:rFonts w:ascii="仿宋_GB2312" w:eastAsia="仿宋_GB2312" w:hAnsi="Times New Roman" w:cs="Times New Roman" w:hint="eastAsia"/>
          <w:color w:val="000000" w:themeColor="text1"/>
          <w:sz w:val="32"/>
          <w:szCs w:val="32"/>
        </w:rPr>
        <w:t>月</w:t>
      </w:r>
      <w:r w:rsidR="0044617A" w:rsidRPr="00313C55">
        <w:rPr>
          <w:rFonts w:ascii="仿宋_GB2312" w:eastAsia="仿宋_GB2312" w:hAnsi="Times New Roman" w:cs="Times New Roman"/>
          <w:color w:val="000000" w:themeColor="text1"/>
          <w:sz w:val="32"/>
          <w:szCs w:val="32"/>
        </w:rPr>
        <w:t>31</w:t>
      </w:r>
      <w:r w:rsidRPr="00313C55">
        <w:rPr>
          <w:rFonts w:ascii="仿宋_GB2312" w:eastAsia="仿宋_GB2312" w:hAnsi="Times New Roman" w:cs="Times New Roman" w:hint="eastAsia"/>
          <w:color w:val="000000" w:themeColor="text1"/>
          <w:sz w:val="32"/>
          <w:szCs w:val="32"/>
        </w:rPr>
        <w:t>日</w:t>
      </w:r>
      <w:r w:rsidR="005964E8" w:rsidRPr="00313C55">
        <w:rPr>
          <w:rFonts w:ascii="仿宋_GB2312" w:eastAsia="仿宋_GB2312" w:hAnsi="Times New Roman" w:cs="Times New Roman" w:hint="eastAsia"/>
          <w:color w:val="000000" w:themeColor="text1"/>
          <w:sz w:val="32"/>
          <w:szCs w:val="32"/>
        </w:rPr>
        <w:t>止</w:t>
      </w:r>
      <w:r w:rsidRPr="00313C55">
        <w:rPr>
          <w:rFonts w:ascii="仿宋_GB2312" w:eastAsia="仿宋_GB2312" w:hAnsi="Times New Roman" w:cs="Times New Roman" w:hint="eastAsia"/>
          <w:color w:val="000000" w:themeColor="text1"/>
          <w:sz w:val="32"/>
          <w:szCs w:val="32"/>
        </w:rPr>
        <w:t>。如</w:t>
      </w:r>
      <w:r w:rsidRPr="00313C55">
        <w:rPr>
          <w:rFonts w:ascii="仿宋_GB2312" w:eastAsia="仿宋_GB2312" w:hAnsi="Times New Roman" w:cs="Times New Roman"/>
          <w:color w:val="000000" w:themeColor="text1"/>
          <w:sz w:val="32"/>
          <w:szCs w:val="32"/>
        </w:rPr>
        <w:t>与上级政策有不一致之处，以上级政策规定为准。</w:t>
      </w:r>
    </w:p>
    <w:p w14:paraId="77353790" w14:textId="10ACF726" w:rsidR="003569DC" w:rsidRPr="00313C55" w:rsidRDefault="008B7202" w:rsidP="00313C55">
      <w:pPr>
        <w:adjustRightInd w:val="0"/>
        <w:snapToGrid w:val="0"/>
        <w:spacing w:line="336" w:lineRule="auto"/>
        <w:ind w:firstLineChars="200" w:firstLine="64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2</w:t>
      </w:r>
      <w:r w:rsidR="00313C55" w:rsidRPr="00313C55">
        <w:rPr>
          <w:rFonts w:ascii="仿宋_GB2312" w:eastAsia="仿宋_GB2312" w:hAnsi="Times New Roman" w:cs="Times New Roman" w:hint="eastAsia"/>
          <w:color w:val="000000" w:themeColor="text1"/>
          <w:sz w:val="32"/>
          <w:szCs w:val="32"/>
        </w:rPr>
        <w:t>、</w:t>
      </w:r>
      <w:r w:rsidR="002F78F1" w:rsidRPr="00313C55">
        <w:rPr>
          <w:rFonts w:ascii="仿宋_GB2312" w:eastAsia="仿宋_GB2312" w:hAnsi="Times New Roman" w:cs="Times New Roman" w:hint="eastAsia"/>
          <w:color w:val="000000" w:themeColor="text1"/>
          <w:sz w:val="32"/>
          <w:szCs w:val="32"/>
        </w:rPr>
        <w:t>本</w:t>
      </w:r>
      <w:r w:rsidR="002F78F1" w:rsidRPr="00313C55">
        <w:rPr>
          <w:rFonts w:ascii="仿宋_GB2312" w:eastAsia="仿宋_GB2312" w:hAnsi="Times New Roman" w:cs="Times New Roman"/>
          <w:color w:val="000000" w:themeColor="text1"/>
          <w:sz w:val="32"/>
          <w:szCs w:val="32"/>
        </w:rPr>
        <w:t>办法</w:t>
      </w:r>
      <w:r w:rsidR="002F78F1" w:rsidRPr="00313C55">
        <w:rPr>
          <w:rFonts w:ascii="仿宋_GB2312" w:eastAsia="仿宋_GB2312" w:hAnsi="Times New Roman" w:cs="Times New Roman" w:hint="eastAsia"/>
          <w:color w:val="000000" w:themeColor="text1"/>
          <w:sz w:val="32"/>
          <w:szCs w:val="32"/>
        </w:rPr>
        <w:t>由</w:t>
      </w:r>
      <w:r w:rsidR="002F78F1" w:rsidRPr="00313C55">
        <w:rPr>
          <w:rFonts w:ascii="仿宋_GB2312" w:eastAsia="仿宋_GB2312" w:hAnsi="Times New Roman" w:cs="Times New Roman"/>
          <w:color w:val="000000" w:themeColor="text1"/>
          <w:sz w:val="32"/>
          <w:szCs w:val="32"/>
        </w:rPr>
        <w:t>区房屋管理局</w:t>
      </w:r>
      <w:r w:rsidR="002F78F1" w:rsidRPr="00313C55">
        <w:rPr>
          <w:rFonts w:ascii="仿宋_GB2312" w:eastAsia="仿宋_GB2312" w:hAnsi="Times New Roman" w:cs="Times New Roman" w:hint="eastAsia"/>
          <w:sz w:val="32"/>
          <w:szCs w:val="32"/>
        </w:rPr>
        <w:t>、区财政局</w:t>
      </w:r>
      <w:r w:rsidR="002F78F1" w:rsidRPr="00313C55">
        <w:rPr>
          <w:rFonts w:ascii="仿宋_GB2312" w:eastAsia="仿宋_GB2312" w:hAnsi="Times New Roman" w:cs="Times New Roman"/>
          <w:color w:val="000000" w:themeColor="text1"/>
          <w:sz w:val="32"/>
          <w:szCs w:val="32"/>
        </w:rPr>
        <w:t>负责解释。</w:t>
      </w:r>
    </w:p>
    <w:p w14:paraId="07CA9B17" w14:textId="77777777" w:rsidR="00055B9A" w:rsidRDefault="00055B9A" w:rsidP="00313C55">
      <w:pPr>
        <w:adjustRightInd w:val="0"/>
        <w:snapToGrid w:val="0"/>
        <w:spacing w:line="336" w:lineRule="auto"/>
        <w:rPr>
          <w:rFonts w:ascii="仿宋_GB2312" w:eastAsia="仿宋_GB2312" w:hAnsi="Times New Roman" w:cs="Times New Roman"/>
          <w:color w:val="000000" w:themeColor="text1"/>
          <w:sz w:val="30"/>
          <w:szCs w:val="30"/>
        </w:rPr>
      </w:pPr>
    </w:p>
    <w:p w14:paraId="4DA664B2" w14:textId="53F4EF1C" w:rsidR="003569DC" w:rsidRPr="00313C55" w:rsidRDefault="002F78F1" w:rsidP="00313C55">
      <w:pPr>
        <w:adjustRightInd w:val="0"/>
        <w:snapToGrid w:val="0"/>
        <w:spacing w:line="336" w:lineRule="auto"/>
        <w:ind w:firstLineChars="200" w:firstLine="643"/>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b/>
          <w:color w:val="000000" w:themeColor="text1"/>
          <w:sz w:val="32"/>
          <w:szCs w:val="32"/>
        </w:rPr>
        <w:t>附件</w:t>
      </w:r>
      <w:r w:rsidR="00313C55" w:rsidRPr="00313C55">
        <w:rPr>
          <w:rFonts w:ascii="仿宋_GB2312" w:eastAsia="仿宋_GB2312" w:hAnsi="Times New Roman" w:cs="Times New Roman" w:hint="eastAsia"/>
          <w:b/>
          <w:color w:val="000000" w:themeColor="text1"/>
          <w:sz w:val="32"/>
          <w:szCs w:val="32"/>
        </w:rPr>
        <w:t>：</w:t>
      </w:r>
      <w:r w:rsidRPr="00313C55">
        <w:rPr>
          <w:rFonts w:ascii="仿宋_GB2312" w:eastAsia="仿宋_GB2312" w:hAnsi="Times New Roman" w:cs="Times New Roman" w:hint="eastAsia"/>
          <w:color w:val="000000" w:themeColor="text1"/>
          <w:sz w:val="32"/>
          <w:szCs w:val="32"/>
        </w:rPr>
        <w:t>1</w:t>
      </w:r>
      <w:r w:rsid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关于加入闵行区物业管理共建小区的申请</w:t>
      </w:r>
    </w:p>
    <w:p w14:paraId="2D49C84B" w14:textId="094AA1F2" w:rsidR="003569DC" w:rsidRPr="00313C55" w:rsidRDefault="002F78F1" w:rsidP="00313C55">
      <w:pPr>
        <w:adjustRightInd w:val="0"/>
        <w:snapToGrid w:val="0"/>
        <w:spacing w:line="336" w:lineRule="auto"/>
        <w:ind w:leftChars="772" w:left="2101" w:hangingChars="150" w:hanging="480"/>
        <w:rPr>
          <w:rFonts w:ascii="仿宋_GB2312" w:eastAsia="仿宋_GB2312" w:hAnsi="Times New Roman" w:cs="Times New Roman"/>
          <w:sz w:val="32"/>
          <w:szCs w:val="32"/>
        </w:rPr>
      </w:pPr>
      <w:r w:rsidRPr="00313C55">
        <w:rPr>
          <w:rFonts w:ascii="仿宋_GB2312" w:eastAsia="仿宋_GB2312" w:hAnsi="Times New Roman" w:cs="Times New Roman" w:hint="eastAsia"/>
          <w:color w:val="000000" w:themeColor="text1"/>
          <w:sz w:val="32"/>
          <w:szCs w:val="32"/>
        </w:rPr>
        <w:t>2</w:t>
      </w:r>
      <w:r w:rsid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闵行区物业管理共建评价指标</w:t>
      </w:r>
      <w:r w:rsidRPr="00313C55">
        <w:rPr>
          <w:rFonts w:ascii="仿宋_GB2312" w:eastAsia="仿宋_GB2312" w:hAnsi="Times New Roman" w:cs="Times New Roman" w:hint="eastAsia"/>
          <w:sz w:val="32"/>
          <w:szCs w:val="32"/>
        </w:rPr>
        <w:t>（业委会</w:t>
      </w:r>
      <w:r w:rsidRPr="00313C55">
        <w:rPr>
          <w:rFonts w:ascii="仿宋_GB2312" w:eastAsia="仿宋_GB2312" w:hAnsi="Times New Roman" w:cs="Times New Roman"/>
          <w:sz w:val="32"/>
          <w:szCs w:val="32"/>
        </w:rPr>
        <w:t>、居委会</w:t>
      </w:r>
      <w:r w:rsidRPr="00313C55">
        <w:rPr>
          <w:rFonts w:ascii="仿宋_GB2312" w:eastAsia="仿宋_GB2312" w:hAnsi="Times New Roman" w:cs="Times New Roman" w:hint="eastAsia"/>
          <w:sz w:val="32"/>
          <w:szCs w:val="32"/>
        </w:rPr>
        <w:t>、</w:t>
      </w:r>
      <w:r w:rsidRPr="00313C55">
        <w:rPr>
          <w:rFonts w:ascii="仿宋_GB2312" w:eastAsia="仿宋_GB2312" w:hAnsi="Times New Roman" w:cs="Times New Roman"/>
          <w:sz w:val="32"/>
          <w:szCs w:val="32"/>
        </w:rPr>
        <w:t>街镇</w:t>
      </w:r>
      <w:r w:rsidRPr="00313C55">
        <w:rPr>
          <w:rFonts w:ascii="仿宋_GB2312" w:eastAsia="仿宋_GB2312" w:hAnsi="Times New Roman" w:cs="Times New Roman" w:hint="eastAsia"/>
          <w:sz w:val="32"/>
          <w:szCs w:val="32"/>
        </w:rPr>
        <w:t>和</w:t>
      </w:r>
      <w:r w:rsidRPr="00313C55">
        <w:rPr>
          <w:rFonts w:ascii="仿宋_GB2312" w:eastAsia="仿宋_GB2312" w:hAnsi="Times New Roman" w:cs="Times New Roman"/>
          <w:sz w:val="32"/>
          <w:szCs w:val="32"/>
        </w:rPr>
        <w:t>区级部门</w:t>
      </w:r>
      <w:r w:rsidRPr="00313C55">
        <w:rPr>
          <w:rFonts w:ascii="仿宋_GB2312" w:eastAsia="仿宋_GB2312" w:hAnsi="Times New Roman" w:cs="Times New Roman" w:hint="eastAsia"/>
          <w:sz w:val="32"/>
          <w:szCs w:val="32"/>
        </w:rPr>
        <w:t>对</w:t>
      </w:r>
      <w:r w:rsidRPr="00313C55">
        <w:rPr>
          <w:rFonts w:ascii="仿宋_GB2312" w:eastAsia="仿宋_GB2312" w:hAnsi="Times New Roman" w:cs="Times New Roman"/>
          <w:sz w:val="32"/>
          <w:szCs w:val="32"/>
        </w:rPr>
        <w:t>物业</w:t>
      </w:r>
      <w:r w:rsidRPr="00313C55">
        <w:rPr>
          <w:rFonts w:ascii="仿宋_GB2312" w:eastAsia="仿宋_GB2312" w:hAnsi="Times New Roman" w:cs="Times New Roman" w:hint="eastAsia"/>
          <w:sz w:val="32"/>
          <w:szCs w:val="32"/>
        </w:rPr>
        <w:t>服务</w:t>
      </w:r>
      <w:r w:rsidRPr="00313C55">
        <w:rPr>
          <w:rFonts w:ascii="仿宋_GB2312" w:eastAsia="仿宋_GB2312" w:hAnsi="Times New Roman" w:cs="Times New Roman"/>
          <w:sz w:val="32"/>
          <w:szCs w:val="32"/>
        </w:rPr>
        <w:t>情况的评价</w:t>
      </w:r>
      <w:r w:rsidRPr="00313C55">
        <w:rPr>
          <w:rFonts w:ascii="仿宋_GB2312" w:eastAsia="仿宋_GB2312" w:hAnsi="Times New Roman" w:cs="Times New Roman" w:hint="eastAsia"/>
          <w:sz w:val="32"/>
          <w:szCs w:val="32"/>
        </w:rPr>
        <w:t>）</w:t>
      </w:r>
    </w:p>
    <w:p w14:paraId="310E5E46" w14:textId="44EAE7A7" w:rsidR="003569DC" w:rsidRPr="00313C55" w:rsidRDefault="002F78F1" w:rsidP="00313C55">
      <w:pPr>
        <w:adjustRightInd w:val="0"/>
        <w:snapToGrid w:val="0"/>
        <w:spacing w:line="336" w:lineRule="auto"/>
        <w:ind w:leftChars="750" w:left="1895" w:hangingChars="100" w:hanging="32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hint="eastAsia"/>
          <w:color w:val="000000" w:themeColor="text1"/>
          <w:sz w:val="32"/>
          <w:szCs w:val="32"/>
        </w:rPr>
        <w:t>3</w:t>
      </w:r>
      <w:r w:rsid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闵行区住宅小区物业管理共建活动奖补资金申领表</w:t>
      </w:r>
    </w:p>
    <w:p w14:paraId="3F5F3760" w14:textId="7B61B1C5" w:rsidR="003569DC" w:rsidRPr="00313C55" w:rsidRDefault="002F78F1" w:rsidP="00313C55">
      <w:pPr>
        <w:adjustRightInd w:val="0"/>
        <w:snapToGrid w:val="0"/>
        <w:spacing w:line="336" w:lineRule="auto"/>
        <w:ind w:leftChars="750" w:left="1895" w:hangingChars="100" w:hanging="32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color w:val="000000" w:themeColor="text1"/>
          <w:sz w:val="32"/>
          <w:szCs w:val="32"/>
        </w:rPr>
        <w:t>4</w:t>
      </w:r>
      <w:r w:rsid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闵行区住宅小区物业管理共建活动奖补资金申领汇总表</w:t>
      </w:r>
    </w:p>
    <w:p w14:paraId="7A9E9609" w14:textId="6AC403E9" w:rsidR="00055B9A" w:rsidRPr="00313C55" w:rsidRDefault="002F78F1" w:rsidP="008C1190">
      <w:pPr>
        <w:adjustRightInd w:val="0"/>
        <w:snapToGrid w:val="0"/>
        <w:spacing w:line="336" w:lineRule="auto"/>
        <w:ind w:leftChars="750" w:left="1895" w:hangingChars="100" w:hanging="320"/>
        <w:rPr>
          <w:rFonts w:ascii="仿宋_GB2312" w:eastAsia="仿宋_GB2312" w:hAnsi="Times New Roman" w:cs="Times New Roman"/>
          <w:color w:val="000000" w:themeColor="text1"/>
          <w:sz w:val="32"/>
          <w:szCs w:val="32"/>
        </w:rPr>
      </w:pPr>
      <w:r w:rsidRPr="00313C55">
        <w:rPr>
          <w:rFonts w:ascii="仿宋_GB2312" w:eastAsia="仿宋_GB2312" w:hAnsi="Times New Roman" w:cs="Times New Roman"/>
          <w:color w:val="000000" w:themeColor="text1"/>
          <w:sz w:val="32"/>
          <w:szCs w:val="32"/>
        </w:rPr>
        <w:t>5</w:t>
      </w:r>
      <w:r w:rsidR="00313C55">
        <w:rPr>
          <w:rFonts w:ascii="仿宋_GB2312" w:eastAsia="仿宋_GB2312" w:hAnsi="Times New Roman" w:cs="Times New Roman" w:hint="eastAsia"/>
          <w:color w:val="000000" w:themeColor="text1"/>
          <w:sz w:val="32"/>
          <w:szCs w:val="32"/>
        </w:rPr>
        <w:t>、</w:t>
      </w:r>
      <w:r w:rsidRPr="00313C55">
        <w:rPr>
          <w:rFonts w:ascii="仿宋_GB2312" w:eastAsia="仿宋_GB2312" w:hAnsi="Times New Roman" w:cs="Times New Roman" w:hint="eastAsia"/>
          <w:color w:val="000000" w:themeColor="text1"/>
          <w:sz w:val="32"/>
          <w:szCs w:val="32"/>
        </w:rPr>
        <w:t>闵行区住宅小区物业管理共建考核</w:t>
      </w:r>
      <w:r w:rsidRPr="00313C55">
        <w:rPr>
          <w:rFonts w:ascii="仿宋_GB2312" w:eastAsia="仿宋_GB2312" w:hAnsi="Times New Roman" w:cs="Times New Roman"/>
          <w:color w:val="000000" w:themeColor="text1"/>
          <w:sz w:val="32"/>
          <w:szCs w:val="32"/>
        </w:rPr>
        <w:t>剩余</w:t>
      </w:r>
      <w:r w:rsidRPr="00313C55">
        <w:rPr>
          <w:rFonts w:ascii="仿宋_GB2312" w:eastAsia="仿宋_GB2312" w:hAnsi="Times New Roman" w:cs="Times New Roman" w:hint="eastAsia"/>
          <w:color w:val="000000" w:themeColor="text1"/>
          <w:sz w:val="32"/>
          <w:szCs w:val="32"/>
        </w:rPr>
        <w:t>项目化扶持资金使用申请表</w:t>
      </w:r>
      <w:bookmarkStart w:id="0" w:name="_GoBack"/>
      <w:bookmarkEnd w:id="0"/>
    </w:p>
    <w:sectPr w:rsidR="00055B9A" w:rsidRPr="00313C5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E0CFE" w14:textId="77777777" w:rsidR="00862921" w:rsidRDefault="00862921">
      <w:r>
        <w:separator/>
      </w:r>
    </w:p>
  </w:endnote>
  <w:endnote w:type="continuationSeparator" w:id="0">
    <w:p w14:paraId="49652C70" w14:textId="77777777" w:rsidR="00862921" w:rsidRDefault="0086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91616"/>
    </w:sdtPr>
    <w:sdtEndPr/>
    <w:sdtContent>
      <w:p w14:paraId="412D916F" w14:textId="56F0C6B6" w:rsidR="003569DC" w:rsidRDefault="002F78F1">
        <w:pPr>
          <w:pStyle w:val="a4"/>
          <w:jc w:val="center"/>
        </w:pPr>
        <w:r>
          <w:fldChar w:fldCharType="begin"/>
        </w:r>
        <w:r>
          <w:instrText>PAGE   \* MERGEFORMAT</w:instrText>
        </w:r>
        <w:r>
          <w:fldChar w:fldCharType="separate"/>
        </w:r>
        <w:r w:rsidR="008C1190" w:rsidRPr="008C1190">
          <w:rPr>
            <w:noProof/>
            <w:lang w:val="zh-CN"/>
          </w:rPr>
          <w:t>5</w:t>
        </w:r>
        <w:r>
          <w:fldChar w:fldCharType="end"/>
        </w:r>
      </w:p>
    </w:sdtContent>
  </w:sdt>
  <w:p w14:paraId="5A26F6FF" w14:textId="77777777" w:rsidR="003569DC" w:rsidRDefault="003569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FF120" w14:textId="77777777" w:rsidR="00862921" w:rsidRDefault="00862921">
      <w:r>
        <w:separator/>
      </w:r>
    </w:p>
  </w:footnote>
  <w:footnote w:type="continuationSeparator" w:id="0">
    <w:p w14:paraId="242F25CC" w14:textId="77777777" w:rsidR="00862921" w:rsidRDefault="0086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YWQ5N2M4NTY2ODhjMzliYTlkZmMwOGMxMTFmNzgifQ=="/>
  </w:docVars>
  <w:rsids>
    <w:rsidRoot w:val="00DE0FB7"/>
    <w:rsid w:val="00001EC5"/>
    <w:rsid w:val="0000285D"/>
    <w:rsid w:val="00016A53"/>
    <w:rsid w:val="0003000F"/>
    <w:rsid w:val="00036B36"/>
    <w:rsid w:val="00044304"/>
    <w:rsid w:val="0004653F"/>
    <w:rsid w:val="00055B9A"/>
    <w:rsid w:val="000604FB"/>
    <w:rsid w:val="000836FF"/>
    <w:rsid w:val="0009048C"/>
    <w:rsid w:val="000B6125"/>
    <w:rsid w:val="000D08BB"/>
    <w:rsid w:val="000E3716"/>
    <w:rsid w:val="001072DB"/>
    <w:rsid w:val="00114127"/>
    <w:rsid w:val="00117226"/>
    <w:rsid w:val="0012341C"/>
    <w:rsid w:val="00137B75"/>
    <w:rsid w:val="0014493E"/>
    <w:rsid w:val="00144DDD"/>
    <w:rsid w:val="001465C8"/>
    <w:rsid w:val="00150ADC"/>
    <w:rsid w:val="00174242"/>
    <w:rsid w:val="00177407"/>
    <w:rsid w:val="0018340A"/>
    <w:rsid w:val="00184202"/>
    <w:rsid w:val="0019125C"/>
    <w:rsid w:val="00191438"/>
    <w:rsid w:val="00192314"/>
    <w:rsid w:val="001B6A91"/>
    <w:rsid w:val="001C1418"/>
    <w:rsid w:val="001C4108"/>
    <w:rsid w:val="001C5573"/>
    <w:rsid w:val="001D0BB5"/>
    <w:rsid w:val="001E0E70"/>
    <w:rsid w:val="001E5638"/>
    <w:rsid w:val="001E6CFA"/>
    <w:rsid w:val="00222C18"/>
    <w:rsid w:val="00232A31"/>
    <w:rsid w:val="00242226"/>
    <w:rsid w:val="0024511F"/>
    <w:rsid w:val="002466D5"/>
    <w:rsid w:val="002522CC"/>
    <w:rsid w:val="00254525"/>
    <w:rsid w:val="0027128B"/>
    <w:rsid w:val="002858FD"/>
    <w:rsid w:val="002915B6"/>
    <w:rsid w:val="002940F4"/>
    <w:rsid w:val="002A0F4D"/>
    <w:rsid w:val="002A3DB4"/>
    <w:rsid w:val="002B422A"/>
    <w:rsid w:val="002D2580"/>
    <w:rsid w:val="002D2789"/>
    <w:rsid w:val="002D5381"/>
    <w:rsid w:val="002F78F1"/>
    <w:rsid w:val="00302463"/>
    <w:rsid w:val="003047FF"/>
    <w:rsid w:val="00312632"/>
    <w:rsid w:val="003134B7"/>
    <w:rsid w:val="00313C55"/>
    <w:rsid w:val="00315BA1"/>
    <w:rsid w:val="00320953"/>
    <w:rsid w:val="003328A1"/>
    <w:rsid w:val="003569DC"/>
    <w:rsid w:val="00357C7D"/>
    <w:rsid w:val="00363C6F"/>
    <w:rsid w:val="00364ACD"/>
    <w:rsid w:val="00367CA2"/>
    <w:rsid w:val="00374A72"/>
    <w:rsid w:val="00382D05"/>
    <w:rsid w:val="00384DF5"/>
    <w:rsid w:val="00384FE7"/>
    <w:rsid w:val="003A0FD3"/>
    <w:rsid w:val="003C2F8A"/>
    <w:rsid w:val="003F2136"/>
    <w:rsid w:val="00412F47"/>
    <w:rsid w:val="00430BF9"/>
    <w:rsid w:val="004408AA"/>
    <w:rsid w:val="004423A2"/>
    <w:rsid w:val="0044617A"/>
    <w:rsid w:val="00474AFB"/>
    <w:rsid w:val="00477172"/>
    <w:rsid w:val="004858E8"/>
    <w:rsid w:val="00485CD8"/>
    <w:rsid w:val="00487F2A"/>
    <w:rsid w:val="00493E0B"/>
    <w:rsid w:val="00495755"/>
    <w:rsid w:val="004A0275"/>
    <w:rsid w:val="004A03B4"/>
    <w:rsid w:val="004C32B1"/>
    <w:rsid w:val="004C3A84"/>
    <w:rsid w:val="004E4CD0"/>
    <w:rsid w:val="004F14AE"/>
    <w:rsid w:val="004F6821"/>
    <w:rsid w:val="00510894"/>
    <w:rsid w:val="005220C0"/>
    <w:rsid w:val="0053352A"/>
    <w:rsid w:val="00533722"/>
    <w:rsid w:val="005554EC"/>
    <w:rsid w:val="00560700"/>
    <w:rsid w:val="0056507E"/>
    <w:rsid w:val="005964E8"/>
    <w:rsid w:val="00597150"/>
    <w:rsid w:val="00597AA3"/>
    <w:rsid w:val="005A3A58"/>
    <w:rsid w:val="005A5F3B"/>
    <w:rsid w:val="005C2B63"/>
    <w:rsid w:val="005C31DC"/>
    <w:rsid w:val="005C4758"/>
    <w:rsid w:val="005D251A"/>
    <w:rsid w:val="005D2DBA"/>
    <w:rsid w:val="005D6C0C"/>
    <w:rsid w:val="005F1E7A"/>
    <w:rsid w:val="005F6A0E"/>
    <w:rsid w:val="0060111A"/>
    <w:rsid w:val="006208E4"/>
    <w:rsid w:val="00621285"/>
    <w:rsid w:val="00640A7E"/>
    <w:rsid w:val="00662FE0"/>
    <w:rsid w:val="006716B8"/>
    <w:rsid w:val="006B03FF"/>
    <w:rsid w:val="006B0865"/>
    <w:rsid w:val="006B72FE"/>
    <w:rsid w:val="006C485C"/>
    <w:rsid w:val="006C4A9B"/>
    <w:rsid w:val="006C7E49"/>
    <w:rsid w:val="006E14D2"/>
    <w:rsid w:val="006F28E0"/>
    <w:rsid w:val="006F5E05"/>
    <w:rsid w:val="00703AA4"/>
    <w:rsid w:val="0071338A"/>
    <w:rsid w:val="007206C5"/>
    <w:rsid w:val="00720D41"/>
    <w:rsid w:val="007251B9"/>
    <w:rsid w:val="00725468"/>
    <w:rsid w:val="00737BC7"/>
    <w:rsid w:val="00750B73"/>
    <w:rsid w:val="00771068"/>
    <w:rsid w:val="007766A2"/>
    <w:rsid w:val="007907A2"/>
    <w:rsid w:val="00792295"/>
    <w:rsid w:val="00796482"/>
    <w:rsid w:val="00797BA6"/>
    <w:rsid w:val="007A59D8"/>
    <w:rsid w:val="007B7F5B"/>
    <w:rsid w:val="007D18C2"/>
    <w:rsid w:val="007D2705"/>
    <w:rsid w:val="007E1997"/>
    <w:rsid w:val="00803F43"/>
    <w:rsid w:val="00810B7F"/>
    <w:rsid w:val="008302E4"/>
    <w:rsid w:val="00843B02"/>
    <w:rsid w:val="00862921"/>
    <w:rsid w:val="0086627F"/>
    <w:rsid w:val="008859C6"/>
    <w:rsid w:val="0089456A"/>
    <w:rsid w:val="008A49CB"/>
    <w:rsid w:val="008B3009"/>
    <w:rsid w:val="008B4176"/>
    <w:rsid w:val="008B7202"/>
    <w:rsid w:val="008B7AF9"/>
    <w:rsid w:val="008B7EA9"/>
    <w:rsid w:val="008C1190"/>
    <w:rsid w:val="008E4C00"/>
    <w:rsid w:val="0090297D"/>
    <w:rsid w:val="009152C3"/>
    <w:rsid w:val="00915D3B"/>
    <w:rsid w:val="009168FB"/>
    <w:rsid w:val="00930696"/>
    <w:rsid w:val="00930DF0"/>
    <w:rsid w:val="009370AC"/>
    <w:rsid w:val="0094331E"/>
    <w:rsid w:val="009456A5"/>
    <w:rsid w:val="00962DFD"/>
    <w:rsid w:val="00963AA1"/>
    <w:rsid w:val="009759F6"/>
    <w:rsid w:val="00982738"/>
    <w:rsid w:val="00983561"/>
    <w:rsid w:val="009877FC"/>
    <w:rsid w:val="009A1EB4"/>
    <w:rsid w:val="009B4C2D"/>
    <w:rsid w:val="009B74D1"/>
    <w:rsid w:val="009C295B"/>
    <w:rsid w:val="009C36CA"/>
    <w:rsid w:val="009C399B"/>
    <w:rsid w:val="009C691D"/>
    <w:rsid w:val="009C69D4"/>
    <w:rsid w:val="009D58E2"/>
    <w:rsid w:val="00A142A4"/>
    <w:rsid w:val="00A238DB"/>
    <w:rsid w:val="00A30F13"/>
    <w:rsid w:val="00A63D2D"/>
    <w:rsid w:val="00A66DE8"/>
    <w:rsid w:val="00A70C8C"/>
    <w:rsid w:val="00A75732"/>
    <w:rsid w:val="00A837C9"/>
    <w:rsid w:val="00A839F3"/>
    <w:rsid w:val="00A9740D"/>
    <w:rsid w:val="00AC4B5E"/>
    <w:rsid w:val="00AC51F9"/>
    <w:rsid w:val="00AC5B8C"/>
    <w:rsid w:val="00B15AC8"/>
    <w:rsid w:val="00B2144E"/>
    <w:rsid w:val="00B30A54"/>
    <w:rsid w:val="00B31936"/>
    <w:rsid w:val="00B34047"/>
    <w:rsid w:val="00B358BC"/>
    <w:rsid w:val="00B43199"/>
    <w:rsid w:val="00B57D1A"/>
    <w:rsid w:val="00B648F4"/>
    <w:rsid w:val="00B77FDE"/>
    <w:rsid w:val="00B9094E"/>
    <w:rsid w:val="00B9111E"/>
    <w:rsid w:val="00BA70B1"/>
    <w:rsid w:val="00BB1130"/>
    <w:rsid w:val="00BB3F0B"/>
    <w:rsid w:val="00BC1FEA"/>
    <w:rsid w:val="00BC2491"/>
    <w:rsid w:val="00BC387A"/>
    <w:rsid w:val="00BD3693"/>
    <w:rsid w:val="00BD5721"/>
    <w:rsid w:val="00BD6172"/>
    <w:rsid w:val="00BD6D5C"/>
    <w:rsid w:val="00BE7690"/>
    <w:rsid w:val="00BF329B"/>
    <w:rsid w:val="00BF7383"/>
    <w:rsid w:val="00C07F90"/>
    <w:rsid w:val="00C150DC"/>
    <w:rsid w:val="00C24E18"/>
    <w:rsid w:val="00C34E7C"/>
    <w:rsid w:val="00C52194"/>
    <w:rsid w:val="00C54123"/>
    <w:rsid w:val="00C57A7D"/>
    <w:rsid w:val="00C86150"/>
    <w:rsid w:val="00C92422"/>
    <w:rsid w:val="00CA0EE5"/>
    <w:rsid w:val="00CA212E"/>
    <w:rsid w:val="00CA30A7"/>
    <w:rsid w:val="00CA474A"/>
    <w:rsid w:val="00CB5376"/>
    <w:rsid w:val="00CE32F9"/>
    <w:rsid w:val="00CF1B50"/>
    <w:rsid w:val="00D00EF7"/>
    <w:rsid w:val="00D1437C"/>
    <w:rsid w:val="00D16D8F"/>
    <w:rsid w:val="00D203E0"/>
    <w:rsid w:val="00D2257A"/>
    <w:rsid w:val="00D234ED"/>
    <w:rsid w:val="00D35B83"/>
    <w:rsid w:val="00D537ED"/>
    <w:rsid w:val="00D56E01"/>
    <w:rsid w:val="00D702F4"/>
    <w:rsid w:val="00D77A1A"/>
    <w:rsid w:val="00D97899"/>
    <w:rsid w:val="00DA5421"/>
    <w:rsid w:val="00DB0659"/>
    <w:rsid w:val="00DB76B4"/>
    <w:rsid w:val="00DC09F5"/>
    <w:rsid w:val="00DC115D"/>
    <w:rsid w:val="00DC4479"/>
    <w:rsid w:val="00DC7B4F"/>
    <w:rsid w:val="00DD4E1B"/>
    <w:rsid w:val="00DE0FB7"/>
    <w:rsid w:val="00DE7C71"/>
    <w:rsid w:val="00DF1712"/>
    <w:rsid w:val="00DF6870"/>
    <w:rsid w:val="00E04244"/>
    <w:rsid w:val="00E231EA"/>
    <w:rsid w:val="00E31327"/>
    <w:rsid w:val="00E51FA9"/>
    <w:rsid w:val="00E62E49"/>
    <w:rsid w:val="00E65D4B"/>
    <w:rsid w:val="00E66776"/>
    <w:rsid w:val="00E763FE"/>
    <w:rsid w:val="00E773DA"/>
    <w:rsid w:val="00E84C11"/>
    <w:rsid w:val="00E8757F"/>
    <w:rsid w:val="00E957C8"/>
    <w:rsid w:val="00E9669C"/>
    <w:rsid w:val="00E967B8"/>
    <w:rsid w:val="00EB3E34"/>
    <w:rsid w:val="00EC2436"/>
    <w:rsid w:val="00ED6B91"/>
    <w:rsid w:val="00EF0BD2"/>
    <w:rsid w:val="00EF1725"/>
    <w:rsid w:val="00EF68C8"/>
    <w:rsid w:val="00EF70FC"/>
    <w:rsid w:val="00F019A8"/>
    <w:rsid w:val="00F06BD7"/>
    <w:rsid w:val="00F07308"/>
    <w:rsid w:val="00F23279"/>
    <w:rsid w:val="00F308CF"/>
    <w:rsid w:val="00F316E1"/>
    <w:rsid w:val="00F44F45"/>
    <w:rsid w:val="00F52168"/>
    <w:rsid w:val="00F617EF"/>
    <w:rsid w:val="00F635A9"/>
    <w:rsid w:val="00F70161"/>
    <w:rsid w:val="00F8092D"/>
    <w:rsid w:val="00F82349"/>
    <w:rsid w:val="00F858C5"/>
    <w:rsid w:val="00F97A37"/>
    <w:rsid w:val="00FB22E6"/>
    <w:rsid w:val="00FE1254"/>
    <w:rsid w:val="00FE543A"/>
    <w:rsid w:val="00FF25F7"/>
    <w:rsid w:val="00FF2E38"/>
    <w:rsid w:val="00FF3EAB"/>
    <w:rsid w:val="00FF4A0B"/>
    <w:rsid w:val="3F7F256C"/>
    <w:rsid w:val="534E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rFonts w:ascii="Calibri" w:eastAsia="宋体" w:hAnsi="Calibri" w:cs="黑体"/>
      <w:sz w:val="18"/>
      <w:szCs w:val="18"/>
    </w:rPr>
  </w:style>
  <w:style w:type="character" w:customStyle="1" w:styleId="Char1">
    <w:name w:val="页眉 Char"/>
    <w:basedOn w:val="a0"/>
    <w:link w:val="a5"/>
    <w:uiPriority w:val="99"/>
    <w:qFormat/>
    <w:rPr>
      <w:rFonts w:ascii="Calibri" w:eastAsia="宋体" w:hAnsi="Calibri" w:cs="黑体"/>
      <w:sz w:val="18"/>
      <w:szCs w:val="18"/>
    </w:rPr>
  </w:style>
  <w:style w:type="character" w:customStyle="1" w:styleId="Char0">
    <w:name w:val="页脚 Char"/>
    <w:basedOn w:val="a0"/>
    <w:link w:val="a4"/>
    <w:uiPriority w:val="99"/>
    <w:qFormat/>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rFonts w:ascii="Calibri" w:eastAsia="宋体" w:hAnsi="Calibri" w:cs="黑体"/>
      <w:sz w:val="18"/>
      <w:szCs w:val="18"/>
    </w:rPr>
  </w:style>
  <w:style w:type="character" w:customStyle="1" w:styleId="Char1">
    <w:name w:val="页眉 Char"/>
    <w:basedOn w:val="a0"/>
    <w:link w:val="a5"/>
    <w:uiPriority w:val="99"/>
    <w:qFormat/>
    <w:rPr>
      <w:rFonts w:ascii="Calibri" w:eastAsia="宋体" w:hAnsi="Calibri" w:cs="黑体"/>
      <w:sz w:val="18"/>
      <w:szCs w:val="18"/>
    </w:rPr>
  </w:style>
  <w:style w:type="character" w:customStyle="1" w:styleId="Char0">
    <w:name w:val="页脚 Char"/>
    <w:basedOn w:val="a0"/>
    <w:link w:val="a4"/>
    <w:uiPriority w:val="99"/>
    <w:qFormat/>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徐亮(宝马非马)</dc:creator>
  <cp:lastModifiedBy>区房管局信箱</cp:lastModifiedBy>
  <cp:revision>28</cp:revision>
  <dcterms:created xsi:type="dcterms:W3CDTF">2025-10-29T02:35:00Z</dcterms:created>
  <dcterms:modified xsi:type="dcterms:W3CDTF">2025-12-05T06:16:00Z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eyJoZGlkIjoiYjA4NDZiNTc2OTEyMWFkYjM1NTQ4MzBkNzE2NzEwMDEiLCJ1c2VySWQiOiI5MzA3MjgxMTQifQ==</vt:lpwstr>
  </property>
  <property fmtid="{D5CDD505-2E9C-101B-9397-08002B2CF9AE}" pid="3" name="KSOProductBuildVer">
    <vt:lpwstr>2052-12.8.2.1115</vt:lpwstr>
  </property>
  <property fmtid="{D5CDD505-2E9C-101B-9397-08002B2CF9AE}" pid="4" name="ICV">
    <vt:lpwstr>79B7E898B7FE4E409D4C0205D2CC4F8B_12</vt:lpwstr>
  </property>
</Properties>
</file>