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FD75D">
      <w:pPr>
        <w:widowControl w:val="0"/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2" w:name="_GoBack"/>
      <w:r>
        <w:rPr>
          <w:rFonts w:hint="eastAsia" w:ascii="黑体" w:hAnsi="黑体" w:eastAsia="黑体" w:cs="黑体"/>
          <w:sz w:val="44"/>
          <w:szCs w:val="44"/>
        </w:rPr>
        <w:t>关于《闵行区农村人居环境长效管护资金奖励实施细则》草案的解读</w:t>
      </w:r>
    </w:p>
    <w:bookmarkEnd w:id="2"/>
    <w:p w14:paraId="11E5DF99">
      <w:pPr>
        <w:widowControl w:val="0"/>
        <w:spacing w:line="560" w:lineRule="exact"/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ABFAC73"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提升我区农村人居环境长效管护水平，提高区镇两级农村人居环境长效管护奖励资金的使用效能，结合区委、区政府工作要求，区农业农村委对上一轮长效管护资金奖励政策进行了优化整合，形成《闵行区农村人居环境长效管护资金奖励实施细则》（征求意见稿）,拟会同区财政局联合发文。</w:t>
      </w:r>
    </w:p>
    <w:p w14:paraId="664796A2">
      <w:pPr>
        <w:widowControl w:val="0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一、起草背景</w:t>
      </w:r>
    </w:p>
    <w:p w14:paraId="636AC36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建立完善“标准科学、考核精准、激励有效”的长效管护评估体系，通过财政资金差异化奖补督促街镇、村比学赶超、建管并举，持续、有效巩固乡村建设成果，区农业农村委对上一轮长效管护资金奖励政策进行了优化整合，形成《闵行区农村人居环境长效管护资金奖励实施细则（初稿）》。在基层减负的背景下，草案以实效为导向，激励街镇、村发挥主观能动性，提升农村人居环境管护成效，具有重要意义。</w:t>
      </w:r>
    </w:p>
    <w:p w14:paraId="11D73E9B">
      <w:pPr>
        <w:widowControl w:val="0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二、起草过程</w:t>
      </w:r>
    </w:p>
    <w:p w14:paraId="09898146">
      <w:pPr>
        <w:widowControl w:val="0"/>
        <w:spacing w:line="560" w:lineRule="exact"/>
        <w:ind w:firstLine="640" w:firstLineChars="200"/>
        <w:jc w:val="both"/>
        <w:rPr>
          <w:rFonts w:ascii="仿宋_GB2312" w:hAnsi="Times New Roman" w:eastAsia="仿宋_GB2312" w:cs="Times New Roman"/>
          <w:sz w:val="32"/>
          <w:szCs w:val="32"/>
        </w:rPr>
      </w:pPr>
      <w:bookmarkStart w:id="0" w:name="OLE_LINK3"/>
      <w:bookmarkStart w:id="1" w:name="OLE_LINK4"/>
      <w:r>
        <w:rPr>
          <w:rFonts w:hint="eastAsia" w:ascii="仿宋_GB2312" w:hAnsi="Times New Roman" w:eastAsia="仿宋_GB2312" w:cs="Times New Roman"/>
          <w:sz w:val="32"/>
          <w:szCs w:val="32"/>
        </w:rPr>
        <w:t>2024年12月启动政策研究修订工作，结合上一轮长效管护资金奖励政策进行优化整合，草拟形成《闵行区农村人居环境长效管护资金奖励实施细则（初稿）》。2025年2-3月，在充分听取区财政、涉农街镇农村部门的诉求及意见建议后，修改完善形成征求意见稿。</w:t>
      </w:r>
    </w:p>
    <w:bookmarkEnd w:id="0"/>
    <w:bookmarkEnd w:id="1"/>
    <w:p w14:paraId="7B312069">
      <w:pPr>
        <w:widowControl w:val="0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三、主要内容</w:t>
      </w:r>
    </w:p>
    <w:p w14:paraId="26B54F03">
      <w:pPr>
        <w:widowControl w:val="0"/>
        <w:spacing w:line="560" w:lineRule="exact"/>
        <w:ind w:firstLine="640" w:firstLineChars="200"/>
        <w:jc w:val="both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共分为十六条，包括总体要求，资金适用范围，奖补标准，使用规范，评估方法及评分标准等内容。</w:t>
      </w:r>
    </w:p>
    <w:p w14:paraId="14A4EB1A">
      <w:pPr>
        <w:widowControl w:val="0"/>
        <w:spacing w:line="560" w:lineRule="exact"/>
        <w:ind w:firstLine="643" w:firstLineChars="200"/>
        <w:jc w:val="both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一是明确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</w:rPr>
        <w:t>资金支持范围、奖励标准和分配方式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本细则适用于本区范围内开展农村人居环境长效管护的行政村，空壳村和近期拟动迁村除外。用于村内道路、绿化的保洁管护，农村公厕、垃圾箱房等环卫设施管护以及公共服务设施维护等用途。区财政每年按“一般行政村”500元/户、“区级美丽乡村示范村”700元/户、“市级美丽乡村示范村”和“市级乡村振兴示范村”900元/户安排奖励资金，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街镇按不低于1:1比例落实配套资金。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奖励资金分配以管护实效为导向，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60%为基础资金实行全额给付，40%结合管护实效评估结果实施差异化奖补。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管护实效评估结果分为四个等次，根据评估等次分别按照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100%、80%、60%和0%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的比例拨付。资金扣减部分，用于奖励治理及管护有特色的行政村一次性平均发放。</w:t>
      </w:r>
    </w:p>
    <w:p w14:paraId="15DC0317">
      <w:pPr>
        <w:widowControl w:val="0"/>
        <w:spacing w:line="560" w:lineRule="exact"/>
        <w:ind w:firstLine="643" w:firstLineChars="200"/>
        <w:jc w:val="both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二是明确成效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</w:rPr>
        <w:t>评估标准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按照村容风貌提升、生态系统治理、公共基础设施提档、乡村景观美化、长效管护机制落实五大方面进行评分，新增亮点特色加分项以及负面清单扣分项，将村民对人居环境的举报投诉数等民生指标作为评估的重要依据，实现民生导向、实效导向、无感评估。</w:t>
      </w:r>
    </w:p>
    <w:p w14:paraId="346F3723">
      <w:pPr>
        <w:widowControl w:val="0"/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三是明确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</w:rPr>
        <w:t>部门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职责及评估方式。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区农业农村委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结合工作职责对农村人居环境开展日常巡查，巡查发现的问题即时上传区一网统管平台，并督促街镇和村整改。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区交通委、卫健委、绿容局等区相关部门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结合工作职责，对农村人居环境管护开展巡查和指导，并结合权重对村庄人居环境管护成效进行评估打分。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区农业农村委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结合市级测评、调查，区级各部门巡查结果等进行综合评估，并落实结果运用。</w:t>
      </w:r>
    </w:p>
    <w:p w14:paraId="29A312E2">
      <w:pPr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仿宋_GB2312" w:hAnsi="Times New Roman" w:eastAsia="仿宋_GB2312" w:cs="Times New Roman"/>
          <w:sz w:val="32"/>
          <w:szCs w:val="32"/>
        </w:rPr>
      </w:pPr>
    </w:p>
    <w:p w14:paraId="7018216B">
      <w:pPr>
        <w:rPr>
          <w:color w:val="FF0000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0000600000000000000"/>
    <w:charset w:val="86"/>
    <w:family w:val="auto"/>
    <w:pitch w:val="default"/>
    <w:sig w:usb0="00000000" w:usb1="00000000" w:usb2="00000012" w:usb3="00000000" w:csb0="0016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449"/>
    <w:rsid w:val="00056206"/>
    <w:rsid w:val="001D650B"/>
    <w:rsid w:val="00261045"/>
    <w:rsid w:val="002E1724"/>
    <w:rsid w:val="00353D39"/>
    <w:rsid w:val="003B7F37"/>
    <w:rsid w:val="00553449"/>
    <w:rsid w:val="00594F51"/>
    <w:rsid w:val="00597AF6"/>
    <w:rsid w:val="006B6314"/>
    <w:rsid w:val="007C4441"/>
    <w:rsid w:val="008B5AB1"/>
    <w:rsid w:val="008E0179"/>
    <w:rsid w:val="008F4768"/>
    <w:rsid w:val="009C7891"/>
    <w:rsid w:val="009F1A98"/>
    <w:rsid w:val="00B14A06"/>
    <w:rsid w:val="00B54D61"/>
    <w:rsid w:val="00BB3DC4"/>
    <w:rsid w:val="00CA4108"/>
    <w:rsid w:val="00D71D18"/>
    <w:rsid w:val="00E07B05"/>
    <w:rsid w:val="00E14914"/>
    <w:rsid w:val="00E71B65"/>
    <w:rsid w:val="00E775AA"/>
    <w:rsid w:val="00EF04BB"/>
    <w:rsid w:val="00F162F3"/>
    <w:rsid w:val="00F52740"/>
    <w:rsid w:val="67D492CD"/>
    <w:rsid w:val="78B69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Revision"/>
    <w:hidden/>
    <w:semiHidden/>
    <w:qFormat/>
    <w:uiPriority w:val="99"/>
    <w:pPr>
      <w:spacing w:line="24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653</Words>
  <Characters>668</Characters>
  <Lines>29</Lines>
  <Paragraphs>11</Paragraphs>
  <TotalTime>4</TotalTime>
  <ScaleCrop>false</ScaleCrop>
  <LinksUpToDate>false</LinksUpToDate>
  <CharactersWithSpaces>1310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2025-04-25T18:41:00Z</dcterms:created>
  <dc:creator>zxy</dc:creator>
  <cp:lastModifiedBy>。</cp:lastModifiedBy>
  <cp:lastPrinted>2025-04-25T16:10:00Z</cp:lastPrinted>
  <dcterms:modified xsi:type="dcterms:W3CDTF">2025-04-25T21:18:34Z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D43F28E7D314A3FF128B0B68D536545A_42</vt:lpwstr>
  </property>
</Properties>
</file>