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B9ADC">
      <w:pPr>
        <w:rPr>
          <w:rFonts w:ascii="Times New Roman" w:hAnsi="Times New Roman" w:eastAsia="黑体" w:cs="Times New Roman"/>
          <w:b/>
          <w:bCs/>
          <w:color w:val="auto"/>
          <w:sz w:val="44"/>
          <w:szCs w:val="44"/>
        </w:rPr>
      </w:pPr>
      <w:bookmarkStart w:id="0" w:name="_Toc199405440"/>
      <w:bookmarkStart w:id="1" w:name="_Toc199405446"/>
      <w:bookmarkStart w:id="2" w:name="_Toc201845045"/>
    </w:p>
    <w:p w14:paraId="4E30AACF">
      <w:pPr>
        <w:rPr>
          <w:rFonts w:ascii="Times New Roman" w:hAnsi="Times New Roman" w:eastAsia="黑体" w:cs="Times New Roman"/>
          <w:b/>
          <w:bCs/>
          <w:color w:val="auto"/>
          <w:sz w:val="44"/>
          <w:szCs w:val="44"/>
        </w:rPr>
      </w:pPr>
    </w:p>
    <w:p w14:paraId="3C15AC94">
      <w:pPr>
        <w:rPr>
          <w:rFonts w:ascii="Times New Roman" w:hAnsi="Times New Roman" w:eastAsia="黑体" w:cs="Times New Roman"/>
          <w:b/>
          <w:bCs/>
          <w:color w:val="auto"/>
          <w:sz w:val="44"/>
          <w:szCs w:val="44"/>
        </w:rPr>
      </w:pPr>
    </w:p>
    <w:p w14:paraId="268A7A64">
      <w:pPr>
        <w:jc w:val="center"/>
        <w:rPr>
          <w:rFonts w:ascii="Times New Roman" w:hAnsi="Times New Roman" w:eastAsia="黑体" w:cs="Times New Roman"/>
          <w:b/>
          <w:bCs/>
          <w:color w:val="auto"/>
          <w:sz w:val="44"/>
          <w:szCs w:val="44"/>
        </w:rPr>
      </w:pPr>
      <w:r>
        <w:rPr>
          <w:rFonts w:ascii="Times New Roman" w:hAnsi="Times New Roman" w:eastAsia="黑体" w:cs="Times New Roman"/>
          <w:b/>
          <w:bCs/>
          <w:color w:val="auto"/>
          <w:sz w:val="44"/>
          <w:szCs w:val="44"/>
        </w:rPr>
        <w:t>闵行区生态环境保护</w:t>
      </w:r>
      <w:r>
        <w:rPr>
          <w:rFonts w:hint="eastAsia" w:ascii="Times New Roman" w:hAnsi="Times New Roman" w:eastAsia="黑体" w:cs="Times New Roman"/>
          <w:b/>
          <w:bCs/>
          <w:color w:val="auto"/>
          <w:sz w:val="44"/>
          <w:szCs w:val="44"/>
        </w:rPr>
        <w:t>“</w:t>
      </w:r>
      <w:r>
        <w:rPr>
          <w:rFonts w:ascii="Times New Roman" w:hAnsi="Times New Roman" w:eastAsia="黑体" w:cs="Times New Roman"/>
          <w:b/>
          <w:bCs/>
          <w:color w:val="auto"/>
          <w:sz w:val="44"/>
          <w:szCs w:val="44"/>
        </w:rPr>
        <w:t>十五五</w:t>
      </w:r>
      <w:r>
        <w:rPr>
          <w:rFonts w:hint="eastAsia" w:ascii="Times New Roman" w:hAnsi="Times New Roman" w:eastAsia="黑体" w:cs="Times New Roman"/>
          <w:b/>
          <w:bCs/>
          <w:color w:val="auto"/>
          <w:sz w:val="44"/>
          <w:szCs w:val="44"/>
        </w:rPr>
        <w:t>”</w:t>
      </w:r>
      <w:r>
        <w:rPr>
          <w:rFonts w:ascii="Times New Roman" w:hAnsi="Times New Roman" w:eastAsia="黑体" w:cs="Times New Roman"/>
          <w:b/>
          <w:bCs/>
          <w:color w:val="auto"/>
          <w:sz w:val="44"/>
          <w:szCs w:val="44"/>
        </w:rPr>
        <w:t>规划</w:t>
      </w:r>
    </w:p>
    <w:p w14:paraId="298612E4">
      <w:pPr>
        <w:jc w:val="center"/>
        <w:rPr>
          <w:rFonts w:ascii="Times New Roman" w:hAnsi="Times New Roman" w:eastAsia="楷体_GB2312" w:cs="Times New Roman"/>
          <w:color w:val="auto"/>
          <w:sz w:val="36"/>
          <w:szCs w:val="36"/>
        </w:rPr>
      </w:pPr>
      <w:r>
        <w:rPr>
          <w:rFonts w:ascii="Times New Roman" w:hAnsi="Times New Roman" w:eastAsia="楷体_GB2312" w:cs="Times New Roman"/>
          <w:color w:val="auto"/>
          <w:sz w:val="36"/>
          <w:szCs w:val="36"/>
        </w:rPr>
        <w:t>（</w:t>
      </w:r>
      <w:r>
        <w:rPr>
          <w:rFonts w:hint="eastAsia" w:ascii="Times New Roman" w:hAnsi="Times New Roman" w:eastAsia="楷体_GB2312" w:cs="Times New Roman"/>
          <w:color w:val="auto"/>
          <w:sz w:val="36"/>
          <w:szCs w:val="36"/>
        </w:rPr>
        <w:t>征求意见</w:t>
      </w:r>
      <w:r>
        <w:rPr>
          <w:rFonts w:ascii="Times New Roman" w:hAnsi="Times New Roman" w:eastAsia="楷体_GB2312" w:cs="Times New Roman"/>
          <w:color w:val="auto"/>
          <w:sz w:val="36"/>
          <w:szCs w:val="36"/>
        </w:rPr>
        <w:t>稿）</w:t>
      </w:r>
    </w:p>
    <w:p w14:paraId="178F7006">
      <w:pPr>
        <w:ind w:firstLine="600" w:firstLineChars="200"/>
        <w:rPr>
          <w:rFonts w:ascii="Times New Roman" w:hAnsi="Times New Roman" w:eastAsia="仿宋_GB2312" w:cs="Times New Roman"/>
          <w:color w:val="auto"/>
          <w:sz w:val="30"/>
          <w:szCs w:val="30"/>
        </w:rPr>
      </w:pPr>
    </w:p>
    <w:p w14:paraId="74C95CAF">
      <w:pPr>
        <w:ind w:firstLine="600" w:firstLineChars="200"/>
        <w:rPr>
          <w:rFonts w:ascii="Times New Roman" w:hAnsi="Times New Roman" w:eastAsia="仿宋_GB2312" w:cs="Times New Roman"/>
          <w:color w:val="auto"/>
          <w:sz w:val="30"/>
          <w:szCs w:val="30"/>
        </w:rPr>
      </w:pPr>
    </w:p>
    <w:p w14:paraId="6BF5A2DA">
      <w:pPr>
        <w:ind w:firstLine="600" w:firstLineChars="200"/>
        <w:rPr>
          <w:rFonts w:ascii="Times New Roman" w:hAnsi="Times New Roman" w:eastAsia="仿宋_GB2312" w:cs="Times New Roman"/>
          <w:color w:val="auto"/>
          <w:sz w:val="30"/>
          <w:szCs w:val="30"/>
        </w:rPr>
      </w:pPr>
    </w:p>
    <w:p w14:paraId="49757A02">
      <w:pPr>
        <w:ind w:firstLine="600" w:firstLineChars="200"/>
        <w:rPr>
          <w:rFonts w:ascii="Times New Roman" w:hAnsi="Times New Roman" w:eastAsia="仿宋_GB2312" w:cs="Times New Roman"/>
          <w:color w:val="auto"/>
          <w:sz w:val="30"/>
          <w:szCs w:val="30"/>
        </w:rPr>
      </w:pPr>
    </w:p>
    <w:p w14:paraId="3AD67F76">
      <w:pPr>
        <w:ind w:firstLine="600" w:firstLineChars="200"/>
        <w:rPr>
          <w:rFonts w:ascii="Times New Roman" w:hAnsi="Times New Roman" w:eastAsia="仿宋_GB2312" w:cs="Times New Roman"/>
          <w:color w:val="auto"/>
          <w:sz w:val="30"/>
          <w:szCs w:val="30"/>
        </w:rPr>
      </w:pPr>
    </w:p>
    <w:p w14:paraId="51E49873">
      <w:pPr>
        <w:ind w:firstLine="600" w:firstLineChars="200"/>
        <w:rPr>
          <w:rFonts w:ascii="Times New Roman" w:hAnsi="Times New Roman" w:eastAsia="仿宋_GB2312" w:cs="Times New Roman"/>
          <w:color w:val="auto"/>
          <w:sz w:val="30"/>
          <w:szCs w:val="30"/>
        </w:rPr>
      </w:pPr>
    </w:p>
    <w:p w14:paraId="49B951AA">
      <w:pPr>
        <w:ind w:firstLine="600" w:firstLineChars="200"/>
        <w:rPr>
          <w:rFonts w:ascii="Times New Roman" w:hAnsi="Times New Roman" w:eastAsia="仿宋_GB2312" w:cs="Times New Roman"/>
          <w:color w:val="auto"/>
          <w:sz w:val="30"/>
          <w:szCs w:val="30"/>
        </w:rPr>
      </w:pPr>
    </w:p>
    <w:p w14:paraId="657EB116">
      <w:pPr>
        <w:ind w:firstLine="600" w:firstLineChars="200"/>
        <w:rPr>
          <w:rFonts w:ascii="Times New Roman" w:hAnsi="Times New Roman" w:eastAsia="仿宋_GB2312" w:cs="Times New Roman"/>
          <w:color w:val="auto"/>
          <w:sz w:val="30"/>
          <w:szCs w:val="30"/>
        </w:rPr>
      </w:pPr>
    </w:p>
    <w:p w14:paraId="485C7A06">
      <w:pPr>
        <w:ind w:firstLine="600" w:firstLineChars="200"/>
        <w:rPr>
          <w:rFonts w:ascii="Times New Roman" w:hAnsi="Times New Roman" w:eastAsia="仿宋_GB2312" w:cs="Times New Roman"/>
          <w:color w:val="auto"/>
          <w:sz w:val="30"/>
          <w:szCs w:val="30"/>
        </w:rPr>
      </w:pPr>
    </w:p>
    <w:p w14:paraId="1EC21AA3">
      <w:pPr>
        <w:ind w:firstLine="600" w:firstLineChars="200"/>
        <w:rPr>
          <w:rFonts w:ascii="Times New Roman" w:hAnsi="Times New Roman" w:eastAsia="仿宋_GB2312" w:cs="Times New Roman"/>
          <w:color w:val="auto"/>
          <w:sz w:val="30"/>
          <w:szCs w:val="30"/>
        </w:rPr>
      </w:pPr>
    </w:p>
    <w:p w14:paraId="1784AC9E">
      <w:pPr>
        <w:ind w:firstLine="600" w:firstLineChars="200"/>
        <w:rPr>
          <w:rFonts w:ascii="Times New Roman" w:hAnsi="Times New Roman" w:eastAsia="仿宋_GB2312" w:cs="Times New Roman"/>
          <w:color w:val="auto"/>
          <w:sz w:val="30"/>
          <w:szCs w:val="30"/>
        </w:rPr>
      </w:pPr>
    </w:p>
    <w:p w14:paraId="57DEF53A">
      <w:pPr>
        <w:ind w:firstLine="600" w:firstLineChars="200"/>
        <w:rPr>
          <w:rFonts w:ascii="Times New Roman" w:hAnsi="Times New Roman" w:eastAsia="仿宋_GB2312" w:cs="Times New Roman"/>
          <w:color w:val="auto"/>
          <w:sz w:val="30"/>
          <w:szCs w:val="30"/>
        </w:rPr>
      </w:pPr>
    </w:p>
    <w:p w14:paraId="1F728505">
      <w:pPr>
        <w:ind w:firstLine="640" w:firstLineChars="200"/>
        <w:rPr>
          <w:rFonts w:ascii="Times New Roman" w:hAnsi="Times New Roman" w:eastAsia="仿宋_GB2312" w:cs="Times New Roman"/>
          <w:color w:val="auto"/>
          <w:sz w:val="32"/>
          <w:szCs w:val="32"/>
        </w:rPr>
      </w:pPr>
    </w:p>
    <w:p w14:paraId="0765C738">
      <w:pPr>
        <w:ind w:firstLine="640" w:firstLineChars="200"/>
        <w:rPr>
          <w:rFonts w:ascii="Times New Roman" w:hAnsi="Times New Roman" w:eastAsia="仿宋_GB2312" w:cs="Times New Roman"/>
          <w:color w:val="auto"/>
          <w:sz w:val="32"/>
          <w:szCs w:val="32"/>
        </w:rPr>
      </w:pPr>
    </w:p>
    <w:p w14:paraId="66985DDF">
      <w:pPr>
        <w:jc w:val="center"/>
        <w:rPr>
          <w:rFonts w:ascii="Times New Roman" w:hAnsi="Times New Roman" w:eastAsia="仿宋_GB2312" w:cs="Times New Roman"/>
          <w:color w:val="auto"/>
          <w:sz w:val="32"/>
          <w:szCs w:val="32"/>
        </w:rPr>
      </w:pPr>
      <w:r>
        <w:rPr>
          <w:rFonts w:hint="eastAsia" w:ascii="Times New Roman" w:hAnsi="Times New Roman" w:eastAsia="楷体_GB2312" w:cs="Times New Roman"/>
          <w:color w:val="auto"/>
          <w:sz w:val="32"/>
          <w:szCs w:val="32"/>
        </w:rPr>
        <w:t>闵行区生态环境局</w:t>
      </w:r>
    </w:p>
    <w:p w14:paraId="7E562C7E">
      <w:pPr>
        <w:jc w:val="center"/>
        <w:rPr>
          <w:rFonts w:ascii="Times New Roman" w:hAnsi="Times New Roman" w:eastAsia="楷体_GB2312" w:cs="Times New Roman"/>
          <w:color w:val="auto"/>
          <w:sz w:val="32"/>
          <w:szCs w:val="32"/>
        </w:rPr>
      </w:pPr>
      <w:r>
        <w:rPr>
          <w:rFonts w:hint="eastAsia" w:ascii="Times New Roman" w:hAnsi="Times New Roman" w:eastAsia="楷体_GB2312" w:cs="Times New Roman"/>
          <w:color w:val="auto"/>
          <w:sz w:val="32"/>
          <w:szCs w:val="32"/>
        </w:rPr>
        <w:t>二〇二六 年 三月</w:t>
      </w:r>
    </w:p>
    <w:p w14:paraId="4AF5E0F9">
      <w:pPr>
        <w:rPr>
          <w:rFonts w:ascii="Times New Roman" w:hAnsi="Times New Roman" w:eastAsia="楷体_GB2312" w:cs="Times New Roman"/>
          <w:color w:val="auto"/>
          <w:sz w:val="30"/>
          <w:szCs w:val="30"/>
        </w:rPr>
      </w:pPr>
    </w:p>
    <w:p w14:paraId="55C48C65">
      <w:pPr>
        <w:rPr>
          <w:rFonts w:ascii="Times New Roman" w:hAnsi="Times New Roman" w:cs="Times New Roman"/>
          <w:color w:val="auto"/>
        </w:rPr>
        <w:sectPr>
          <w:footerReference r:id="rId3" w:type="default"/>
          <w:pgSz w:w="11906" w:h="16838"/>
          <w:pgMar w:top="1440" w:right="1800" w:bottom="1440" w:left="1800" w:header="851" w:footer="992" w:gutter="0"/>
          <w:cols w:space="425" w:num="1"/>
          <w:docGrid w:type="lines" w:linePitch="312" w:charSpace="0"/>
        </w:sectPr>
      </w:pPr>
    </w:p>
    <w:p w14:paraId="3ED066CD">
      <w:pPr>
        <w:rPr>
          <w:rFonts w:ascii="Times New Roman" w:hAnsi="Times New Roman" w:cs="Times New Roman"/>
          <w:color w:val="auto"/>
        </w:rPr>
      </w:pPr>
    </w:p>
    <w:p w14:paraId="0CADCBBF">
      <w:pPr>
        <w:jc w:val="center"/>
        <w:outlineLvl w:val="0"/>
        <w:rPr>
          <w:rFonts w:hint="eastAsia" w:ascii="仿宋_GB2312" w:hAnsi="仿宋_GB2312" w:eastAsia="仿宋_GB2312" w:cs="仿宋_GB2312"/>
          <w:color w:val="auto"/>
          <w:sz w:val="32"/>
          <w:szCs w:val="32"/>
        </w:rPr>
      </w:pPr>
      <w:bookmarkStart w:id="3" w:name="_Toc212055950"/>
      <w:bookmarkStart w:id="4" w:name="_Toc30575"/>
      <w:bookmarkStart w:id="5" w:name="_Toc211674068"/>
      <w:bookmarkStart w:id="6" w:name="_Toc17878"/>
      <w:bookmarkStart w:id="7" w:name="_Toc17296"/>
      <w:bookmarkStart w:id="8" w:name="_Toc21312"/>
      <w:bookmarkStart w:id="9" w:name="_Toc5325"/>
      <w:bookmarkStart w:id="10" w:name="_Toc1355"/>
      <w:bookmarkStart w:id="11" w:name="_Toc19508"/>
      <w:bookmarkStart w:id="12" w:name="_Hlk224908621"/>
      <w:r>
        <w:rPr>
          <w:rFonts w:ascii="Times New Roman" w:hAnsi="Times New Roman" w:eastAsia="黑体" w:cs="Times New Roman"/>
          <w:color w:val="auto"/>
          <w:sz w:val="44"/>
          <w:szCs w:val="44"/>
          <w:highlight w:val="none"/>
        </w:rPr>
        <w:t>目</w:t>
      </w:r>
      <w:r>
        <w:rPr>
          <w:rFonts w:hint="eastAsia" w:ascii="Times New Roman" w:hAnsi="Times New Roman" w:eastAsia="黑体" w:cs="Times New Roman"/>
          <w:color w:val="auto"/>
          <w:sz w:val="44"/>
          <w:szCs w:val="44"/>
          <w:highlight w:val="none"/>
        </w:rPr>
        <w:t xml:space="preserve"> </w:t>
      </w:r>
      <w:r>
        <w:rPr>
          <w:rFonts w:ascii="Times New Roman" w:hAnsi="Times New Roman" w:eastAsia="黑体" w:cs="Times New Roman"/>
          <w:color w:val="auto"/>
          <w:sz w:val="44"/>
          <w:szCs w:val="44"/>
          <w:highlight w:val="none"/>
        </w:rPr>
        <w:t xml:space="preserve">  录</w:t>
      </w:r>
      <w:bookmarkEnd w:id="3"/>
      <w:bookmarkEnd w:id="4"/>
      <w:bookmarkEnd w:id="5"/>
      <w:bookmarkEnd w:id="6"/>
      <w:bookmarkEnd w:id="7"/>
      <w:bookmarkEnd w:id="8"/>
      <w:bookmarkEnd w:id="9"/>
      <w:bookmarkEnd w:id="10"/>
      <w:bookmarkEnd w:id="11"/>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TOC \o "1-2" \h \z \u </w:instrText>
      </w:r>
      <w:r>
        <w:rPr>
          <w:rFonts w:hint="eastAsia" w:ascii="仿宋_GB2312" w:hAnsi="仿宋_GB2312" w:eastAsia="仿宋_GB2312" w:cs="仿宋_GB2312"/>
          <w:color w:val="auto"/>
          <w:sz w:val="32"/>
          <w:szCs w:val="32"/>
          <w:highlight w:val="none"/>
        </w:rPr>
        <w:fldChar w:fldCharType="separate"/>
      </w:r>
    </w:p>
    <w:p w14:paraId="0C7B6F38">
      <w:pPr>
        <w:pStyle w:val="16"/>
        <w:tabs>
          <w:tab w:val="right" w:leader="dot" w:pos="8306"/>
        </w:tabs>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highlight w:val="none"/>
        </w:rPr>
        <w:fldChar w:fldCharType="begin"/>
      </w:r>
      <w:r>
        <w:rPr>
          <w:rFonts w:hint="eastAsia" w:ascii="仿宋_GB2312" w:hAnsi="仿宋_GB2312" w:eastAsia="仿宋_GB2312" w:cs="仿宋_GB2312"/>
          <w:b/>
          <w:bCs/>
          <w:color w:val="auto"/>
          <w:sz w:val="32"/>
          <w:szCs w:val="32"/>
          <w:highlight w:val="none"/>
        </w:rPr>
        <w:instrText xml:space="preserve"> HYPERLINK \l _Toc6996 </w:instrText>
      </w:r>
      <w:r>
        <w:rPr>
          <w:rFonts w:hint="eastAsia" w:ascii="仿宋_GB2312" w:hAnsi="仿宋_GB2312" w:eastAsia="仿宋_GB2312" w:cs="仿宋_GB2312"/>
          <w:b/>
          <w:bCs/>
          <w:color w:val="auto"/>
          <w:sz w:val="32"/>
          <w:szCs w:val="32"/>
          <w:highlight w:val="none"/>
        </w:rPr>
        <w:fldChar w:fldCharType="separate"/>
      </w:r>
      <w:r>
        <w:rPr>
          <w:rFonts w:hint="eastAsia" w:ascii="仿宋_GB2312" w:hAnsi="仿宋_GB2312" w:eastAsia="仿宋_GB2312" w:cs="仿宋_GB2312"/>
          <w:b/>
          <w:bCs/>
          <w:color w:val="auto"/>
          <w:sz w:val="32"/>
          <w:szCs w:val="32"/>
        </w:rPr>
        <w:t>一、本区生态环境保护形势</w:t>
      </w:r>
      <w:r>
        <w:rPr>
          <w:rFonts w:ascii="Times New Roman" w:hAnsi="Times New Roman" w:eastAsia="仿宋_GB2312" w:cs="Times New Roman"/>
          <w:b/>
          <w:bCs/>
          <w:color w:val="auto"/>
          <w:sz w:val="32"/>
          <w:szCs w:val="32"/>
          <w:highlight w:val="none"/>
        </w:rPr>
        <w:tab/>
      </w:r>
      <w:r>
        <w:rPr>
          <w:rFonts w:hint="eastAsia" w:ascii="仿宋_GB2312" w:hAnsi="仿宋_GB2312" w:eastAsia="仿宋_GB2312" w:cs="仿宋_GB2312"/>
          <w:b/>
          <w:bCs/>
          <w:color w:val="auto"/>
          <w:sz w:val="32"/>
          <w:szCs w:val="32"/>
        </w:rPr>
        <w:fldChar w:fldCharType="begin"/>
      </w:r>
      <w:r>
        <w:rPr>
          <w:rFonts w:hint="eastAsia" w:ascii="仿宋_GB2312" w:hAnsi="仿宋_GB2312" w:eastAsia="仿宋_GB2312" w:cs="仿宋_GB2312"/>
          <w:b/>
          <w:bCs/>
          <w:color w:val="auto"/>
          <w:sz w:val="32"/>
          <w:szCs w:val="32"/>
        </w:rPr>
        <w:instrText xml:space="preserve"> PAGEREF _Toc6996 \h </w:instrText>
      </w:r>
      <w:r>
        <w:rPr>
          <w:rFonts w:hint="eastAsia" w:ascii="仿宋_GB2312" w:hAnsi="仿宋_GB2312" w:eastAsia="仿宋_GB2312" w:cs="仿宋_GB2312"/>
          <w:b/>
          <w:bCs/>
          <w:color w:val="auto"/>
          <w:sz w:val="32"/>
          <w:szCs w:val="32"/>
        </w:rPr>
        <w:fldChar w:fldCharType="separate"/>
      </w:r>
      <w:r>
        <w:rPr>
          <w:rFonts w:hint="eastAsia" w:ascii="仿宋_GB2312" w:hAnsi="仿宋_GB2312" w:eastAsia="仿宋_GB2312" w:cs="仿宋_GB2312"/>
          <w:b/>
          <w:bCs/>
          <w:color w:val="auto"/>
          <w:sz w:val="32"/>
          <w:szCs w:val="32"/>
        </w:rPr>
        <w:t>1</w:t>
      </w:r>
      <w:r>
        <w:rPr>
          <w:rFonts w:hint="eastAsia" w:ascii="仿宋_GB2312" w:hAnsi="仿宋_GB2312" w:eastAsia="仿宋_GB2312" w:cs="仿宋_GB2312"/>
          <w:b/>
          <w:bCs/>
          <w:color w:val="auto"/>
          <w:sz w:val="32"/>
          <w:szCs w:val="32"/>
        </w:rPr>
        <w:fldChar w:fldCharType="end"/>
      </w:r>
      <w:r>
        <w:rPr>
          <w:rFonts w:hint="eastAsia" w:ascii="仿宋_GB2312" w:hAnsi="仿宋_GB2312" w:eastAsia="仿宋_GB2312" w:cs="仿宋_GB2312"/>
          <w:b/>
          <w:bCs/>
          <w:color w:val="auto"/>
          <w:sz w:val="32"/>
          <w:szCs w:val="32"/>
          <w:highlight w:val="none"/>
        </w:rPr>
        <w:fldChar w:fldCharType="end"/>
      </w:r>
    </w:p>
    <w:p w14:paraId="5676CAB7">
      <w:pPr>
        <w:pStyle w:val="1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_Toc26425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bCs/>
          <w:color w:val="auto"/>
          <w:sz w:val="32"/>
          <w:szCs w:val="32"/>
        </w:rPr>
        <w:t>（一）“十四五”主要工作成效</w:t>
      </w:r>
      <w:r>
        <w:rPr>
          <w:rFonts w:ascii="Times New Roman" w:hAnsi="Times New Roman" w:eastAsia="仿宋_GB2312" w:cs="Times New Roman"/>
          <w:color w:val="auto"/>
          <w:sz w:val="32"/>
          <w:szCs w:val="32"/>
          <w:highlight w:val="none"/>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_Toc26425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highlight w:val="none"/>
        </w:rPr>
        <w:fldChar w:fldCharType="end"/>
      </w:r>
    </w:p>
    <w:p w14:paraId="56C1A859">
      <w:pPr>
        <w:pStyle w:val="1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_Toc6124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bCs/>
          <w:color w:val="auto"/>
          <w:sz w:val="32"/>
          <w:szCs w:val="32"/>
        </w:rPr>
        <w:t>（二）“十五五”面临的形势与挑战</w:t>
      </w:r>
      <w:r>
        <w:rPr>
          <w:rFonts w:ascii="Times New Roman" w:hAnsi="Times New Roman" w:eastAsia="仿宋_GB2312" w:cs="Times New Roman"/>
          <w:color w:val="auto"/>
          <w:sz w:val="32"/>
          <w:szCs w:val="32"/>
          <w:highlight w:val="none"/>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_Toc6124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highlight w:val="none"/>
        </w:rPr>
        <w:fldChar w:fldCharType="end"/>
      </w:r>
    </w:p>
    <w:p w14:paraId="321D43CD">
      <w:pPr>
        <w:pStyle w:val="16"/>
        <w:tabs>
          <w:tab w:val="right" w:leader="dot" w:pos="8306"/>
        </w:tabs>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highlight w:val="none"/>
        </w:rPr>
        <w:fldChar w:fldCharType="begin"/>
      </w:r>
      <w:r>
        <w:rPr>
          <w:rFonts w:hint="eastAsia" w:ascii="仿宋_GB2312" w:hAnsi="仿宋_GB2312" w:eastAsia="仿宋_GB2312" w:cs="仿宋_GB2312"/>
          <w:b/>
          <w:bCs/>
          <w:color w:val="auto"/>
          <w:sz w:val="32"/>
          <w:szCs w:val="32"/>
          <w:highlight w:val="none"/>
        </w:rPr>
        <w:instrText xml:space="preserve"> HYPERLINK \l _Toc2592 </w:instrText>
      </w:r>
      <w:r>
        <w:rPr>
          <w:rFonts w:hint="eastAsia" w:ascii="仿宋_GB2312" w:hAnsi="仿宋_GB2312" w:eastAsia="仿宋_GB2312" w:cs="仿宋_GB2312"/>
          <w:b/>
          <w:bCs/>
          <w:color w:val="auto"/>
          <w:sz w:val="32"/>
          <w:szCs w:val="32"/>
          <w:highlight w:val="none"/>
        </w:rPr>
        <w:fldChar w:fldCharType="separate"/>
      </w:r>
      <w:r>
        <w:rPr>
          <w:rFonts w:hint="eastAsia" w:ascii="仿宋_GB2312" w:hAnsi="仿宋_GB2312" w:eastAsia="仿宋_GB2312" w:cs="仿宋_GB2312"/>
          <w:b/>
          <w:bCs/>
          <w:color w:val="auto"/>
          <w:sz w:val="32"/>
          <w:szCs w:val="32"/>
        </w:rPr>
        <w:t>二、总体要求</w:t>
      </w:r>
      <w:r>
        <w:rPr>
          <w:rFonts w:ascii="Times New Roman" w:hAnsi="Times New Roman" w:eastAsia="仿宋_GB2312" w:cs="Times New Roman"/>
          <w:b/>
          <w:bCs/>
          <w:color w:val="auto"/>
          <w:sz w:val="32"/>
          <w:szCs w:val="32"/>
          <w:highlight w:val="none"/>
        </w:rPr>
        <w:tab/>
      </w:r>
      <w:r>
        <w:rPr>
          <w:rFonts w:hint="eastAsia" w:ascii="仿宋_GB2312" w:hAnsi="仿宋_GB2312" w:eastAsia="仿宋_GB2312" w:cs="仿宋_GB2312"/>
          <w:b/>
          <w:bCs/>
          <w:color w:val="auto"/>
          <w:sz w:val="32"/>
          <w:szCs w:val="32"/>
        </w:rPr>
        <w:fldChar w:fldCharType="begin"/>
      </w:r>
      <w:r>
        <w:rPr>
          <w:rFonts w:hint="eastAsia" w:ascii="仿宋_GB2312" w:hAnsi="仿宋_GB2312" w:eastAsia="仿宋_GB2312" w:cs="仿宋_GB2312"/>
          <w:b/>
          <w:bCs/>
          <w:color w:val="auto"/>
          <w:sz w:val="32"/>
          <w:szCs w:val="32"/>
        </w:rPr>
        <w:instrText xml:space="preserve"> PAGEREF _Toc2592 \h </w:instrText>
      </w:r>
      <w:r>
        <w:rPr>
          <w:rFonts w:hint="eastAsia" w:ascii="仿宋_GB2312" w:hAnsi="仿宋_GB2312" w:eastAsia="仿宋_GB2312" w:cs="仿宋_GB2312"/>
          <w:b/>
          <w:bCs/>
          <w:color w:val="auto"/>
          <w:sz w:val="32"/>
          <w:szCs w:val="32"/>
        </w:rPr>
        <w:fldChar w:fldCharType="separate"/>
      </w:r>
      <w:r>
        <w:rPr>
          <w:rFonts w:hint="eastAsia" w:ascii="仿宋_GB2312" w:hAnsi="仿宋_GB2312" w:eastAsia="仿宋_GB2312" w:cs="仿宋_GB2312"/>
          <w:b/>
          <w:bCs/>
          <w:color w:val="auto"/>
          <w:sz w:val="32"/>
          <w:szCs w:val="32"/>
        </w:rPr>
        <w:t>9</w:t>
      </w:r>
      <w:r>
        <w:rPr>
          <w:rFonts w:hint="eastAsia" w:ascii="仿宋_GB2312" w:hAnsi="仿宋_GB2312" w:eastAsia="仿宋_GB2312" w:cs="仿宋_GB2312"/>
          <w:b/>
          <w:bCs/>
          <w:color w:val="auto"/>
          <w:sz w:val="32"/>
          <w:szCs w:val="32"/>
        </w:rPr>
        <w:fldChar w:fldCharType="end"/>
      </w:r>
      <w:r>
        <w:rPr>
          <w:rFonts w:hint="eastAsia" w:ascii="仿宋_GB2312" w:hAnsi="仿宋_GB2312" w:eastAsia="仿宋_GB2312" w:cs="仿宋_GB2312"/>
          <w:b/>
          <w:bCs/>
          <w:color w:val="auto"/>
          <w:sz w:val="32"/>
          <w:szCs w:val="32"/>
          <w:highlight w:val="none"/>
        </w:rPr>
        <w:fldChar w:fldCharType="end"/>
      </w:r>
    </w:p>
    <w:p w14:paraId="6BBE467C">
      <w:pPr>
        <w:pStyle w:val="16"/>
        <w:tabs>
          <w:tab w:val="right" w:leader="dot" w:pos="8306"/>
        </w:tabs>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highlight w:val="none"/>
        </w:rPr>
        <w:fldChar w:fldCharType="begin"/>
      </w:r>
      <w:r>
        <w:rPr>
          <w:rFonts w:hint="eastAsia" w:ascii="仿宋_GB2312" w:hAnsi="仿宋_GB2312" w:eastAsia="仿宋_GB2312" w:cs="仿宋_GB2312"/>
          <w:b/>
          <w:bCs/>
          <w:color w:val="auto"/>
          <w:sz w:val="32"/>
          <w:szCs w:val="32"/>
          <w:highlight w:val="none"/>
        </w:rPr>
        <w:instrText xml:space="preserve"> HYPERLINK \l _Toc8786 </w:instrText>
      </w:r>
      <w:r>
        <w:rPr>
          <w:rFonts w:hint="eastAsia" w:ascii="仿宋_GB2312" w:hAnsi="仿宋_GB2312" w:eastAsia="仿宋_GB2312" w:cs="仿宋_GB2312"/>
          <w:b/>
          <w:bCs/>
          <w:color w:val="auto"/>
          <w:sz w:val="32"/>
          <w:szCs w:val="32"/>
          <w:highlight w:val="none"/>
        </w:rPr>
        <w:fldChar w:fldCharType="separate"/>
      </w:r>
      <w:r>
        <w:rPr>
          <w:rFonts w:hint="eastAsia" w:ascii="仿宋_GB2312" w:hAnsi="仿宋_GB2312" w:eastAsia="仿宋_GB2312" w:cs="仿宋_GB2312"/>
          <w:b/>
          <w:bCs/>
          <w:color w:val="auto"/>
          <w:sz w:val="32"/>
          <w:szCs w:val="32"/>
        </w:rPr>
        <w:t>三、坚持全域协同，着力构建美丽闵行建设新格局</w:t>
      </w:r>
      <w:r>
        <w:rPr>
          <w:rFonts w:ascii="Times New Roman" w:hAnsi="Times New Roman" w:eastAsia="仿宋_GB2312" w:cs="Times New Roman"/>
          <w:b/>
          <w:bCs/>
          <w:color w:val="auto"/>
          <w:sz w:val="32"/>
          <w:szCs w:val="32"/>
          <w:highlight w:val="none"/>
        </w:rPr>
        <w:tab/>
      </w:r>
      <w:r>
        <w:rPr>
          <w:rFonts w:hint="eastAsia" w:ascii="仿宋_GB2312" w:hAnsi="仿宋_GB2312" w:eastAsia="仿宋_GB2312" w:cs="仿宋_GB2312"/>
          <w:b/>
          <w:bCs/>
          <w:color w:val="auto"/>
          <w:sz w:val="32"/>
          <w:szCs w:val="32"/>
        </w:rPr>
        <w:fldChar w:fldCharType="begin"/>
      </w:r>
      <w:r>
        <w:rPr>
          <w:rFonts w:hint="eastAsia" w:ascii="仿宋_GB2312" w:hAnsi="仿宋_GB2312" w:eastAsia="仿宋_GB2312" w:cs="仿宋_GB2312"/>
          <w:b/>
          <w:bCs/>
          <w:color w:val="auto"/>
          <w:sz w:val="32"/>
          <w:szCs w:val="32"/>
        </w:rPr>
        <w:instrText xml:space="preserve"> PAGEREF _Toc8786 \h </w:instrText>
      </w:r>
      <w:r>
        <w:rPr>
          <w:rFonts w:hint="eastAsia" w:ascii="仿宋_GB2312" w:hAnsi="仿宋_GB2312" w:eastAsia="仿宋_GB2312" w:cs="仿宋_GB2312"/>
          <w:b/>
          <w:bCs/>
          <w:color w:val="auto"/>
          <w:sz w:val="32"/>
          <w:szCs w:val="32"/>
        </w:rPr>
        <w:fldChar w:fldCharType="separate"/>
      </w:r>
      <w:r>
        <w:rPr>
          <w:rFonts w:hint="eastAsia" w:ascii="仿宋_GB2312" w:hAnsi="仿宋_GB2312" w:eastAsia="仿宋_GB2312" w:cs="仿宋_GB2312"/>
          <w:b/>
          <w:bCs/>
          <w:color w:val="auto"/>
          <w:sz w:val="32"/>
          <w:szCs w:val="32"/>
        </w:rPr>
        <w:t>11</w:t>
      </w:r>
      <w:r>
        <w:rPr>
          <w:rFonts w:hint="eastAsia" w:ascii="仿宋_GB2312" w:hAnsi="仿宋_GB2312" w:eastAsia="仿宋_GB2312" w:cs="仿宋_GB2312"/>
          <w:b/>
          <w:bCs/>
          <w:color w:val="auto"/>
          <w:sz w:val="32"/>
          <w:szCs w:val="32"/>
        </w:rPr>
        <w:fldChar w:fldCharType="end"/>
      </w:r>
      <w:r>
        <w:rPr>
          <w:rFonts w:hint="eastAsia" w:ascii="仿宋_GB2312" w:hAnsi="仿宋_GB2312" w:eastAsia="仿宋_GB2312" w:cs="仿宋_GB2312"/>
          <w:b/>
          <w:bCs/>
          <w:color w:val="auto"/>
          <w:sz w:val="32"/>
          <w:szCs w:val="32"/>
          <w:highlight w:val="none"/>
        </w:rPr>
        <w:fldChar w:fldCharType="end"/>
      </w:r>
    </w:p>
    <w:p w14:paraId="7EB628BE">
      <w:pPr>
        <w:pStyle w:val="1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_Toc23103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bCs/>
          <w:color w:val="auto"/>
          <w:sz w:val="32"/>
          <w:szCs w:val="32"/>
        </w:rPr>
        <w:t>（一）建设宜居宜业美丽城市</w:t>
      </w:r>
      <w:r>
        <w:rPr>
          <w:rFonts w:ascii="Times New Roman" w:hAnsi="Times New Roman" w:eastAsia="仿宋_GB2312" w:cs="Times New Roman"/>
          <w:color w:val="auto"/>
          <w:sz w:val="32"/>
          <w:szCs w:val="32"/>
          <w:highlight w:val="none"/>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_Toc23103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11</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highlight w:val="none"/>
        </w:rPr>
        <w:fldChar w:fldCharType="end"/>
      </w:r>
    </w:p>
    <w:p w14:paraId="16493C8D">
      <w:pPr>
        <w:pStyle w:val="1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_Toc2585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bCs/>
          <w:color w:val="auto"/>
          <w:sz w:val="32"/>
          <w:szCs w:val="32"/>
        </w:rPr>
        <w:t>（二）打造沪派江南美丽乡村</w:t>
      </w:r>
      <w:r>
        <w:rPr>
          <w:rFonts w:ascii="Times New Roman" w:hAnsi="Times New Roman" w:eastAsia="仿宋_GB2312" w:cs="Times New Roman"/>
          <w:color w:val="auto"/>
          <w:sz w:val="32"/>
          <w:szCs w:val="32"/>
          <w:highlight w:val="none"/>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_Toc2585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12</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highlight w:val="none"/>
        </w:rPr>
        <w:fldChar w:fldCharType="end"/>
      </w:r>
    </w:p>
    <w:p w14:paraId="4B49B6C9">
      <w:pPr>
        <w:pStyle w:val="1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_Toc10260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bCs/>
          <w:color w:val="auto"/>
          <w:sz w:val="32"/>
          <w:szCs w:val="32"/>
        </w:rPr>
        <w:t>（三）培育特色多元美丽细胞</w:t>
      </w:r>
      <w:r>
        <w:rPr>
          <w:rFonts w:ascii="Times New Roman" w:hAnsi="Times New Roman" w:eastAsia="仿宋_GB2312" w:cs="Times New Roman"/>
          <w:color w:val="auto"/>
          <w:sz w:val="32"/>
          <w:szCs w:val="32"/>
          <w:highlight w:val="none"/>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_Toc10260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12</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highlight w:val="none"/>
        </w:rPr>
        <w:fldChar w:fldCharType="end"/>
      </w:r>
    </w:p>
    <w:p w14:paraId="729BEF5E">
      <w:pPr>
        <w:pStyle w:val="16"/>
        <w:tabs>
          <w:tab w:val="right" w:leader="dot" w:pos="8306"/>
        </w:tabs>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highlight w:val="none"/>
        </w:rPr>
        <w:fldChar w:fldCharType="begin"/>
      </w:r>
      <w:r>
        <w:rPr>
          <w:rFonts w:hint="eastAsia" w:ascii="仿宋_GB2312" w:hAnsi="仿宋_GB2312" w:eastAsia="仿宋_GB2312" w:cs="仿宋_GB2312"/>
          <w:b/>
          <w:bCs/>
          <w:color w:val="auto"/>
          <w:sz w:val="32"/>
          <w:szCs w:val="32"/>
          <w:highlight w:val="none"/>
        </w:rPr>
        <w:instrText xml:space="preserve"> HYPERLINK \l _Toc26681 </w:instrText>
      </w:r>
      <w:r>
        <w:rPr>
          <w:rFonts w:hint="eastAsia" w:ascii="仿宋_GB2312" w:hAnsi="仿宋_GB2312" w:eastAsia="仿宋_GB2312" w:cs="仿宋_GB2312"/>
          <w:b/>
          <w:bCs/>
          <w:color w:val="auto"/>
          <w:sz w:val="32"/>
          <w:szCs w:val="32"/>
          <w:highlight w:val="none"/>
        </w:rPr>
        <w:fldChar w:fldCharType="separate"/>
      </w:r>
      <w:r>
        <w:rPr>
          <w:rFonts w:hint="eastAsia" w:ascii="仿宋_GB2312" w:hAnsi="仿宋_GB2312" w:eastAsia="仿宋_GB2312" w:cs="仿宋_GB2312"/>
          <w:b/>
          <w:bCs/>
          <w:color w:val="auto"/>
          <w:sz w:val="32"/>
          <w:szCs w:val="32"/>
        </w:rPr>
        <w:t>四、促进动能转换，加快推动绿色低碳转型发展</w:t>
      </w:r>
      <w:r>
        <w:rPr>
          <w:rFonts w:ascii="Times New Roman" w:hAnsi="Times New Roman" w:eastAsia="仿宋_GB2312" w:cs="Times New Roman"/>
          <w:b/>
          <w:bCs/>
          <w:color w:val="auto"/>
          <w:sz w:val="32"/>
          <w:szCs w:val="32"/>
          <w:highlight w:val="none"/>
        </w:rPr>
        <w:tab/>
      </w:r>
      <w:r>
        <w:rPr>
          <w:rFonts w:hint="eastAsia" w:ascii="仿宋_GB2312" w:hAnsi="仿宋_GB2312" w:eastAsia="仿宋_GB2312" w:cs="仿宋_GB2312"/>
          <w:b/>
          <w:bCs/>
          <w:color w:val="auto"/>
          <w:sz w:val="32"/>
          <w:szCs w:val="32"/>
        </w:rPr>
        <w:fldChar w:fldCharType="begin"/>
      </w:r>
      <w:r>
        <w:rPr>
          <w:rFonts w:hint="eastAsia" w:ascii="仿宋_GB2312" w:hAnsi="仿宋_GB2312" w:eastAsia="仿宋_GB2312" w:cs="仿宋_GB2312"/>
          <w:b/>
          <w:bCs/>
          <w:color w:val="auto"/>
          <w:sz w:val="32"/>
          <w:szCs w:val="32"/>
        </w:rPr>
        <w:instrText xml:space="preserve"> PAGEREF _Toc26681 \h </w:instrText>
      </w:r>
      <w:r>
        <w:rPr>
          <w:rFonts w:hint="eastAsia" w:ascii="仿宋_GB2312" w:hAnsi="仿宋_GB2312" w:eastAsia="仿宋_GB2312" w:cs="仿宋_GB2312"/>
          <w:b/>
          <w:bCs/>
          <w:color w:val="auto"/>
          <w:sz w:val="32"/>
          <w:szCs w:val="32"/>
        </w:rPr>
        <w:fldChar w:fldCharType="separate"/>
      </w:r>
      <w:r>
        <w:rPr>
          <w:rFonts w:hint="eastAsia" w:ascii="仿宋_GB2312" w:hAnsi="仿宋_GB2312" w:eastAsia="仿宋_GB2312" w:cs="仿宋_GB2312"/>
          <w:b/>
          <w:bCs/>
          <w:color w:val="auto"/>
          <w:sz w:val="32"/>
          <w:szCs w:val="32"/>
        </w:rPr>
        <w:t>12</w:t>
      </w:r>
      <w:r>
        <w:rPr>
          <w:rFonts w:hint="eastAsia" w:ascii="仿宋_GB2312" w:hAnsi="仿宋_GB2312" w:eastAsia="仿宋_GB2312" w:cs="仿宋_GB2312"/>
          <w:b/>
          <w:bCs/>
          <w:color w:val="auto"/>
          <w:sz w:val="32"/>
          <w:szCs w:val="32"/>
        </w:rPr>
        <w:fldChar w:fldCharType="end"/>
      </w:r>
      <w:r>
        <w:rPr>
          <w:rFonts w:hint="eastAsia" w:ascii="仿宋_GB2312" w:hAnsi="仿宋_GB2312" w:eastAsia="仿宋_GB2312" w:cs="仿宋_GB2312"/>
          <w:b/>
          <w:bCs/>
          <w:color w:val="auto"/>
          <w:sz w:val="32"/>
          <w:szCs w:val="32"/>
          <w:highlight w:val="none"/>
        </w:rPr>
        <w:fldChar w:fldCharType="end"/>
      </w:r>
    </w:p>
    <w:p w14:paraId="117CEB89">
      <w:pPr>
        <w:pStyle w:val="1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_Toc12666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bCs/>
          <w:color w:val="auto"/>
          <w:sz w:val="32"/>
          <w:szCs w:val="32"/>
        </w:rPr>
        <w:t>（一）积极稳妥推进碳达峰碳中和</w:t>
      </w:r>
      <w:r>
        <w:rPr>
          <w:rFonts w:ascii="Times New Roman" w:hAnsi="Times New Roman" w:eastAsia="仿宋_GB2312" w:cs="Times New Roman"/>
          <w:color w:val="auto"/>
          <w:sz w:val="32"/>
          <w:szCs w:val="32"/>
          <w:highlight w:val="none"/>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_Toc12666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12</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highlight w:val="none"/>
        </w:rPr>
        <w:fldChar w:fldCharType="end"/>
      </w:r>
    </w:p>
    <w:p w14:paraId="6EC22CEA">
      <w:pPr>
        <w:pStyle w:val="1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_Toc28887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bCs/>
          <w:color w:val="auto"/>
          <w:sz w:val="32"/>
          <w:szCs w:val="32"/>
        </w:rPr>
        <w:t>（二）提升产业绿色发展水平</w:t>
      </w:r>
      <w:r>
        <w:rPr>
          <w:rFonts w:ascii="Times New Roman" w:hAnsi="Times New Roman" w:eastAsia="仿宋_GB2312" w:cs="Times New Roman"/>
          <w:color w:val="auto"/>
          <w:sz w:val="32"/>
          <w:szCs w:val="32"/>
          <w:highlight w:val="none"/>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_Toc28887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13</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highlight w:val="none"/>
        </w:rPr>
        <w:fldChar w:fldCharType="end"/>
      </w:r>
    </w:p>
    <w:p w14:paraId="133D0709">
      <w:pPr>
        <w:pStyle w:val="1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_Toc30930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bCs/>
          <w:color w:val="auto"/>
          <w:sz w:val="32"/>
          <w:szCs w:val="32"/>
        </w:rPr>
        <w:t>（三）促进城区绿色低碳转型</w:t>
      </w:r>
      <w:r>
        <w:rPr>
          <w:rFonts w:ascii="Times New Roman" w:hAnsi="Times New Roman" w:eastAsia="仿宋_GB2312" w:cs="Times New Roman"/>
          <w:color w:val="auto"/>
          <w:sz w:val="32"/>
          <w:szCs w:val="32"/>
          <w:highlight w:val="none"/>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_Toc30930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14</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highlight w:val="none"/>
        </w:rPr>
        <w:fldChar w:fldCharType="end"/>
      </w:r>
    </w:p>
    <w:p w14:paraId="3FF6B693">
      <w:pPr>
        <w:pStyle w:val="1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_Toc2137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bCs/>
          <w:color w:val="auto"/>
          <w:sz w:val="32"/>
          <w:szCs w:val="32"/>
        </w:rPr>
        <w:t>（四）健全开发保护环境管控制度</w:t>
      </w:r>
      <w:r>
        <w:rPr>
          <w:rFonts w:ascii="Times New Roman" w:hAnsi="Times New Roman" w:eastAsia="仿宋_GB2312" w:cs="Times New Roman"/>
          <w:color w:val="auto"/>
          <w:sz w:val="32"/>
          <w:szCs w:val="32"/>
          <w:highlight w:val="none"/>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_Toc2137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15</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highlight w:val="none"/>
        </w:rPr>
        <w:fldChar w:fldCharType="end"/>
      </w:r>
    </w:p>
    <w:p w14:paraId="5CFF258F">
      <w:pPr>
        <w:pStyle w:val="16"/>
        <w:tabs>
          <w:tab w:val="right" w:leader="dot" w:pos="8306"/>
        </w:tabs>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highlight w:val="none"/>
        </w:rPr>
        <w:fldChar w:fldCharType="begin"/>
      </w:r>
      <w:r>
        <w:rPr>
          <w:rFonts w:hint="eastAsia" w:ascii="仿宋_GB2312" w:hAnsi="仿宋_GB2312" w:eastAsia="仿宋_GB2312" w:cs="仿宋_GB2312"/>
          <w:b/>
          <w:bCs/>
          <w:color w:val="auto"/>
          <w:sz w:val="32"/>
          <w:szCs w:val="32"/>
          <w:highlight w:val="none"/>
        </w:rPr>
        <w:instrText xml:space="preserve"> HYPERLINK \l _Toc13901 </w:instrText>
      </w:r>
      <w:r>
        <w:rPr>
          <w:rFonts w:hint="eastAsia" w:ascii="仿宋_GB2312" w:hAnsi="仿宋_GB2312" w:eastAsia="仿宋_GB2312" w:cs="仿宋_GB2312"/>
          <w:b/>
          <w:bCs/>
          <w:color w:val="auto"/>
          <w:sz w:val="32"/>
          <w:szCs w:val="32"/>
          <w:highlight w:val="none"/>
        </w:rPr>
        <w:fldChar w:fldCharType="separate"/>
      </w:r>
      <w:r>
        <w:rPr>
          <w:rFonts w:hint="eastAsia" w:ascii="仿宋_GB2312" w:hAnsi="仿宋_GB2312" w:eastAsia="仿宋_GB2312" w:cs="仿宋_GB2312"/>
          <w:b/>
          <w:bCs/>
          <w:color w:val="auto"/>
          <w:sz w:val="32"/>
          <w:szCs w:val="32"/>
        </w:rPr>
        <w:t>五、深化系统攻坚，全面改善生态环境质量</w:t>
      </w:r>
      <w:r>
        <w:rPr>
          <w:rFonts w:ascii="Times New Roman" w:hAnsi="Times New Roman" w:eastAsia="仿宋_GB2312" w:cs="Times New Roman"/>
          <w:b/>
          <w:bCs/>
          <w:color w:val="auto"/>
          <w:sz w:val="32"/>
          <w:szCs w:val="32"/>
          <w:highlight w:val="none"/>
        </w:rPr>
        <w:tab/>
      </w:r>
      <w:r>
        <w:rPr>
          <w:rFonts w:hint="eastAsia" w:ascii="仿宋_GB2312" w:hAnsi="仿宋_GB2312" w:eastAsia="仿宋_GB2312" w:cs="仿宋_GB2312"/>
          <w:b/>
          <w:bCs/>
          <w:color w:val="auto"/>
          <w:sz w:val="32"/>
          <w:szCs w:val="32"/>
        </w:rPr>
        <w:fldChar w:fldCharType="begin"/>
      </w:r>
      <w:r>
        <w:rPr>
          <w:rFonts w:hint="eastAsia" w:ascii="仿宋_GB2312" w:hAnsi="仿宋_GB2312" w:eastAsia="仿宋_GB2312" w:cs="仿宋_GB2312"/>
          <w:b/>
          <w:bCs/>
          <w:color w:val="auto"/>
          <w:sz w:val="32"/>
          <w:szCs w:val="32"/>
        </w:rPr>
        <w:instrText xml:space="preserve"> PAGEREF _Toc13901 \h </w:instrText>
      </w:r>
      <w:r>
        <w:rPr>
          <w:rFonts w:hint="eastAsia" w:ascii="仿宋_GB2312" w:hAnsi="仿宋_GB2312" w:eastAsia="仿宋_GB2312" w:cs="仿宋_GB2312"/>
          <w:b/>
          <w:bCs/>
          <w:color w:val="auto"/>
          <w:sz w:val="32"/>
          <w:szCs w:val="32"/>
        </w:rPr>
        <w:fldChar w:fldCharType="separate"/>
      </w:r>
      <w:r>
        <w:rPr>
          <w:rFonts w:hint="eastAsia" w:ascii="仿宋_GB2312" w:hAnsi="仿宋_GB2312" w:eastAsia="仿宋_GB2312" w:cs="仿宋_GB2312"/>
          <w:b/>
          <w:bCs/>
          <w:color w:val="auto"/>
          <w:sz w:val="32"/>
          <w:szCs w:val="32"/>
        </w:rPr>
        <w:t>16</w:t>
      </w:r>
      <w:r>
        <w:rPr>
          <w:rFonts w:hint="eastAsia" w:ascii="仿宋_GB2312" w:hAnsi="仿宋_GB2312" w:eastAsia="仿宋_GB2312" w:cs="仿宋_GB2312"/>
          <w:b/>
          <w:bCs/>
          <w:color w:val="auto"/>
          <w:sz w:val="32"/>
          <w:szCs w:val="32"/>
        </w:rPr>
        <w:fldChar w:fldCharType="end"/>
      </w:r>
      <w:r>
        <w:rPr>
          <w:rFonts w:hint="eastAsia" w:ascii="仿宋_GB2312" w:hAnsi="仿宋_GB2312" w:eastAsia="仿宋_GB2312" w:cs="仿宋_GB2312"/>
          <w:b/>
          <w:bCs/>
          <w:color w:val="auto"/>
          <w:sz w:val="32"/>
          <w:szCs w:val="32"/>
          <w:highlight w:val="none"/>
        </w:rPr>
        <w:fldChar w:fldCharType="end"/>
      </w:r>
    </w:p>
    <w:p w14:paraId="04D59EB2">
      <w:pPr>
        <w:pStyle w:val="1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_Toc24072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bCs/>
          <w:color w:val="auto"/>
          <w:sz w:val="32"/>
          <w:szCs w:val="32"/>
        </w:rPr>
        <w:t>（一）持续深入打好蓝天保卫战</w:t>
      </w:r>
      <w:r>
        <w:rPr>
          <w:rFonts w:ascii="Times New Roman" w:hAnsi="Times New Roman" w:eastAsia="仿宋_GB2312" w:cs="Times New Roman"/>
          <w:color w:val="auto"/>
          <w:sz w:val="32"/>
          <w:szCs w:val="32"/>
          <w:highlight w:val="none"/>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_Toc24072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16</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highlight w:val="none"/>
        </w:rPr>
        <w:fldChar w:fldCharType="end"/>
      </w:r>
    </w:p>
    <w:p w14:paraId="121448BC">
      <w:pPr>
        <w:pStyle w:val="1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_Toc15489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bCs/>
          <w:color w:val="auto"/>
          <w:sz w:val="32"/>
          <w:szCs w:val="32"/>
        </w:rPr>
        <w:t>（二）持续深入打好碧水保卫战</w:t>
      </w:r>
      <w:r>
        <w:rPr>
          <w:rFonts w:ascii="Times New Roman" w:hAnsi="Times New Roman" w:eastAsia="仿宋_GB2312" w:cs="Times New Roman"/>
          <w:color w:val="auto"/>
          <w:sz w:val="32"/>
          <w:szCs w:val="32"/>
          <w:highlight w:val="none"/>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_Toc15489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17</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highlight w:val="none"/>
        </w:rPr>
        <w:fldChar w:fldCharType="end"/>
      </w:r>
    </w:p>
    <w:p w14:paraId="5E89A129">
      <w:pPr>
        <w:pStyle w:val="1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_Toc8397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bCs/>
          <w:color w:val="auto"/>
          <w:sz w:val="32"/>
          <w:szCs w:val="32"/>
        </w:rPr>
        <w:t>（三）持续深入打好净土保卫战</w:t>
      </w:r>
      <w:r>
        <w:rPr>
          <w:rFonts w:ascii="Times New Roman" w:hAnsi="Times New Roman" w:eastAsia="仿宋_GB2312" w:cs="Times New Roman"/>
          <w:color w:val="auto"/>
          <w:sz w:val="32"/>
          <w:szCs w:val="32"/>
          <w:highlight w:val="none"/>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_Toc8397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18</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highlight w:val="none"/>
        </w:rPr>
        <w:fldChar w:fldCharType="end"/>
      </w:r>
    </w:p>
    <w:p w14:paraId="532D9DE0">
      <w:pPr>
        <w:pStyle w:val="1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_Toc12979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bCs/>
          <w:color w:val="auto"/>
          <w:sz w:val="32"/>
          <w:szCs w:val="32"/>
        </w:rPr>
        <w:t>（四）加强固体废物综合治理</w:t>
      </w:r>
      <w:r>
        <w:rPr>
          <w:rFonts w:ascii="Times New Roman" w:hAnsi="Times New Roman" w:eastAsia="仿宋_GB2312" w:cs="Times New Roman"/>
          <w:color w:val="auto"/>
          <w:sz w:val="32"/>
          <w:szCs w:val="32"/>
          <w:highlight w:val="none"/>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_Toc12979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18</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highlight w:val="none"/>
        </w:rPr>
        <w:fldChar w:fldCharType="end"/>
      </w:r>
    </w:p>
    <w:p w14:paraId="056BA1E9">
      <w:pPr>
        <w:pStyle w:val="16"/>
        <w:tabs>
          <w:tab w:val="right" w:leader="dot" w:pos="8306"/>
        </w:tabs>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highlight w:val="none"/>
        </w:rPr>
        <w:fldChar w:fldCharType="begin"/>
      </w:r>
      <w:r>
        <w:rPr>
          <w:rFonts w:hint="eastAsia" w:ascii="仿宋_GB2312" w:hAnsi="仿宋_GB2312" w:eastAsia="仿宋_GB2312" w:cs="仿宋_GB2312"/>
          <w:b/>
          <w:bCs/>
          <w:color w:val="auto"/>
          <w:sz w:val="32"/>
          <w:szCs w:val="32"/>
          <w:highlight w:val="none"/>
        </w:rPr>
        <w:instrText xml:space="preserve"> HYPERLINK \l _Toc18127 </w:instrText>
      </w:r>
      <w:r>
        <w:rPr>
          <w:rFonts w:hint="eastAsia" w:ascii="仿宋_GB2312" w:hAnsi="仿宋_GB2312" w:eastAsia="仿宋_GB2312" w:cs="仿宋_GB2312"/>
          <w:b/>
          <w:bCs/>
          <w:color w:val="auto"/>
          <w:sz w:val="32"/>
          <w:szCs w:val="32"/>
          <w:highlight w:val="none"/>
        </w:rPr>
        <w:fldChar w:fldCharType="separate"/>
      </w:r>
      <w:r>
        <w:rPr>
          <w:rFonts w:hint="eastAsia" w:ascii="仿宋_GB2312" w:hAnsi="仿宋_GB2312" w:eastAsia="仿宋_GB2312" w:cs="仿宋_GB2312"/>
          <w:b/>
          <w:bCs/>
          <w:color w:val="auto"/>
          <w:sz w:val="32"/>
          <w:szCs w:val="32"/>
        </w:rPr>
        <w:t>六、强化保护修复，不断提升生态宜居水平</w:t>
      </w:r>
      <w:r>
        <w:rPr>
          <w:rFonts w:ascii="Times New Roman" w:hAnsi="Times New Roman" w:eastAsia="仿宋_GB2312" w:cs="Times New Roman"/>
          <w:b/>
          <w:bCs/>
          <w:color w:val="auto"/>
          <w:sz w:val="32"/>
          <w:szCs w:val="32"/>
          <w:highlight w:val="none"/>
        </w:rPr>
        <w:tab/>
      </w:r>
      <w:r>
        <w:rPr>
          <w:rFonts w:hint="eastAsia" w:ascii="仿宋_GB2312" w:hAnsi="仿宋_GB2312" w:eastAsia="仿宋_GB2312" w:cs="仿宋_GB2312"/>
          <w:b/>
          <w:bCs/>
          <w:color w:val="auto"/>
          <w:sz w:val="32"/>
          <w:szCs w:val="32"/>
        </w:rPr>
        <w:fldChar w:fldCharType="begin"/>
      </w:r>
      <w:r>
        <w:rPr>
          <w:rFonts w:hint="eastAsia" w:ascii="仿宋_GB2312" w:hAnsi="仿宋_GB2312" w:eastAsia="仿宋_GB2312" w:cs="仿宋_GB2312"/>
          <w:b/>
          <w:bCs/>
          <w:color w:val="auto"/>
          <w:sz w:val="32"/>
          <w:szCs w:val="32"/>
        </w:rPr>
        <w:instrText xml:space="preserve"> PAGEREF _Toc18127 \h </w:instrText>
      </w:r>
      <w:r>
        <w:rPr>
          <w:rFonts w:hint="eastAsia" w:ascii="仿宋_GB2312" w:hAnsi="仿宋_GB2312" w:eastAsia="仿宋_GB2312" w:cs="仿宋_GB2312"/>
          <w:b/>
          <w:bCs/>
          <w:color w:val="auto"/>
          <w:sz w:val="32"/>
          <w:szCs w:val="32"/>
        </w:rPr>
        <w:fldChar w:fldCharType="separate"/>
      </w:r>
      <w:r>
        <w:rPr>
          <w:rFonts w:hint="eastAsia" w:ascii="仿宋_GB2312" w:hAnsi="仿宋_GB2312" w:eastAsia="仿宋_GB2312" w:cs="仿宋_GB2312"/>
          <w:b/>
          <w:bCs/>
          <w:color w:val="auto"/>
          <w:sz w:val="32"/>
          <w:szCs w:val="32"/>
        </w:rPr>
        <w:t>20</w:t>
      </w:r>
      <w:r>
        <w:rPr>
          <w:rFonts w:hint="eastAsia" w:ascii="仿宋_GB2312" w:hAnsi="仿宋_GB2312" w:eastAsia="仿宋_GB2312" w:cs="仿宋_GB2312"/>
          <w:b/>
          <w:bCs/>
          <w:color w:val="auto"/>
          <w:sz w:val="32"/>
          <w:szCs w:val="32"/>
        </w:rPr>
        <w:fldChar w:fldCharType="end"/>
      </w:r>
      <w:r>
        <w:rPr>
          <w:rFonts w:hint="eastAsia" w:ascii="仿宋_GB2312" w:hAnsi="仿宋_GB2312" w:eastAsia="仿宋_GB2312" w:cs="仿宋_GB2312"/>
          <w:b/>
          <w:bCs/>
          <w:color w:val="auto"/>
          <w:sz w:val="32"/>
          <w:szCs w:val="32"/>
          <w:highlight w:val="none"/>
        </w:rPr>
        <w:fldChar w:fldCharType="end"/>
      </w:r>
    </w:p>
    <w:p w14:paraId="2EECF18D">
      <w:pPr>
        <w:pStyle w:val="1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_Toc23172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bCs/>
          <w:color w:val="auto"/>
          <w:sz w:val="32"/>
          <w:szCs w:val="32"/>
        </w:rPr>
        <w:t>（一）加强生态系统保护与修复</w:t>
      </w:r>
      <w:r>
        <w:rPr>
          <w:rFonts w:ascii="Times New Roman" w:hAnsi="Times New Roman" w:eastAsia="仿宋_GB2312" w:cs="Times New Roman"/>
          <w:color w:val="auto"/>
          <w:sz w:val="32"/>
          <w:szCs w:val="32"/>
          <w:highlight w:val="none"/>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_Toc23172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highlight w:val="none"/>
        </w:rPr>
        <w:fldChar w:fldCharType="end"/>
      </w:r>
    </w:p>
    <w:p w14:paraId="6CD94F0A">
      <w:pPr>
        <w:pStyle w:val="1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_Toc26358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bCs/>
          <w:color w:val="auto"/>
          <w:sz w:val="32"/>
          <w:szCs w:val="32"/>
        </w:rPr>
        <w:t>（二）建设生态宜居家园</w:t>
      </w:r>
      <w:r>
        <w:rPr>
          <w:rFonts w:ascii="Times New Roman" w:hAnsi="Times New Roman" w:eastAsia="仿宋_GB2312" w:cs="Times New Roman"/>
          <w:color w:val="auto"/>
          <w:sz w:val="32"/>
          <w:szCs w:val="32"/>
          <w:highlight w:val="none"/>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_Toc26358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21</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highlight w:val="none"/>
        </w:rPr>
        <w:fldChar w:fldCharType="end"/>
      </w:r>
    </w:p>
    <w:p w14:paraId="55761D9A">
      <w:pPr>
        <w:pStyle w:val="16"/>
        <w:tabs>
          <w:tab w:val="right" w:leader="dot" w:pos="8306"/>
        </w:tabs>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fldChar w:fldCharType="begin"/>
      </w:r>
      <w:r>
        <w:rPr>
          <w:rFonts w:hint="eastAsia" w:ascii="仿宋_GB2312" w:hAnsi="仿宋_GB2312" w:eastAsia="仿宋_GB2312" w:cs="仿宋_GB2312"/>
          <w:b/>
          <w:bCs/>
          <w:color w:val="auto"/>
          <w:sz w:val="32"/>
          <w:szCs w:val="32"/>
          <w:highlight w:val="none"/>
        </w:rPr>
        <w:instrText xml:space="preserve"> HYPERLINK \l _Toc989 </w:instrText>
      </w:r>
      <w:r>
        <w:rPr>
          <w:rFonts w:hint="eastAsia" w:ascii="仿宋_GB2312" w:hAnsi="仿宋_GB2312" w:eastAsia="仿宋_GB2312" w:cs="仿宋_GB2312"/>
          <w:b/>
          <w:bCs/>
          <w:color w:val="auto"/>
          <w:sz w:val="32"/>
          <w:szCs w:val="32"/>
          <w:highlight w:val="none"/>
        </w:rPr>
        <w:fldChar w:fldCharType="separate"/>
      </w:r>
      <w:r>
        <w:rPr>
          <w:rFonts w:hint="eastAsia" w:ascii="仿宋_GB2312" w:hAnsi="仿宋_GB2312" w:eastAsia="仿宋_GB2312" w:cs="仿宋_GB2312"/>
          <w:b/>
          <w:bCs/>
          <w:color w:val="auto"/>
          <w:sz w:val="32"/>
          <w:szCs w:val="32"/>
        </w:rPr>
        <w:t>七、加强风险防控，</w:t>
      </w:r>
      <w:r>
        <w:rPr>
          <w:rFonts w:hint="eastAsia" w:ascii="仿宋_GB2312" w:hAnsi="仿宋_GB2312" w:eastAsia="仿宋_GB2312" w:cs="仿宋_GB2312"/>
          <w:b/>
          <w:bCs/>
          <w:color w:val="auto"/>
          <w:sz w:val="32"/>
          <w:szCs w:val="32"/>
          <w:lang w:eastAsia="zh-CN"/>
        </w:rPr>
        <w:t>切实</w:t>
      </w:r>
      <w:r>
        <w:rPr>
          <w:rFonts w:hint="eastAsia" w:ascii="仿宋_GB2312" w:hAnsi="仿宋_GB2312" w:eastAsia="仿宋_GB2312" w:cs="仿宋_GB2312"/>
          <w:b/>
          <w:bCs/>
          <w:color w:val="auto"/>
          <w:sz w:val="32"/>
          <w:szCs w:val="32"/>
        </w:rPr>
        <w:t>筑牢生态安全屏障</w:t>
      </w:r>
      <w:r>
        <w:rPr>
          <w:rFonts w:ascii="Times New Roman" w:hAnsi="Times New Roman" w:eastAsia="仿宋_GB2312" w:cs="Times New Roman"/>
          <w:b/>
          <w:bCs/>
          <w:color w:val="auto"/>
          <w:sz w:val="32"/>
          <w:szCs w:val="32"/>
          <w:highlight w:val="none"/>
        </w:rPr>
        <w:tab/>
      </w:r>
      <w:r>
        <w:rPr>
          <w:rFonts w:hint="eastAsia" w:ascii="仿宋_GB2312" w:hAnsi="仿宋_GB2312" w:eastAsia="仿宋_GB2312" w:cs="仿宋_GB2312"/>
          <w:b/>
          <w:bCs/>
          <w:color w:val="auto"/>
          <w:sz w:val="32"/>
          <w:szCs w:val="32"/>
        </w:rPr>
        <w:fldChar w:fldCharType="begin"/>
      </w:r>
      <w:r>
        <w:rPr>
          <w:rFonts w:hint="eastAsia" w:ascii="仿宋_GB2312" w:hAnsi="仿宋_GB2312" w:eastAsia="仿宋_GB2312" w:cs="仿宋_GB2312"/>
          <w:b/>
          <w:bCs/>
          <w:color w:val="auto"/>
          <w:sz w:val="32"/>
          <w:szCs w:val="32"/>
        </w:rPr>
        <w:instrText xml:space="preserve"> PAGEREF _Toc989 \h </w:instrText>
      </w:r>
      <w:r>
        <w:rPr>
          <w:rFonts w:hint="eastAsia" w:ascii="仿宋_GB2312" w:hAnsi="仿宋_GB2312" w:eastAsia="仿宋_GB2312" w:cs="仿宋_GB2312"/>
          <w:b/>
          <w:bCs/>
          <w:color w:val="auto"/>
          <w:sz w:val="32"/>
          <w:szCs w:val="32"/>
        </w:rPr>
        <w:fldChar w:fldCharType="separate"/>
      </w:r>
      <w:r>
        <w:rPr>
          <w:rFonts w:hint="eastAsia" w:ascii="仿宋_GB2312" w:hAnsi="仿宋_GB2312" w:eastAsia="仿宋_GB2312" w:cs="仿宋_GB2312"/>
          <w:b/>
          <w:bCs/>
          <w:color w:val="auto"/>
          <w:sz w:val="32"/>
          <w:szCs w:val="32"/>
        </w:rPr>
        <w:t>22</w:t>
      </w:r>
      <w:r>
        <w:rPr>
          <w:rFonts w:hint="eastAsia" w:ascii="仿宋_GB2312" w:hAnsi="仿宋_GB2312" w:eastAsia="仿宋_GB2312" w:cs="仿宋_GB2312"/>
          <w:b/>
          <w:bCs/>
          <w:color w:val="auto"/>
          <w:sz w:val="32"/>
          <w:szCs w:val="32"/>
        </w:rPr>
        <w:fldChar w:fldCharType="end"/>
      </w:r>
      <w:r>
        <w:rPr>
          <w:rFonts w:hint="eastAsia" w:ascii="仿宋_GB2312" w:hAnsi="仿宋_GB2312" w:eastAsia="仿宋_GB2312" w:cs="仿宋_GB2312"/>
          <w:b/>
          <w:bCs/>
          <w:color w:val="auto"/>
          <w:sz w:val="32"/>
          <w:szCs w:val="32"/>
          <w:highlight w:val="none"/>
        </w:rPr>
        <w:fldChar w:fldCharType="end"/>
      </w:r>
    </w:p>
    <w:p w14:paraId="509A0B21">
      <w:pPr>
        <w:pStyle w:val="1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_Toc989 </w:instrText>
      </w:r>
      <w:r>
        <w:rPr>
          <w:rFonts w:hint="eastAsia" w:ascii="仿宋_GB2312" w:hAnsi="仿宋_GB2312" w:eastAsia="仿宋_GB2312" w:cs="仿宋_GB2312"/>
          <w:color w:val="auto"/>
          <w:sz w:val="32"/>
          <w:szCs w:val="32"/>
          <w:highlight w:val="none"/>
        </w:rPr>
        <w:fldChar w:fldCharType="separate"/>
      </w:r>
      <w:r>
        <w:rPr>
          <w:rFonts w:hint="eastAsia" w:cs="仿宋_GB2312"/>
          <w:bCs/>
          <w:color w:val="auto"/>
          <w:sz w:val="32"/>
          <w:szCs w:val="32"/>
          <w:lang w:eastAsia="zh-CN"/>
        </w:rPr>
        <w:t>（一）</w:t>
      </w:r>
      <w:r>
        <w:rPr>
          <w:rFonts w:hint="eastAsia" w:ascii="仿宋_GB2312" w:hAnsi="仿宋_GB2312" w:eastAsia="仿宋_GB2312" w:cs="仿宋_GB2312"/>
          <w:bCs/>
          <w:color w:val="auto"/>
          <w:sz w:val="32"/>
          <w:szCs w:val="32"/>
        </w:rPr>
        <w:t>严密防控生态环境风险</w:t>
      </w:r>
      <w:r>
        <w:rPr>
          <w:rFonts w:ascii="Times New Roman" w:hAnsi="Times New Roman" w:eastAsia="仿宋_GB2312" w:cs="Times New Roman"/>
          <w:color w:val="auto"/>
          <w:sz w:val="32"/>
          <w:szCs w:val="32"/>
          <w:highlight w:val="none"/>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_Toc989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22</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highlight w:val="none"/>
        </w:rPr>
        <w:fldChar w:fldCharType="end"/>
      </w:r>
    </w:p>
    <w:p w14:paraId="03666F6F">
      <w:pPr>
        <w:pStyle w:val="1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_Toc989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bCs/>
          <w:color w:val="auto"/>
          <w:sz w:val="32"/>
          <w:szCs w:val="32"/>
        </w:rPr>
        <w:t>（二）保障核与辐射安全</w:t>
      </w:r>
      <w:r>
        <w:rPr>
          <w:rFonts w:ascii="Times New Roman" w:hAnsi="Times New Roman" w:eastAsia="仿宋_GB2312" w:cs="Times New Roman"/>
          <w:color w:val="auto"/>
          <w:sz w:val="32"/>
          <w:szCs w:val="32"/>
          <w:highlight w:val="none"/>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_Toc989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22</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highlight w:val="none"/>
        </w:rPr>
        <w:fldChar w:fldCharType="end"/>
      </w:r>
    </w:p>
    <w:p w14:paraId="513CEEF0">
      <w:pPr>
        <w:pStyle w:val="19"/>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_Toc989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bCs/>
          <w:color w:val="auto"/>
          <w:sz w:val="32"/>
          <w:szCs w:val="32"/>
        </w:rPr>
        <w:t>（三）深化新污染物治理</w:t>
      </w:r>
      <w:r>
        <w:rPr>
          <w:rFonts w:ascii="Times New Roman" w:hAnsi="Times New Roman" w:eastAsia="仿宋_GB2312" w:cs="Times New Roman"/>
          <w:color w:val="auto"/>
          <w:sz w:val="32"/>
          <w:szCs w:val="32"/>
          <w:highlight w:val="none"/>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_Toc989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22</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_Toc23460 </w:instrText>
      </w:r>
      <w:r>
        <w:rPr>
          <w:rFonts w:hint="eastAsia" w:ascii="仿宋_GB2312" w:hAnsi="仿宋_GB2312" w:eastAsia="仿宋_GB2312" w:cs="仿宋_GB2312"/>
          <w:color w:val="auto"/>
          <w:sz w:val="32"/>
          <w:szCs w:val="32"/>
          <w:highlight w:val="none"/>
        </w:rPr>
        <w:fldChar w:fldCharType="separate"/>
      </w:r>
    </w:p>
    <w:p w14:paraId="07D1DEFB">
      <w:pPr>
        <w:pStyle w:val="19"/>
        <w:rPr>
          <w:rFonts w:hint="eastAsia"/>
          <w:color w:val="auto"/>
        </w:rPr>
      </w:pPr>
      <w:r>
        <w:rPr>
          <w:rFonts w:hint="eastAsia" w:ascii="仿宋_GB2312" w:hAnsi="仿宋_GB2312" w:eastAsia="仿宋_GB2312" w:cs="仿宋_GB2312"/>
          <w:bCs/>
          <w:color w:val="auto"/>
          <w:sz w:val="32"/>
          <w:szCs w:val="32"/>
        </w:rPr>
        <w:t>（四）主动适应气候变化</w:t>
      </w:r>
      <w:r>
        <w:rPr>
          <w:rFonts w:ascii="Times New Roman" w:hAnsi="Times New Roman" w:eastAsia="仿宋_GB2312" w:cs="Times New Roman"/>
          <w:color w:val="auto"/>
          <w:sz w:val="32"/>
          <w:szCs w:val="32"/>
          <w:highlight w:val="none"/>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_Toc23460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24</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highlight w:val="none"/>
        </w:rPr>
        <w:fldChar w:fldCharType="end"/>
      </w:r>
    </w:p>
    <w:p w14:paraId="733A4DAB">
      <w:pPr>
        <w:pStyle w:val="16"/>
        <w:tabs>
          <w:tab w:val="right" w:leader="dot" w:pos="8306"/>
        </w:tabs>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highlight w:val="none"/>
        </w:rPr>
        <w:fldChar w:fldCharType="begin"/>
      </w:r>
      <w:r>
        <w:rPr>
          <w:rFonts w:hint="eastAsia" w:ascii="仿宋_GB2312" w:hAnsi="仿宋_GB2312" w:eastAsia="仿宋_GB2312" w:cs="仿宋_GB2312"/>
          <w:b/>
          <w:bCs/>
          <w:color w:val="auto"/>
          <w:sz w:val="32"/>
          <w:szCs w:val="32"/>
          <w:highlight w:val="none"/>
        </w:rPr>
        <w:instrText xml:space="preserve"> HYPERLINK \l _Toc23460 </w:instrText>
      </w:r>
      <w:r>
        <w:rPr>
          <w:rFonts w:hint="eastAsia" w:ascii="仿宋_GB2312" w:hAnsi="仿宋_GB2312" w:eastAsia="仿宋_GB2312" w:cs="仿宋_GB2312"/>
          <w:b/>
          <w:bCs/>
          <w:color w:val="auto"/>
          <w:sz w:val="32"/>
          <w:szCs w:val="32"/>
          <w:highlight w:val="none"/>
        </w:rPr>
        <w:fldChar w:fldCharType="separate"/>
      </w:r>
      <w:r>
        <w:rPr>
          <w:rFonts w:hint="eastAsia" w:ascii="仿宋_GB2312" w:hAnsi="仿宋_GB2312" w:eastAsia="仿宋_GB2312" w:cs="仿宋_GB2312"/>
          <w:b/>
          <w:bCs/>
          <w:color w:val="auto"/>
          <w:sz w:val="32"/>
          <w:szCs w:val="32"/>
        </w:rPr>
        <w:t>八、深化改革创新，不断促进环境治理体系现代化</w:t>
      </w:r>
      <w:r>
        <w:rPr>
          <w:rFonts w:ascii="Times New Roman" w:hAnsi="Times New Roman" w:eastAsia="仿宋_GB2312" w:cs="Times New Roman"/>
          <w:b/>
          <w:bCs/>
          <w:color w:val="auto"/>
          <w:sz w:val="32"/>
          <w:szCs w:val="32"/>
          <w:highlight w:val="none"/>
        </w:rPr>
        <w:tab/>
      </w:r>
      <w:r>
        <w:rPr>
          <w:rFonts w:hint="eastAsia" w:ascii="仿宋_GB2312" w:hAnsi="仿宋_GB2312" w:eastAsia="仿宋_GB2312" w:cs="仿宋_GB2312"/>
          <w:b/>
          <w:bCs/>
          <w:color w:val="auto"/>
          <w:sz w:val="32"/>
          <w:szCs w:val="32"/>
        </w:rPr>
        <w:fldChar w:fldCharType="begin"/>
      </w:r>
      <w:r>
        <w:rPr>
          <w:rFonts w:hint="eastAsia" w:ascii="仿宋_GB2312" w:hAnsi="仿宋_GB2312" w:eastAsia="仿宋_GB2312" w:cs="仿宋_GB2312"/>
          <w:b/>
          <w:bCs/>
          <w:color w:val="auto"/>
          <w:sz w:val="32"/>
          <w:szCs w:val="32"/>
        </w:rPr>
        <w:instrText xml:space="preserve"> PAGEREF _Toc23460 \h </w:instrText>
      </w:r>
      <w:r>
        <w:rPr>
          <w:rFonts w:hint="eastAsia" w:ascii="仿宋_GB2312" w:hAnsi="仿宋_GB2312" w:eastAsia="仿宋_GB2312" w:cs="仿宋_GB2312"/>
          <w:b/>
          <w:bCs/>
          <w:color w:val="auto"/>
          <w:sz w:val="32"/>
          <w:szCs w:val="32"/>
        </w:rPr>
        <w:fldChar w:fldCharType="separate"/>
      </w:r>
      <w:r>
        <w:rPr>
          <w:rFonts w:hint="eastAsia" w:ascii="仿宋_GB2312" w:hAnsi="仿宋_GB2312" w:eastAsia="仿宋_GB2312" w:cs="仿宋_GB2312"/>
          <w:b/>
          <w:bCs/>
          <w:color w:val="auto"/>
          <w:sz w:val="32"/>
          <w:szCs w:val="32"/>
        </w:rPr>
        <w:t>24</w:t>
      </w:r>
      <w:r>
        <w:rPr>
          <w:rFonts w:hint="eastAsia" w:ascii="仿宋_GB2312" w:hAnsi="仿宋_GB2312" w:eastAsia="仿宋_GB2312" w:cs="仿宋_GB2312"/>
          <w:b/>
          <w:bCs/>
          <w:color w:val="auto"/>
          <w:sz w:val="32"/>
          <w:szCs w:val="32"/>
        </w:rPr>
        <w:fldChar w:fldCharType="end"/>
      </w:r>
      <w:r>
        <w:rPr>
          <w:rFonts w:hint="eastAsia" w:ascii="仿宋_GB2312" w:hAnsi="仿宋_GB2312" w:eastAsia="仿宋_GB2312" w:cs="仿宋_GB2312"/>
          <w:b/>
          <w:bCs/>
          <w:color w:val="auto"/>
          <w:sz w:val="32"/>
          <w:szCs w:val="32"/>
          <w:highlight w:val="none"/>
        </w:rPr>
        <w:fldChar w:fldCharType="end"/>
      </w:r>
    </w:p>
    <w:p w14:paraId="4CF7925F">
      <w:pPr>
        <w:pStyle w:val="1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_Toc10567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bCs/>
          <w:color w:val="auto"/>
          <w:sz w:val="32"/>
          <w:szCs w:val="32"/>
        </w:rPr>
        <w:t>（一）完善体制机制和政策供给</w:t>
      </w:r>
      <w:r>
        <w:rPr>
          <w:rFonts w:ascii="Times New Roman" w:hAnsi="Times New Roman" w:eastAsia="仿宋_GB2312" w:cs="Times New Roman"/>
          <w:color w:val="auto"/>
          <w:sz w:val="32"/>
          <w:szCs w:val="32"/>
          <w:highlight w:val="none"/>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_Toc10567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24</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highlight w:val="none"/>
        </w:rPr>
        <w:fldChar w:fldCharType="end"/>
      </w:r>
    </w:p>
    <w:p w14:paraId="6F7F0D49">
      <w:pPr>
        <w:pStyle w:val="1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_Toc24616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eastAsia="zh-CN"/>
        </w:rPr>
        <w:t>二</w:t>
      </w:r>
      <w:r>
        <w:rPr>
          <w:rFonts w:hint="eastAsia" w:ascii="仿宋_GB2312" w:hAnsi="仿宋_GB2312" w:eastAsia="仿宋_GB2312" w:cs="仿宋_GB2312"/>
          <w:bCs/>
          <w:color w:val="auto"/>
          <w:sz w:val="32"/>
          <w:szCs w:val="32"/>
        </w:rPr>
        <w:t>）加强科技支撑和数字赋能</w:t>
      </w:r>
      <w:r>
        <w:rPr>
          <w:rFonts w:ascii="Times New Roman" w:hAnsi="Times New Roman" w:eastAsia="仿宋_GB2312" w:cs="Times New Roman"/>
          <w:color w:val="auto"/>
          <w:sz w:val="32"/>
          <w:szCs w:val="32"/>
          <w:highlight w:val="none"/>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_Toc24616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25</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highlight w:val="none"/>
        </w:rPr>
        <w:fldChar w:fldCharType="end"/>
      </w:r>
    </w:p>
    <w:p w14:paraId="3F5C8B79">
      <w:pPr>
        <w:pStyle w:val="1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_Toc16413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bCs/>
          <w:color w:val="auto"/>
          <w:sz w:val="32"/>
          <w:szCs w:val="32"/>
        </w:rPr>
        <w:t>（三）完善社会共治体系</w:t>
      </w:r>
      <w:r>
        <w:rPr>
          <w:rFonts w:ascii="Times New Roman" w:hAnsi="Times New Roman" w:eastAsia="仿宋_GB2312" w:cs="Times New Roman"/>
          <w:color w:val="auto"/>
          <w:sz w:val="32"/>
          <w:szCs w:val="32"/>
          <w:highlight w:val="none"/>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_Toc16413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26</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highlight w:val="none"/>
        </w:rPr>
        <w:fldChar w:fldCharType="end"/>
      </w:r>
    </w:p>
    <w:p w14:paraId="5FD93B86">
      <w:pPr>
        <w:pStyle w:val="16"/>
        <w:tabs>
          <w:tab w:val="right" w:leader="dot" w:pos="8306"/>
        </w:tabs>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highlight w:val="none"/>
        </w:rPr>
        <w:fldChar w:fldCharType="begin"/>
      </w:r>
      <w:r>
        <w:rPr>
          <w:rFonts w:hint="eastAsia" w:ascii="仿宋_GB2312" w:hAnsi="仿宋_GB2312" w:eastAsia="仿宋_GB2312" w:cs="仿宋_GB2312"/>
          <w:b/>
          <w:bCs/>
          <w:color w:val="auto"/>
          <w:sz w:val="32"/>
          <w:szCs w:val="32"/>
          <w:highlight w:val="none"/>
        </w:rPr>
        <w:instrText xml:space="preserve"> HYPERLINK \l _Toc9896 </w:instrText>
      </w:r>
      <w:r>
        <w:rPr>
          <w:rFonts w:hint="eastAsia" w:ascii="仿宋_GB2312" w:hAnsi="仿宋_GB2312" w:eastAsia="仿宋_GB2312" w:cs="仿宋_GB2312"/>
          <w:b/>
          <w:bCs/>
          <w:color w:val="auto"/>
          <w:sz w:val="32"/>
          <w:szCs w:val="32"/>
          <w:highlight w:val="none"/>
        </w:rPr>
        <w:fldChar w:fldCharType="separate"/>
      </w:r>
      <w:r>
        <w:rPr>
          <w:rFonts w:hint="eastAsia" w:ascii="仿宋_GB2312" w:hAnsi="仿宋_GB2312" w:eastAsia="仿宋_GB2312" w:cs="仿宋_GB2312"/>
          <w:b/>
          <w:bCs/>
          <w:color w:val="auto"/>
          <w:sz w:val="32"/>
          <w:szCs w:val="32"/>
          <w:lang w:eastAsia="zh-CN"/>
        </w:rPr>
        <w:t>九</w:t>
      </w:r>
      <w:r>
        <w:rPr>
          <w:rFonts w:hint="eastAsia" w:ascii="仿宋_GB2312" w:hAnsi="仿宋_GB2312" w:eastAsia="仿宋_GB2312" w:cs="仿宋_GB2312"/>
          <w:b/>
          <w:bCs/>
          <w:color w:val="auto"/>
          <w:sz w:val="32"/>
          <w:szCs w:val="32"/>
        </w:rPr>
        <w:t>、保障措施</w:t>
      </w:r>
      <w:r>
        <w:rPr>
          <w:rFonts w:ascii="Times New Roman" w:hAnsi="Times New Roman" w:eastAsia="仿宋_GB2312" w:cs="Times New Roman"/>
          <w:b/>
          <w:bCs/>
          <w:color w:val="auto"/>
          <w:sz w:val="32"/>
          <w:szCs w:val="32"/>
          <w:highlight w:val="none"/>
        </w:rPr>
        <w:tab/>
      </w:r>
      <w:r>
        <w:rPr>
          <w:rFonts w:hint="eastAsia" w:ascii="仿宋_GB2312" w:hAnsi="仿宋_GB2312" w:eastAsia="仿宋_GB2312" w:cs="仿宋_GB2312"/>
          <w:b/>
          <w:bCs/>
          <w:color w:val="auto"/>
          <w:sz w:val="32"/>
          <w:szCs w:val="32"/>
        </w:rPr>
        <w:fldChar w:fldCharType="begin"/>
      </w:r>
      <w:r>
        <w:rPr>
          <w:rFonts w:hint="eastAsia" w:ascii="仿宋_GB2312" w:hAnsi="仿宋_GB2312" w:eastAsia="仿宋_GB2312" w:cs="仿宋_GB2312"/>
          <w:b/>
          <w:bCs/>
          <w:color w:val="auto"/>
          <w:sz w:val="32"/>
          <w:szCs w:val="32"/>
        </w:rPr>
        <w:instrText xml:space="preserve"> PAGEREF _Toc9896 \h </w:instrText>
      </w:r>
      <w:r>
        <w:rPr>
          <w:rFonts w:hint="eastAsia" w:ascii="仿宋_GB2312" w:hAnsi="仿宋_GB2312" w:eastAsia="仿宋_GB2312" w:cs="仿宋_GB2312"/>
          <w:b/>
          <w:bCs/>
          <w:color w:val="auto"/>
          <w:sz w:val="32"/>
          <w:szCs w:val="32"/>
        </w:rPr>
        <w:fldChar w:fldCharType="separate"/>
      </w:r>
      <w:r>
        <w:rPr>
          <w:rFonts w:hint="eastAsia" w:ascii="仿宋_GB2312" w:hAnsi="仿宋_GB2312" w:eastAsia="仿宋_GB2312" w:cs="仿宋_GB2312"/>
          <w:b/>
          <w:bCs/>
          <w:color w:val="auto"/>
          <w:sz w:val="32"/>
          <w:szCs w:val="32"/>
        </w:rPr>
        <w:t>28</w:t>
      </w:r>
      <w:r>
        <w:rPr>
          <w:rFonts w:hint="eastAsia" w:ascii="仿宋_GB2312" w:hAnsi="仿宋_GB2312" w:eastAsia="仿宋_GB2312" w:cs="仿宋_GB2312"/>
          <w:b/>
          <w:bCs/>
          <w:color w:val="auto"/>
          <w:sz w:val="32"/>
          <w:szCs w:val="32"/>
        </w:rPr>
        <w:fldChar w:fldCharType="end"/>
      </w:r>
      <w:r>
        <w:rPr>
          <w:rFonts w:hint="eastAsia" w:ascii="仿宋_GB2312" w:hAnsi="仿宋_GB2312" w:eastAsia="仿宋_GB2312" w:cs="仿宋_GB2312"/>
          <w:b/>
          <w:bCs/>
          <w:color w:val="auto"/>
          <w:sz w:val="32"/>
          <w:szCs w:val="32"/>
          <w:highlight w:val="none"/>
        </w:rPr>
        <w:fldChar w:fldCharType="end"/>
      </w:r>
    </w:p>
    <w:p w14:paraId="020CFA07">
      <w:pPr>
        <w:pStyle w:val="16"/>
        <w:tabs>
          <w:tab w:val="right" w:leader="dot" w:pos="8306"/>
        </w:tabs>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highlight w:val="none"/>
        </w:rPr>
        <w:fldChar w:fldCharType="begin"/>
      </w:r>
      <w:r>
        <w:rPr>
          <w:rFonts w:hint="eastAsia" w:ascii="仿宋_GB2312" w:hAnsi="仿宋_GB2312" w:eastAsia="仿宋_GB2312" w:cs="仿宋_GB2312"/>
          <w:b/>
          <w:bCs/>
          <w:color w:val="auto"/>
          <w:sz w:val="32"/>
          <w:szCs w:val="32"/>
          <w:highlight w:val="none"/>
        </w:rPr>
        <w:instrText xml:space="preserve"> HYPERLINK \l _Toc25400 </w:instrText>
      </w:r>
      <w:r>
        <w:rPr>
          <w:rFonts w:hint="eastAsia" w:ascii="仿宋_GB2312" w:hAnsi="仿宋_GB2312" w:eastAsia="仿宋_GB2312" w:cs="仿宋_GB2312"/>
          <w:b/>
          <w:bCs/>
          <w:color w:val="auto"/>
          <w:sz w:val="32"/>
          <w:szCs w:val="32"/>
          <w:highlight w:val="none"/>
        </w:rPr>
        <w:fldChar w:fldCharType="separate"/>
      </w:r>
      <w:r>
        <w:rPr>
          <w:rFonts w:hint="eastAsia" w:ascii="仿宋_GB2312" w:hAnsi="仿宋_GB2312" w:eastAsia="仿宋_GB2312" w:cs="仿宋_GB2312"/>
          <w:b/>
          <w:bCs/>
          <w:color w:val="auto"/>
          <w:sz w:val="32"/>
          <w:szCs w:val="32"/>
        </w:rPr>
        <w:t>附件：指标解释</w:t>
      </w:r>
      <w:r>
        <w:rPr>
          <w:rFonts w:ascii="Times New Roman" w:hAnsi="Times New Roman" w:eastAsia="仿宋_GB2312" w:cs="Times New Roman"/>
          <w:b/>
          <w:bCs/>
          <w:color w:val="auto"/>
          <w:sz w:val="32"/>
          <w:szCs w:val="32"/>
          <w:highlight w:val="none"/>
        </w:rPr>
        <w:tab/>
      </w:r>
      <w:r>
        <w:rPr>
          <w:rFonts w:hint="eastAsia" w:ascii="仿宋_GB2312" w:hAnsi="仿宋_GB2312" w:eastAsia="仿宋_GB2312" w:cs="仿宋_GB2312"/>
          <w:b/>
          <w:bCs/>
          <w:color w:val="auto"/>
          <w:sz w:val="32"/>
          <w:szCs w:val="32"/>
        </w:rPr>
        <w:fldChar w:fldCharType="begin"/>
      </w:r>
      <w:r>
        <w:rPr>
          <w:rFonts w:hint="eastAsia" w:ascii="仿宋_GB2312" w:hAnsi="仿宋_GB2312" w:eastAsia="仿宋_GB2312" w:cs="仿宋_GB2312"/>
          <w:b/>
          <w:bCs/>
          <w:color w:val="auto"/>
          <w:sz w:val="32"/>
          <w:szCs w:val="32"/>
        </w:rPr>
        <w:instrText xml:space="preserve"> PAGEREF _Toc25400 \h </w:instrText>
      </w:r>
      <w:r>
        <w:rPr>
          <w:rFonts w:hint="eastAsia" w:ascii="仿宋_GB2312" w:hAnsi="仿宋_GB2312" w:eastAsia="仿宋_GB2312" w:cs="仿宋_GB2312"/>
          <w:b/>
          <w:bCs/>
          <w:color w:val="auto"/>
          <w:sz w:val="32"/>
          <w:szCs w:val="32"/>
        </w:rPr>
        <w:fldChar w:fldCharType="separate"/>
      </w:r>
      <w:r>
        <w:rPr>
          <w:rFonts w:hint="eastAsia" w:ascii="仿宋_GB2312" w:hAnsi="仿宋_GB2312" w:eastAsia="仿宋_GB2312" w:cs="仿宋_GB2312"/>
          <w:b/>
          <w:bCs/>
          <w:color w:val="auto"/>
          <w:sz w:val="32"/>
          <w:szCs w:val="32"/>
        </w:rPr>
        <w:t>29</w:t>
      </w:r>
      <w:r>
        <w:rPr>
          <w:rFonts w:hint="eastAsia" w:ascii="仿宋_GB2312" w:hAnsi="仿宋_GB2312" w:eastAsia="仿宋_GB2312" w:cs="仿宋_GB2312"/>
          <w:b/>
          <w:bCs/>
          <w:color w:val="auto"/>
          <w:sz w:val="32"/>
          <w:szCs w:val="32"/>
        </w:rPr>
        <w:fldChar w:fldCharType="end"/>
      </w:r>
      <w:r>
        <w:rPr>
          <w:rFonts w:hint="eastAsia" w:ascii="仿宋_GB2312" w:hAnsi="仿宋_GB2312" w:eastAsia="仿宋_GB2312" w:cs="仿宋_GB2312"/>
          <w:b/>
          <w:bCs/>
          <w:color w:val="auto"/>
          <w:sz w:val="32"/>
          <w:szCs w:val="32"/>
          <w:highlight w:val="none"/>
        </w:rPr>
        <w:fldChar w:fldCharType="end"/>
      </w:r>
    </w:p>
    <w:p w14:paraId="09C4C30A">
      <w:pPr>
        <w:jc w:val="center"/>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TOC \o "1-2" \h \z \u </w:instrText>
      </w:r>
      <w:r>
        <w:rPr>
          <w:rFonts w:hint="eastAsia" w:ascii="仿宋_GB2312" w:hAnsi="仿宋_GB2312" w:eastAsia="仿宋_GB2312" w:cs="仿宋_GB2312"/>
          <w:color w:val="auto"/>
          <w:sz w:val="32"/>
          <w:szCs w:val="32"/>
        </w:rPr>
        <w:fldChar w:fldCharType="separate"/>
      </w:r>
    </w:p>
    <w:p w14:paraId="51853693">
      <w:pPr>
        <w:spacing w:line="580" w:lineRule="atLeast"/>
        <w:rPr>
          <w:rFonts w:ascii="Times New Roman" w:hAnsi="Times New Roman" w:eastAsia="仿宋_GB2312" w:cs="Times New Roman"/>
          <w:color w:val="auto"/>
          <w:sz w:val="32"/>
          <w:szCs w:val="32"/>
        </w:rPr>
        <w:sectPr>
          <w:footerReference r:id="rId4" w:type="default"/>
          <w:pgSz w:w="11906" w:h="16838"/>
          <w:pgMar w:top="1440" w:right="1800" w:bottom="1440" w:left="1800" w:header="851" w:footer="992" w:gutter="0"/>
          <w:pgNumType w:start="1"/>
          <w:cols w:space="425" w:num="1"/>
          <w:docGrid w:type="lines" w:linePitch="312" w:charSpace="0"/>
        </w:sectPr>
      </w:pPr>
      <w:r>
        <w:rPr>
          <w:rFonts w:hint="eastAsia" w:ascii="仿宋_GB2312" w:hAnsi="仿宋_GB2312" w:eastAsia="仿宋_GB2312" w:cs="仿宋_GB2312"/>
          <w:color w:val="auto"/>
          <w:sz w:val="32"/>
          <w:szCs w:val="32"/>
        </w:rPr>
        <w:fldChar w:fldCharType="end"/>
      </w:r>
    </w:p>
    <w:bookmarkEnd w:id="12"/>
    <w:p w14:paraId="7E8B7F03">
      <w:pPr>
        <w:rPr>
          <w:rFonts w:ascii="Times New Roman" w:hAnsi="Times New Roman" w:cs="Times New Roman"/>
          <w:color w:val="auto"/>
        </w:rPr>
      </w:pPr>
    </w:p>
    <w:p w14:paraId="48949F95">
      <w:pPr>
        <w:jc w:val="center"/>
        <w:outlineLvl w:val="0"/>
        <w:rPr>
          <w:rFonts w:ascii="Times New Roman" w:hAnsi="Times New Roman" w:eastAsia="黑体" w:cs="Times New Roman"/>
          <w:color w:val="auto"/>
          <w:sz w:val="44"/>
          <w:szCs w:val="44"/>
        </w:rPr>
      </w:pPr>
      <w:bookmarkStart w:id="13" w:name="_Toc17377"/>
      <w:bookmarkStart w:id="14" w:name="_Toc23240"/>
      <w:bookmarkStart w:id="15" w:name="_Toc212055951"/>
      <w:bookmarkStart w:id="16" w:name="_Toc211674069"/>
      <w:bookmarkStart w:id="17" w:name="_Toc201845032"/>
      <w:bookmarkStart w:id="18" w:name="_Toc15012"/>
      <w:bookmarkStart w:id="19" w:name="_Toc199405433"/>
      <w:bookmarkStart w:id="20" w:name="_Toc10114"/>
      <w:bookmarkStart w:id="21" w:name="_Toc20875"/>
      <w:bookmarkStart w:id="22" w:name="_Toc7893"/>
      <w:bookmarkStart w:id="23" w:name="_Toc1930"/>
      <w:r>
        <w:rPr>
          <w:rFonts w:ascii="Times New Roman" w:hAnsi="Times New Roman" w:eastAsia="黑体" w:cs="Times New Roman"/>
          <w:color w:val="auto"/>
          <w:sz w:val="44"/>
          <w:szCs w:val="44"/>
        </w:rPr>
        <w:t>前</w:t>
      </w:r>
      <w:r>
        <w:rPr>
          <w:rFonts w:hint="eastAsia" w:ascii="Times New Roman" w:hAnsi="Times New Roman" w:eastAsia="黑体" w:cs="Times New Roman"/>
          <w:color w:val="auto"/>
          <w:sz w:val="44"/>
          <w:szCs w:val="44"/>
        </w:rPr>
        <w:t xml:space="preserve"> </w:t>
      </w:r>
      <w:r>
        <w:rPr>
          <w:rFonts w:ascii="Times New Roman" w:hAnsi="Times New Roman" w:eastAsia="黑体" w:cs="Times New Roman"/>
          <w:color w:val="auto"/>
          <w:sz w:val="44"/>
          <w:szCs w:val="44"/>
        </w:rPr>
        <w:t xml:space="preserve">  言</w:t>
      </w:r>
      <w:bookmarkEnd w:id="13"/>
      <w:bookmarkEnd w:id="14"/>
      <w:bookmarkEnd w:id="15"/>
      <w:bookmarkEnd w:id="16"/>
      <w:bookmarkEnd w:id="17"/>
      <w:bookmarkEnd w:id="18"/>
      <w:bookmarkEnd w:id="19"/>
      <w:bookmarkEnd w:id="20"/>
      <w:bookmarkEnd w:id="21"/>
      <w:bookmarkEnd w:id="22"/>
      <w:bookmarkEnd w:id="23"/>
    </w:p>
    <w:p w14:paraId="08BAFCF6">
      <w:pPr>
        <w:pStyle w:val="49"/>
        <w:spacing w:line="580" w:lineRule="exact"/>
        <w:ind w:firstLine="640"/>
        <w:jc w:val="both"/>
        <w:rPr>
          <w:color w:val="auto"/>
        </w:rPr>
      </w:pPr>
    </w:p>
    <w:p w14:paraId="08871714">
      <w:pPr>
        <w:pStyle w:val="49"/>
        <w:spacing w:line="580" w:lineRule="exact"/>
        <w:ind w:firstLine="640"/>
        <w:jc w:val="both"/>
        <w:rPr>
          <w:color w:val="auto"/>
        </w:rPr>
      </w:pPr>
      <w:r>
        <w:rPr>
          <w:rFonts w:hint="eastAsia"/>
          <w:color w:val="auto"/>
        </w:rPr>
        <w:t>“</w:t>
      </w:r>
      <w:r>
        <w:rPr>
          <w:color w:val="auto"/>
        </w:rPr>
        <w:t>十四五</w:t>
      </w:r>
      <w:r>
        <w:rPr>
          <w:rFonts w:hint="eastAsia"/>
          <w:color w:val="auto"/>
        </w:rPr>
        <w:t>”</w:t>
      </w:r>
      <w:r>
        <w:rPr>
          <w:color w:val="auto"/>
        </w:rPr>
        <w:t>期间，闵行区坚持以习近平</w:t>
      </w:r>
      <w:r>
        <w:rPr>
          <w:rFonts w:hint="eastAsia"/>
          <w:color w:val="auto"/>
        </w:rPr>
        <w:t>新时代</w:t>
      </w:r>
      <w:r>
        <w:rPr>
          <w:color w:val="auto"/>
        </w:rPr>
        <w:t>中国特色社会主义思想特别是</w:t>
      </w:r>
      <w:r>
        <w:rPr>
          <w:rFonts w:hint="eastAsia"/>
          <w:color w:val="auto"/>
        </w:rPr>
        <w:t>习近平</w:t>
      </w:r>
      <w:r>
        <w:rPr>
          <w:color w:val="auto"/>
        </w:rPr>
        <w:t>生态文明思想为指导，全面贯彻落实党的十九大、二十大以及二十届</w:t>
      </w:r>
      <w:r>
        <w:rPr>
          <w:rFonts w:hint="eastAsia"/>
          <w:color w:val="auto"/>
        </w:rPr>
        <w:t>历次</w:t>
      </w:r>
      <w:r>
        <w:rPr>
          <w:color w:val="auto"/>
        </w:rPr>
        <w:t>全会精神，自觉践行</w:t>
      </w:r>
      <w:r>
        <w:rPr>
          <w:rFonts w:hint="eastAsia"/>
          <w:color w:val="auto"/>
        </w:rPr>
        <w:t>“</w:t>
      </w:r>
      <w:r>
        <w:rPr>
          <w:color w:val="auto"/>
        </w:rPr>
        <w:t>绿水青山就是金山银山</w:t>
      </w:r>
      <w:r>
        <w:rPr>
          <w:rFonts w:hint="eastAsia"/>
          <w:color w:val="auto"/>
        </w:rPr>
        <w:t>”</w:t>
      </w:r>
      <w:r>
        <w:rPr>
          <w:color w:val="auto"/>
        </w:rPr>
        <w:t>和</w:t>
      </w:r>
      <w:r>
        <w:rPr>
          <w:rFonts w:hint="eastAsia"/>
          <w:color w:val="auto"/>
        </w:rPr>
        <w:t>“</w:t>
      </w:r>
      <w:r>
        <w:rPr>
          <w:color w:val="auto"/>
        </w:rPr>
        <w:t>人民城市</w:t>
      </w:r>
      <w:r>
        <w:rPr>
          <w:rFonts w:hint="eastAsia"/>
          <w:color w:val="auto"/>
        </w:rPr>
        <w:t>”</w:t>
      </w:r>
      <w:r>
        <w:rPr>
          <w:color w:val="auto"/>
        </w:rPr>
        <w:t>重要理念，深入打好污染防治攻坚战，着力改善区域生态环境质量，持续提升生态环境治理水平，不断擦亮全区高质量发展绿色底色。</w:t>
      </w:r>
    </w:p>
    <w:p w14:paraId="418D0619">
      <w:pPr>
        <w:pStyle w:val="49"/>
        <w:spacing w:line="580" w:lineRule="exact"/>
        <w:ind w:firstLine="640"/>
        <w:jc w:val="both"/>
        <w:rPr>
          <w:color w:val="auto"/>
        </w:rPr>
      </w:pPr>
      <w:r>
        <w:rPr>
          <w:rFonts w:hint="eastAsia"/>
          <w:color w:val="auto"/>
        </w:rPr>
        <w:t>“</w:t>
      </w:r>
      <w:r>
        <w:rPr>
          <w:color w:val="auto"/>
        </w:rPr>
        <w:t>十五五</w:t>
      </w:r>
      <w:r>
        <w:rPr>
          <w:rFonts w:hint="eastAsia"/>
          <w:color w:val="auto"/>
        </w:rPr>
        <w:t>”</w:t>
      </w:r>
      <w:r>
        <w:rPr>
          <w:color w:val="auto"/>
        </w:rPr>
        <w:t>时期，是全面推进美丽中国建设的关键期，上海建设人与自然和谐共生现代化国际大都市的进程加速，闵行区生态环境保护工作依然任重道远。全区将进一步深入贯彻落实习近平生态文明思想，坚定不移实施生态优先、绿色发展战略，以美丽闵行建设为统领，持续深入打好污染防治攻坚战，不断提升生态文明建设水平，加快推进绿色高质量发展，不断促进生态惠民、利民、为民，以更大决心、更高站位、更大力度扎实推进各项工作，奋力谱写人与自然和谐共生的创新开放、生态人文、宜居安居现代化主城区建设新篇章。</w:t>
      </w:r>
    </w:p>
    <w:p w14:paraId="5A2FD0E3">
      <w:pPr>
        <w:pStyle w:val="49"/>
        <w:spacing w:line="580" w:lineRule="exact"/>
        <w:ind w:firstLine="640"/>
        <w:jc w:val="both"/>
        <w:rPr>
          <w:color w:val="auto"/>
        </w:rPr>
      </w:pPr>
      <w:r>
        <w:rPr>
          <w:color w:val="auto"/>
        </w:rPr>
        <w:t>为更好地推进闵行区</w:t>
      </w:r>
      <w:r>
        <w:rPr>
          <w:rFonts w:hint="eastAsia"/>
          <w:color w:val="auto"/>
        </w:rPr>
        <w:t>“</w:t>
      </w:r>
      <w:r>
        <w:rPr>
          <w:color w:val="auto"/>
        </w:rPr>
        <w:t>十五五</w:t>
      </w:r>
      <w:r>
        <w:rPr>
          <w:rFonts w:hint="eastAsia"/>
          <w:color w:val="auto"/>
        </w:rPr>
        <w:t>”</w:t>
      </w:r>
      <w:r>
        <w:rPr>
          <w:color w:val="auto"/>
        </w:rPr>
        <w:t>生态环境保护工作，根据《上海市闵行区国民经济和社会发展第十五个五年规划</w:t>
      </w:r>
      <w:r>
        <w:rPr>
          <w:rFonts w:hint="eastAsia"/>
          <w:color w:val="auto"/>
        </w:rPr>
        <w:t>纲要</w:t>
      </w:r>
      <w:r>
        <w:rPr>
          <w:color w:val="auto"/>
        </w:rPr>
        <w:t>》，制定本规划。</w:t>
      </w:r>
    </w:p>
    <w:p w14:paraId="776D6C34">
      <w:pPr>
        <w:rPr>
          <w:rFonts w:ascii="Times New Roman" w:hAnsi="Times New Roman" w:eastAsia="楷体_GB2312" w:cs="Times New Roman"/>
          <w:color w:val="auto"/>
          <w:sz w:val="30"/>
          <w:szCs w:val="30"/>
        </w:rPr>
      </w:pPr>
    </w:p>
    <w:p w14:paraId="3BDCFBA1">
      <w:pPr>
        <w:rPr>
          <w:rFonts w:ascii="Times New Roman" w:hAnsi="Times New Roman" w:eastAsia="楷体_GB2312" w:cs="Times New Roman"/>
          <w:color w:val="auto"/>
          <w:sz w:val="30"/>
          <w:szCs w:val="30"/>
        </w:rPr>
        <w:sectPr>
          <w:footerReference r:id="rId5" w:type="default"/>
          <w:pgSz w:w="11906" w:h="16838"/>
          <w:pgMar w:top="1440" w:right="1800" w:bottom="1440" w:left="1800" w:header="851" w:footer="992" w:gutter="0"/>
          <w:cols w:space="425" w:num="1"/>
          <w:docGrid w:type="lines" w:linePitch="312" w:charSpace="0"/>
        </w:sectPr>
      </w:pPr>
    </w:p>
    <w:p w14:paraId="27AE2954">
      <w:pPr>
        <w:spacing w:line="580" w:lineRule="exact"/>
        <w:ind w:firstLine="643" w:firstLineChars="200"/>
        <w:outlineLvl w:val="0"/>
        <w:rPr>
          <w:rFonts w:ascii="Times New Roman" w:hAnsi="Times New Roman" w:eastAsia="黑体" w:cs="Times New Roman"/>
          <w:b/>
          <w:bCs/>
          <w:color w:val="auto"/>
          <w:sz w:val="32"/>
          <w:szCs w:val="32"/>
        </w:rPr>
      </w:pPr>
      <w:bookmarkStart w:id="24" w:name="_Toc6996"/>
      <w:r>
        <w:rPr>
          <w:rFonts w:ascii="Times New Roman" w:hAnsi="Times New Roman" w:eastAsia="黑体" w:cs="Times New Roman"/>
          <w:b/>
          <w:bCs/>
          <w:color w:val="auto"/>
          <w:sz w:val="32"/>
          <w:szCs w:val="32"/>
        </w:rPr>
        <w:t>一、本区生态环境保护形势</w:t>
      </w:r>
      <w:bookmarkEnd w:id="24"/>
    </w:p>
    <w:p w14:paraId="5F744D30">
      <w:pPr>
        <w:spacing w:line="580" w:lineRule="exact"/>
        <w:ind w:firstLine="643" w:firstLineChars="200"/>
        <w:outlineLvl w:val="1"/>
        <w:rPr>
          <w:rFonts w:ascii="Times New Roman" w:hAnsi="Times New Roman" w:eastAsia="楷体_GB2312" w:cs="Times New Roman"/>
          <w:b/>
          <w:bCs/>
          <w:color w:val="auto"/>
          <w:sz w:val="32"/>
          <w:szCs w:val="32"/>
        </w:rPr>
      </w:pPr>
      <w:bookmarkStart w:id="25" w:name="_Toc201845034"/>
      <w:bookmarkStart w:id="26" w:name="_Toc26425"/>
      <w:r>
        <w:rPr>
          <w:rFonts w:ascii="Times New Roman" w:hAnsi="Times New Roman" w:eastAsia="楷体_GB2312" w:cs="Times New Roman"/>
          <w:b/>
          <w:bCs/>
          <w:color w:val="auto"/>
          <w:sz w:val="32"/>
          <w:szCs w:val="32"/>
        </w:rPr>
        <w:t>（一）</w:t>
      </w:r>
      <w:r>
        <w:rPr>
          <w:rFonts w:hint="eastAsia" w:ascii="Times New Roman" w:hAnsi="Times New Roman" w:eastAsia="楷体_GB2312" w:cs="Times New Roman"/>
          <w:b/>
          <w:bCs/>
          <w:color w:val="auto"/>
          <w:sz w:val="32"/>
          <w:szCs w:val="32"/>
        </w:rPr>
        <w:t>“</w:t>
      </w:r>
      <w:r>
        <w:rPr>
          <w:rFonts w:ascii="Times New Roman" w:hAnsi="Times New Roman" w:eastAsia="楷体_GB2312" w:cs="Times New Roman"/>
          <w:b/>
          <w:bCs/>
          <w:color w:val="auto"/>
          <w:sz w:val="32"/>
          <w:szCs w:val="32"/>
        </w:rPr>
        <w:t>十四五</w:t>
      </w:r>
      <w:r>
        <w:rPr>
          <w:rFonts w:hint="eastAsia" w:ascii="Times New Roman" w:hAnsi="Times New Roman" w:eastAsia="楷体_GB2312" w:cs="Times New Roman"/>
          <w:b/>
          <w:bCs/>
          <w:color w:val="auto"/>
          <w:sz w:val="32"/>
          <w:szCs w:val="32"/>
        </w:rPr>
        <w:t>”</w:t>
      </w:r>
      <w:r>
        <w:rPr>
          <w:rFonts w:ascii="Times New Roman" w:hAnsi="Times New Roman" w:eastAsia="楷体_GB2312" w:cs="Times New Roman"/>
          <w:b/>
          <w:bCs/>
          <w:color w:val="auto"/>
          <w:sz w:val="32"/>
          <w:szCs w:val="32"/>
        </w:rPr>
        <w:t>主要工作成效</w:t>
      </w:r>
      <w:bookmarkEnd w:id="25"/>
      <w:bookmarkEnd w:id="26"/>
    </w:p>
    <w:p w14:paraId="0BC203D5">
      <w:pPr>
        <w:pStyle w:val="49"/>
        <w:spacing w:line="580" w:lineRule="exact"/>
        <w:ind w:firstLine="640"/>
        <w:jc w:val="both"/>
        <w:rPr>
          <w:strike/>
          <w:color w:val="auto"/>
        </w:rPr>
      </w:pPr>
      <w:r>
        <w:rPr>
          <w:rFonts w:hint="eastAsia"/>
          <w:color w:val="auto"/>
        </w:rPr>
        <w:t>“十四五”以来，闵行区坚持以习近平生态文明思想为指导，自觉践行“绿水青山就是金山银山”和“人民城市”重要理念，紧紧围绕建设创新开放、生态人文、宜居安居现代化主城区的总体定位，扎实推进生态环境保护和生态文明建设，各项工作取得积极成效。全区生态环境质量实现明显改善，绿色高质量发展迈出坚实步伐，人民群众获得感、幸福感</w:t>
      </w:r>
      <w:r>
        <w:rPr>
          <w:color w:val="auto"/>
        </w:rPr>
        <w:t>、安全感不断增强，实现了</w:t>
      </w:r>
      <w:r>
        <w:rPr>
          <w:rFonts w:hint="eastAsia"/>
          <w:color w:val="auto"/>
        </w:rPr>
        <w:t>“</w:t>
      </w:r>
      <w:r>
        <w:rPr>
          <w:color w:val="auto"/>
        </w:rPr>
        <w:t>十四五</w:t>
      </w:r>
      <w:r>
        <w:rPr>
          <w:rFonts w:hint="eastAsia"/>
          <w:color w:val="auto"/>
        </w:rPr>
        <w:t>”</w:t>
      </w:r>
      <w:r>
        <w:rPr>
          <w:color w:val="auto"/>
        </w:rPr>
        <w:t>生态环境保护规划既定目标。</w:t>
      </w:r>
    </w:p>
    <w:p w14:paraId="2D19AA3E">
      <w:pPr>
        <w:spacing w:line="580" w:lineRule="exact"/>
        <w:ind w:firstLine="643" w:firstLineChars="200"/>
        <w:outlineLvl w:val="2"/>
        <w:rPr>
          <w:rFonts w:ascii="Times New Roman" w:hAnsi="Times New Roman" w:eastAsia="仿宋_GB2312" w:cs="Times New Roman"/>
          <w:b/>
          <w:bCs/>
          <w:color w:val="auto"/>
          <w:sz w:val="32"/>
          <w:szCs w:val="32"/>
        </w:rPr>
      </w:pPr>
      <w:r>
        <w:rPr>
          <w:rFonts w:ascii="Times New Roman" w:hAnsi="Times New Roman" w:eastAsia="仿宋_GB2312" w:cs="Times New Roman"/>
          <w:b/>
          <w:bCs/>
          <w:color w:val="auto"/>
          <w:sz w:val="32"/>
          <w:szCs w:val="32"/>
        </w:rPr>
        <w:t>1、污染防治攻坚取得积极成效</w:t>
      </w:r>
    </w:p>
    <w:p w14:paraId="6AACC00F">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推进完成第八轮环保三年行动计划，全面启动实施美丽闵行建设三年行动计划。</w:t>
      </w:r>
      <w:r>
        <w:rPr>
          <w:rFonts w:hint="eastAsia" w:ascii="仿宋_GB2312" w:hAnsi="仿宋_GB2312" w:eastAsia="仿宋_GB2312" w:cs="仿宋_GB2312"/>
          <w:b/>
          <w:bCs/>
          <w:color w:val="auto"/>
          <w:sz w:val="32"/>
          <w:szCs w:val="32"/>
        </w:rPr>
        <w:t xml:space="preserve">蓝天保卫战方面, </w:t>
      </w:r>
      <w:r>
        <w:rPr>
          <w:rFonts w:hint="eastAsia" w:ascii="仿宋_GB2312" w:hAnsi="仿宋_GB2312" w:eastAsia="仿宋_GB2312" w:cs="仿宋_GB2312"/>
          <w:color w:val="auto"/>
          <w:sz w:val="32"/>
          <w:szCs w:val="32"/>
        </w:rPr>
        <w:t>坚持工业源、移动源、社会源“三源”共治。完成209家重点行业企业VOC</w:t>
      </w:r>
      <w:r>
        <w:rPr>
          <w:rFonts w:hint="eastAsia" w:ascii="仿宋_GB2312" w:hAnsi="仿宋_GB2312" w:eastAsia="仿宋_GB2312" w:cs="仿宋_GB2312"/>
          <w:color w:val="auto"/>
          <w:sz w:val="32"/>
          <w:szCs w:val="32"/>
          <w:vertAlign w:val="subscript"/>
        </w:rPr>
        <w:t>S</w:t>
      </w:r>
      <w:r>
        <w:rPr>
          <w:rFonts w:hint="eastAsia" w:ascii="仿宋_GB2312" w:hAnsi="仿宋_GB2312" w:eastAsia="仿宋_GB2312" w:cs="仿宋_GB2312"/>
          <w:color w:val="auto"/>
          <w:sz w:val="32"/>
          <w:szCs w:val="32"/>
        </w:rPr>
        <w:t>综合治理，不断提升VOC</w:t>
      </w:r>
      <w:r>
        <w:rPr>
          <w:rFonts w:hint="eastAsia" w:ascii="仿宋_GB2312" w:hAnsi="仿宋_GB2312" w:eastAsia="仿宋_GB2312" w:cs="仿宋_GB2312"/>
          <w:color w:val="auto"/>
          <w:sz w:val="32"/>
          <w:szCs w:val="32"/>
          <w:vertAlign w:val="subscript"/>
        </w:rPr>
        <w:t>S</w:t>
      </w:r>
      <w:r>
        <w:rPr>
          <w:rFonts w:hint="eastAsia" w:ascii="仿宋_GB2312" w:hAnsi="仿宋_GB2312" w:eastAsia="仿宋_GB2312" w:cs="仿宋_GB2312"/>
          <w:color w:val="auto"/>
          <w:sz w:val="32"/>
          <w:szCs w:val="32"/>
        </w:rPr>
        <w:t>治理设施精细化管理水平；累计核发非道路移动机械</w:t>
      </w:r>
      <w:r>
        <w:rPr>
          <w:rFonts w:hint="eastAsia" w:ascii="仿宋_GB2312" w:hAnsi="仿宋_GB2312" w:eastAsia="仿宋_GB2312" w:cs="仿宋_GB2312"/>
          <w:color w:val="auto"/>
          <w:sz w:val="32"/>
          <w:szCs w:val="32"/>
          <w:highlight w:val="none"/>
        </w:rPr>
        <w:t>环保标志超过1.7万套，淘汰国二及以下非道路移动机械300余辆，实现区域公交新能源车和新能源出租车全覆盖；深入推进建筑工地、码头堆场、混凝土搅拌站、市政道路扬尘污染综合防控，安装扬尘在线监控设施700余套，有效提升重点领域区域扬尘数字化治理水平。</w:t>
      </w:r>
      <w:r>
        <w:rPr>
          <w:rFonts w:hint="eastAsia" w:ascii="仿宋_GB2312" w:hAnsi="仿宋_GB2312" w:eastAsia="仿宋_GB2312" w:cs="仿宋_GB2312"/>
          <w:b/>
          <w:bCs/>
          <w:color w:val="auto"/>
          <w:sz w:val="32"/>
          <w:szCs w:val="32"/>
          <w:highlight w:val="none"/>
        </w:rPr>
        <w:t>碧水保卫战方面，</w:t>
      </w:r>
      <w:r>
        <w:rPr>
          <w:rFonts w:hint="eastAsia" w:ascii="仿宋_GB2312" w:hAnsi="仿宋_GB2312" w:eastAsia="仿宋_GB2312" w:cs="仿宋_GB2312"/>
          <w:color w:val="auto"/>
          <w:sz w:val="32"/>
          <w:szCs w:val="32"/>
          <w:highlight w:val="none"/>
        </w:rPr>
        <w:t>强化黄浦江上游水源地保护力度。对一级水源保护区实施封闭式管理，完成二级水源保护区工业企业关闭</w:t>
      </w:r>
      <w:r>
        <w:rPr>
          <w:rFonts w:hint="eastAsia" w:ascii="仿宋_GB2312" w:hAnsi="仿宋_GB2312" w:eastAsia="仿宋_GB2312" w:cs="仿宋_GB2312"/>
          <w:color w:val="auto"/>
          <w:sz w:val="32"/>
          <w:szCs w:val="32"/>
          <w:highlight w:val="none"/>
          <w:lang w:eastAsia="zh-CN"/>
        </w:rPr>
        <w:t>或</w:t>
      </w:r>
      <w:r>
        <w:rPr>
          <w:rFonts w:hint="eastAsia" w:ascii="仿宋_GB2312" w:hAnsi="仿宋_GB2312" w:eastAsia="仿宋_GB2312" w:cs="仿宋_GB2312"/>
          <w:color w:val="auto"/>
          <w:sz w:val="32"/>
          <w:szCs w:val="32"/>
          <w:highlight w:val="none"/>
        </w:rPr>
        <w:t>清拆；完成全区1203公里河道入河排污口排查溯源，有序推进排污口规范化整治；持续推进吴泾、浦江等６个街镇生态清洁小流域建设，完成35.7公里骨干河道整治，累计增加河湖面积102.5公顷。</w:t>
      </w:r>
      <w:r>
        <w:rPr>
          <w:rFonts w:hint="eastAsia" w:ascii="仿宋_GB2312" w:hAnsi="仿宋_GB2312" w:eastAsia="仿宋_GB2312" w:cs="仿宋_GB2312"/>
          <w:b/>
          <w:bCs/>
          <w:color w:val="auto"/>
          <w:sz w:val="32"/>
          <w:szCs w:val="32"/>
          <w:highlight w:val="none"/>
        </w:rPr>
        <w:t>净土保卫战方面，</w:t>
      </w:r>
      <w:r>
        <w:rPr>
          <w:rFonts w:hint="eastAsia" w:ascii="仿宋_GB2312" w:hAnsi="仿宋_GB2312" w:eastAsia="仿宋_GB2312" w:cs="仿宋_GB2312"/>
          <w:color w:val="auto"/>
          <w:sz w:val="32"/>
          <w:szCs w:val="32"/>
          <w:highlight w:val="none"/>
        </w:rPr>
        <w:t>加强建设用地风险管控，完成217个开发建设地块的土壤污染状况调查评估和6个污染地块治理修复，推进重点行业企业开展土壤污染隐患排查及自行监测。完成吴泾工业区土壤</w:t>
      </w:r>
      <w:r>
        <w:rPr>
          <w:rFonts w:hint="eastAsia" w:ascii="仿宋_GB2312" w:hAnsi="仿宋_GB2312" w:eastAsia="仿宋_GB2312" w:cs="仿宋_GB2312"/>
          <w:color w:val="auto"/>
          <w:sz w:val="32"/>
          <w:szCs w:val="32"/>
          <w:highlight w:val="none"/>
          <w:lang w:eastAsia="zh-CN"/>
        </w:rPr>
        <w:t>和地下水</w:t>
      </w:r>
      <w:r>
        <w:rPr>
          <w:rFonts w:hint="eastAsia" w:ascii="仿宋_GB2312" w:hAnsi="仿宋_GB2312" w:eastAsia="仿宋_GB2312" w:cs="仿宋_GB2312"/>
          <w:color w:val="auto"/>
          <w:sz w:val="32"/>
          <w:szCs w:val="32"/>
          <w:highlight w:val="none"/>
        </w:rPr>
        <w:t>污染状况摸底调查。加强农用地污染源头防控，农药包装、废弃农膜、废弃黄板等农业废弃物实现应收尽收。全区氮氧化物、挥发性有机物、化学需氧量、氨氮排放量相较于2020年分别削减134.40吨、828.71吨、20.82吨和1.95吨，超额完成“十四五”主要污染物总量减排任务。全区生态环境质量持续向好，至2025年底，全区大气常规污染物全面达到国家二级标准，细颗粒物（PM</w:t>
      </w:r>
      <w:r>
        <w:rPr>
          <w:rFonts w:hint="eastAsia" w:ascii="仿宋_GB2312" w:hAnsi="仿宋_GB2312" w:eastAsia="仿宋_GB2312" w:cs="仿宋_GB2312"/>
          <w:color w:val="auto"/>
          <w:sz w:val="32"/>
          <w:szCs w:val="32"/>
          <w:highlight w:val="none"/>
          <w:vertAlign w:val="subscript"/>
        </w:rPr>
        <w:t>2.5</w:t>
      </w:r>
      <w:r>
        <w:rPr>
          <w:rFonts w:hint="eastAsia" w:ascii="仿宋_GB2312" w:hAnsi="仿宋_GB2312" w:eastAsia="仿宋_GB2312" w:cs="仿宋_GB2312"/>
          <w:color w:val="auto"/>
          <w:sz w:val="32"/>
          <w:szCs w:val="32"/>
          <w:highlight w:val="none"/>
        </w:rPr>
        <w:t>）年均浓度为27.5微克/立方米，比十三五末下降13%；全区20个市考断面水质达标率提升至100%，优Ⅲ类水体比例达到100%；土壤和地下水环境质量保持稳定，受污染耕地和</w:t>
      </w:r>
      <w:r>
        <w:rPr>
          <w:rFonts w:hint="eastAsia" w:ascii="仿宋_GB2312" w:hAnsi="仿宋_GB2312" w:eastAsia="仿宋_GB2312" w:cs="仿宋_GB2312"/>
          <w:color w:val="auto"/>
          <w:sz w:val="32"/>
          <w:szCs w:val="32"/>
          <w:highlight w:val="none"/>
          <w:lang w:eastAsia="zh-CN"/>
        </w:rPr>
        <w:t>重点建设用地</w:t>
      </w:r>
      <w:r>
        <w:rPr>
          <w:rFonts w:hint="eastAsia" w:ascii="仿宋_GB2312" w:hAnsi="仿宋_GB2312" w:eastAsia="仿宋_GB2312" w:cs="仿宋_GB2312"/>
          <w:color w:val="auto"/>
          <w:sz w:val="32"/>
          <w:szCs w:val="32"/>
          <w:highlight w:val="none"/>
        </w:rPr>
        <w:t>安全利用率均达到100%。</w:t>
      </w:r>
    </w:p>
    <w:p w14:paraId="6B09E7C5">
      <w:pPr>
        <w:spacing w:line="580" w:lineRule="exact"/>
        <w:ind w:firstLine="643" w:firstLineChars="200"/>
        <w:rPr>
          <w:rFonts w:ascii="Times New Roman" w:hAnsi="Times New Roman" w:eastAsia="仿宋_GB2312" w:cs="Times New Roman"/>
          <w:b/>
          <w:bCs/>
          <w:color w:val="auto"/>
          <w:sz w:val="32"/>
          <w:szCs w:val="32"/>
          <w:highlight w:val="none"/>
        </w:rPr>
      </w:pPr>
      <w:r>
        <w:rPr>
          <w:rFonts w:ascii="Times New Roman" w:hAnsi="Times New Roman" w:eastAsia="仿宋_GB2312" w:cs="Times New Roman"/>
          <w:b/>
          <w:bCs/>
          <w:color w:val="auto"/>
          <w:sz w:val="32"/>
          <w:szCs w:val="32"/>
          <w:highlight w:val="none"/>
        </w:rPr>
        <w:t>2、环境基础设施建管水平进一步提高</w:t>
      </w:r>
    </w:p>
    <w:p w14:paraId="760D5172">
      <w:pPr>
        <w:pStyle w:val="49"/>
        <w:spacing w:line="580" w:lineRule="exact"/>
        <w:ind w:firstLine="643"/>
        <w:jc w:val="both"/>
        <w:rPr>
          <w:b/>
          <w:bCs/>
          <w:color w:val="auto"/>
          <w:highlight w:val="none"/>
        </w:rPr>
      </w:pPr>
      <w:r>
        <w:rPr>
          <w:b/>
          <w:bCs/>
          <w:color w:val="auto"/>
          <w:highlight w:val="none"/>
        </w:rPr>
        <w:t>污水处理方面，</w:t>
      </w:r>
      <w:r>
        <w:rPr>
          <w:color w:val="auto"/>
          <w:highlight w:val="none"/>
        </w:rPr>
        <w:t>强化污水管网建设，实施初雨治理和雨污混接改造，积极推进排水泵站初雨调蓄设施建设，不断提升雨污水管网运维水平。完成</w:t>
      </w:r>
      <w:r>
        <w:rPr>
          <w:rFonts w:hint="eastAsia" w:ascii="仿宋_GB2312" w:hAnsi="仿宋_GB2312" w:cs="仿宋_GB2312"/>
          <w:color w:val="auto"/>
          <w:highlight w:val="none"/>
        </w:rPr>
        <w:t>70座老旧农污处理设施改造，农村生活污水治理率达100%。</w:t>
      </w:r>
      <w:r>
        <w:rPr>
          <w:b/>
          <w:bCs/>
          <w:color w:val="auto"/>
          <w:highlight w:val="none"/>
        </w:rPr>
        <w:t>生活垃圾处理方面，</w:t>
      </w:r>
      <w:r>
        <w:rPr>
          <w:rFonts w:hint="eastAsia"/>
          <w:color w:val="auto"/>
          <w:highlight w:val="none"/>
        </w:rPr>
        <w:t>建立生活垃圾全程分类收运处理系统和全覆盖的可回收物点站场体系，生活垃圾分类实效综合评估值</w:t>
      </w:r>
      <w:r>
        <w:rPr>
          <w:color w:val="auto"/>
          <w:highlight w:val="none"/>
        </w:rPr>
        <w:t>、回收利用率分</w:t>
      </w:r>
      <w:r>
        <w:rPr>
          <w:rFonts w:hint="eastAsia" w:ascii="仿宋_GB2312" w:hAnsi="仿宋_GB2312" w:cs="仿宋_GB2312"/>
          <w:color w:val="auto"/>
          <w:highlight w:val="none"/>
        </w:rPr>
        <w:t>别达到</w:t>
      </w:r>
      <w:r>
        <w:rPr>
          <w:rFonts w:hint="eastAsia" w:ascii="仿宋_GB2312" w:hAnsi="仿宋_GB2312" w:cs="仿宋_GB2312"/>
          <w:color w:val="auto"/>
          <w:highlight w:val="none"/>
          <w:lang w:val="en-US" w:eastAsia="zh-CN"/>
        </w:rPr>
        <w:t>95分</w:t>
      </w:r>
      <w:r>
        <w:rPr>
          <w:rFonts w:hint="eastAsia" w:ascii="仿宋_GB2312" w:hAnsi="仿宋_GB2312" w:cs="仿宋_GB2312"/>
          <w:color w:val="auto"/>
          <w:highlight w:val="none"/>
        </w:rPr>
        <w:t>、45%以上</w:t>
      </w:r>
      <w:r>
        <w:rPr>
          <w:color w:val="auto"/>
          <w:highlight w:val="none"/>
        </w:rPr>
        <w:t>。闵行东部资源化利用中心项目</w:t>
      </w:r>
      <w:r>
        <w:rPr>
          <w:rFonts w:hint="eastAsia"/>
          <w:color w:val="auto"/>
          <w:highlight w:val="none"/>
        </w:rPr>
        <w:t>和闵东生活垃圾中转站建成运营</w:t>
      </w:r>
      <w:r>
        <w:rPr>
          <w:color w:val="auto"/>
          <w:highlight w:val="none"/>
        </w:rPr>
        <w:t>，全区生活垃圾处理处置能力有效提升。</w:t>
      </w:r>
      <w:r>
        <w:rPr>
          <w:b/>
          <w:bCs/>
          <w:color w:val="auto"/>
          <w:highlight w:val="none"/>
        </w:rPr>
        <w:t>其他固体废物处置方面，</w:t>
      </w:r>
      <w:r>
        <w:rPr>
          <w:color w:val="auto"/>
          <w:highlight w:val="none"/>
        </w:rPr>
        <w:t>马桥和华漕建筑垃圾再生资源化利用处置项目建成投运，全区装修和拆房垃圾资源化处理率</w:t>
      </w:r>
      <w:r>
        <w:rPr>
          <w:rFonts w:hint="eastAsia" w:ascii="仿宋_GB2312" w:hAnsi="仿宋_GB2312" w:cs="仿宋_GB2312"/>
          <w:color w:val="auto"/>
          <w:highlight w:val="none"/>
        </w:rPr>
        <w:t>达75%以上。在全市率先试点危险废物电子标签应用，推进危险废物全生命</w:t>
      </w:r>
      <w:r>
        <w:rPr>
          <w:color w:val="auto"/>
          <w:highlight w:val="none"/>
        </w:rPr>
        <w:t>周期信息化管理，建成覆盖全区全域的危险废物小微收运平台和</w:t>
      </w:r>
      <w:r>
        <w:rPr>
          <w:rFonts w:hint="eastAsia"/>
          <w:color w:val="auto"/>
          <w:highlight w:val="none"/>
        </w:rPr>
        <w:t>“</w:t>
      </w:r>
      <w:r>
        <w:rPr>
          <w:color w:val="auto"/>
          <w:highlight w:val="none"/>
        </w:rPr>
        <w:t>小医废</w:t>
      </w:r>
      <w:r>
        <w:rPr>
          <w:rFonts w:hint="eastAsia"/>
          <w:color w:val="auto"/>
          <w:highlight w:val="none"/>
        </w:rPr>
        <w:t>”</w:t>
      </w:r>
      <w:r>
        <w:rPr>
          <w:color w:val="auto"/>
          <w:highlight w:val="none"/>
        </w:rPr>
        <w:t>收运体系。建立区固体废物智能监管平台，持续推进固体废物管理领域的数字化转型。</w:t>
      </w:r>
    </w:p>
    <w:p w14:paraId="77FA7D5E">
      <w:pPr>
        <w:spacing w:line="580" w:lineRule="exact"/>
        <w:ind w:firstLine="643" w:firstLineChars="200"/>
        <w:outlineLvl w:val="2"/>
        <w:rPr>
          <w:rFonts w:ascii="Times New Roman" w:hAnsi="Times New Roman" w:eastAsia="仿宋_GB2312" w:cs="Times New Roman"/>
          <w:b/>
          <w:bCs/>
          <w:color w:val="auto"/>
          <w:sz w:val="32"/>
          <w:szCs w:val="32"/>
          <w:highlight w:val="none"/>
        </w:rPr>
      </w:pPr>
      <w:r>
        <w:rPr>
          <w:rFonts w:ascii="Times New Roman" w:hAnsi="Times New Roman" w:eastAsia="仿宋_GB2312" w:cs="Times New Roman"/>
          <w:b/>
          <w:bCs/>
          <w:color w:val="auto"/>
          <w:sz w:val="32"/>
          <w:szCs w:val="32"/>
          <w:highlight w:val="none"/>
        </w:rPr>
        <w:t xml:space="preserve">3、绿色低碳转型持续深入 </w:t>
      </w:r>
    </w:p>
    <w:p w14:paraId="5FA88232">
      <w:pPr>
        <w:spacing w:line="58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加快产业绿色发展。</w:t>
      </w:r>
      <w:r>
        <w:rPr>
          <w:rFonts w:ascii="Times New Roman" w:hAnsi="Times New Roman" w:eastAsia="仿宋_GB2312" w:cs="Times New Roman"/>
          <w:color w:val="auto"/>
          <w:sz w:val="32"/>
          <w:szCs w:val="32"/>
          <w:highlight w:val="none"/>
        </w:rPr>
        <w:t>加强</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三线一单</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成果运用，完成全</w:t>
      </w:r>
      <w:r>
        <w:rPr>
          <w:rFonts w:hint="eastAsia" w:ascii="仿宋_GB2312" w:hAnsi="仿宋_GB2312" w:eastAsia="仿宋_GB2312" w:cs="仿宋_GB2312"/>
          <w:color w:val="auto"/>
          <w:kern w:val="0"/>
          <w:sz w:val="32"/>
          <w:szCs w:val="32"/>
          <w:highlight w:val="none"/>
        </w:rPr>
        <w:t>区11个保留产业园区的规划环评全覆盖，持续开展“三线一单”和规划环评实施情况跟踪评估。十四五以来，累计完成企业产业结构调整100余家，有效释放存量产业空间。推动绿色制造体系发展，累计创建绿色工厂45家、绿色供应链1</w:t>
      </w: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家，推动莘庄工业区创建绿色园区。累计推动80余家工业企业</w:t>
      </w:r>
      <w:r>
        <w:rPr>
          <w:rFonts w:ascii="Times New Roman" w:hAnsi="Times New Roman" w:eastAsia="仿宋_GB2312" w:cs="Times New Roman"/>
          <w:color w:val="auto"/>
          <w:sz w:val="32"/>
          <w:szCs w:val="32"/>
          <w:highlight w:val="none"/>
        </w:rPr>
        <w:t>开展清洁生产审核。</w:t>
      </w:r>
      <w:r>
        <w:rPr>
          <w:rFonts w:hint="eastAsia" w:ascii="仿宋_GB2312" w:hAnsi="仿宋_GB2312" w:eastAsia="仿宋_GB2312" w:cs="仿宋_GB2312"/>
          <w:color w:val="auto"/>
          <w:kern w:val="0"/>
          <w:sz w:val="32"/>
          <w:szCs w:val="32"/>
          <w:highlight w:val="none"/>
        </w:rPr>
        <w:t>推广绿色建筑，“十四五”以来全区推进超低能耗建筑示范200万平方米，新建绿色建筑占比为100%。构建低碳交通体系，全区现有新能源公交车占比达100%，区内在线共享单车数量达到18.15万辆。实施慢行交通体验提升工程，虹桥商务区北片区创建成为慢行</w:t>
      </w:r>
      <w:r>
        <w:rPr>
          <w:rFonts w:hint="eastAsia" w:ascii="仿宋_GB2312" w:hAnsi="仿宋_GB2312" w:eastAsia="仿宋_GB2312" w:cs="仿宋_GB2312"/>
          <w:color w:val="auto"/>
          <w:kern w:val="0"/>
          <w:sz w:val="32"/>
          <w:szCs w:val="32"/>
          <w:highlight w:val="none"/>
          <w:lang w:eastAsia="zh-CN"/>
        </w:rPr>
        <w:t>精品</w:t>
      </w:r>
      <w:r>
        <w:rPr>
          <w:rFonts w:hint="eastAsia" w:ascii="仿宋_GB2312" w:hAnsi="仿宋_GB2312" w:eastAsia="仿宋_GB2312" w:cs="仿宋_GB2312"/>
          <w:color w:val="auto"/>
          <w:kern w:val="0"/>
          <w:sz w:val="32"/>
          <w:szCs w:val="32"/>
          <w:highlight w:val="none"/>
        </w:rPr>
        <w:t>区。全区内河码头全部完成低压标准化岸电建设，600总吨以上内河船舶岸电使用率100%。</w:t>
      </w:r>
      <w:r>
        <w:rPr>
          <w:rFonts w:ascii="Times New Roman" w:hAnsi="Times New Roman" w:eastAsia="仿宋_GB2312" w:cs="Times New Roman"/>
          <w:b/>
          <w:bCs/>
          <w:color w:val="auto"/>
          <w:sz w:val="32"/>
          <w:szCs w:val="32"/>
          <w:highlight w:val="none"/>
        </w:rPr>
        <w:t>积极推进</w:t>
      </w:r>
      <w:r>
        <w:rPr>
          <w:rFonts w:hint="eastAsia" w:ascii="Times New Roman" w:hAnsi="Times New Roman" w:eastAsia="仿宋_GB2312" w:cs="Times New Roman"/>
          <w:b/>
          <w:bCs/>
          <w:color w:val="auto"/>
          <w:sz w:val="32"/>
          <w:szCs w:val="32"/>
          <w:highlight w:val="none"/>
        </w:rPr>
        <w:t>“</w:t>
      </w:r>
      <w:r>
        <w:rPr>
          <w:rFonts w:ascii="Times New Roman" w:hAnsi="Times New Roman" w:eastAsia="仿宋_GB2312" w:cs="Times New Roman"/>
          <w:b/>
          <w:bCs/>
          <w:color w:val="auto"/>
          <w:sz w:val="32"/>
          <w:szCs w:val="32"/>
          <w:highlight w:val="none"/>
        </w:rPr>
        <w:t>双碳</w:t>
      </w:r>
      <w:r>
        <w:rPr>
          <w:rFonts w:hint="eastAsia" w:ascii="Times New Roman" w:hAnsi="Times New Roman" w:eastAsia="仿宋_GB2312" w:cs="Times New Roman"/>
          <w:b/>
          <w:bCs/>
          <w:color w:val="auto"/>
          <w:sz w:val="32"/>
          <w:szCs w:val="32"/>
          <w:highlight w:val="none"/>
        </w:rPr>
        <w:t>”</w:t>
      </w:r>
      <w:r>
        <w:rPr>
          <w:rFonts w:ascii="Times New Roman" w:hAnsi="Times New Roman" w:eastAsia="仿宋_GB2312" w:cs="Times New Roman"/>
          <w:b/>
          <w:bCs/>
          <w:color w:val="auto"/>
          <w:sz w:val="32"/>
          <w:szCs w:val="32"/>
          <w:highlight w:val="none"/>
        </w:rPr>
        <w:t>工作。</w:t>
      </w:r>
      <w:r>
        <w:rPr>
          <w:rFonts w:ascii="Times New Roman" w:hAnsi="Times New Roman" w:eastAsia="仿宋_GB2312" w:cs="Times New Roman"/>
          <w:color w:val="auto"/>
          <w:sz w:val="32"/>
          <w:szCs w:val="32"/>
          <w:highlight w:val="none"/>
        </w:rPr>
        <w:t>各产业园区开展多样化低碳发展路径探索，闵行经济技术开发区率先创建</w:t>
      </w:r>
      <w:r>
        <w:rPr>
          <w:rFonts w:hint="eastAsia" w:ascii="Times New Roman" w:hAnsi="Times New Roman" w:eastAsia="仿宋_GB2312" w:cs="Times New Roman"/>
          <w:color w:val="auto"/>
          <w:sz w:val="32"/>
          <w:szCs w:val="32"/>
          <w:highlight w:val="none"/>
        </w:rPr>
        <w:t>市级</w:t>
      </w:r>
      <w:r>
        <w:rPr>
          <w:rFonts w:ascii="Times New Roman" w:hAnsi="Times New Roman" w:eastAsia="仿宋_GB2312" w:cs="Times New Roman"/>
          <w:color w:val="auto"/>
          <w:sz w:val="32"/>
          <w:szCs w:val="32"/>
          <w:highlight w:val="none"/>
        </w:rPr>
        <w:t>零碳示范园区；动</w:t>
      </w:r>
      <w:r>
        <w:rPr>
          <w:rFonts w:hint="eastAsia" w:ascii="仿宋_GB2312" w:hAnsi="仿宋_GB2312" w:eastAsia="仿宋_GB2312" w:cs="仿宋_GB2312"/>
          <w:color w:val="auto"/>
          <w:kern w:val="0"/>
          <w:sz w:val="32"/>
          <w:szCs w:val="32"/>
          <w:highlight w:val="none"/>
        </w:rPr>
        <w:t>态编制全区温室气体排放清单，及时掌握温室气体排放情况；辖区内5家纳入全国碳市场、35家纳入上海市碳市场企业全部按时完成年度履约清缴；推动34个分</w:t>
      </w:r>
      <w:r>
        <w:rPr>
          <w:rFonts w:ascii="Times New Roman" w:hAnsi="Times New Roman" w:eastAsia="仿宋_GB2312" w:cs="Times New Roman"/>
          <w:color w:val="auto"/>
          <w:sz w:val="32"/>
          <w:szCs w:val="32"/>
          <w:highlight w:val="none"/>
        </w:rPr>
        <w:t>布式光伏发电项目申报碳普惠政策，鼓励企业购买绿电、绿证。</w:t>
      </w:r>
    </w:p>
    <w:p w14:paraId="5E97AC87">
      <w:pPr>
        <w:spacing w:line="580" w:lineRule="exact"/>
        <w:ind w:firstLine="643" w:firstLineChars="200"/>
        <w:outlineLvl w:val="2"/>
        <w:rPr>
          <w:rFonts w:ascii="Times New Roman" w:hAnsi="Times New Roman" w:eastAsia="仿宋_GB2312" w:cs="Times New Roman"/>
          <w:b/>
          <w:bCs/>
          <w:color w:val="auto"/>
          <w:sz w:val="32"/>
          <w:szCs w:val="32"/>
          <w:highlight w:val="none"/>
        </w:rPr>
      </w:pPr>
      <w:r>
        <w:rPr>
          <w:rFonts w:ascii="Times New Roman" w:hAnsi="Times New Roman" w:eastAsia="仿宋_GB2312" w:cs="Times New Roman"/>
          <w:b/>
          <w:bCs/>
          <w:color w:val="auto"/>
          <w:sz w:val="32"/>
          <w:szCs w:val="32"/>
          <w:highlight w:val="none"/>
        </w:rPr>
        <w:t>4、生态宜居水平进一步提升</w:t>
      </w:r>
    </w:p>
    <w:p w14:paraId="7BC29440">
      <w:pPr>
        <w:adjustRightInd w:val="0"/>
        <w:snapToGrid w:val="0"/>
        <w:spacing w:line="58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不断拓展绿色空间。</w:t>
      </w:r>
      <w:r>
        <w:rPr>
          <w:rFonts w:ascii="Times New Roman" w:hAnsi="Times New Roman" w:eastAsia="仿宋_GB2312" w:cs="Times New Roman"/>
          <w:color w:val="auto"/>
          <w:sz w:val="32"/>
          <w:szCs w:val="32"/>
          <w:highlight w:val="none"/>
        </w:rPr>
        <w:t>编制实施《闵行区公园城市建设总体方案》、《闵行区公园城市建设专项</w:t>
      </w:r>
      <w:r>
        <w:rPr>
          <w:rFonts w:hint="eastAsia" w:ascii="Times New Roman" w:hAnsi="Times New Roman" w:eastAsia="仿宋_GB2312" w:cs="Times New Roman"/>
          <w:color w:val="auto"/>
          <w:sz w:val="32"/>
          <w:szCs w:val="32"/>
          <w:highlight w:val="none"/>
        </w:rPr>
        <w:t>规划（2022-2030年）》，加快推进公园城市建设。建成闵行大零号湾科创公园、七宝商务区绿化轴、马桥未来之舟公园先行启动区等一批重点项目，新增各类公园121座、各类</w:t>
      </w:r>
      <w:r>
        <w:rPr>
          <w:rFonts w:hint="eastAsia" w:ascii="仿宋_GB2312" w:hAnsi="仿宋_GB2312" w:eastAsia="仿宋_GB2312" w:cs="仿宋_GB2312"/>
          <w:color w:val="auto"/>
          <w:kern w:val="0"/>
          <w:sz w:val="32"/>
          <w:szCs w:val="32"/>
          <w:highlight w:val="none"/>
        </w:rPr>
        <w:t>绿地488公顷、各类绿道132公里，人均公园绿地面积达到11.1平方米。闵行文化公园等11座公园围墙打开，全区40座城市公园24小时开放，11个单位附属绿地开放，</w:t>
      </w:r>
      <w:r>
        <w:rPr>
          <w:rFonts w:ascii="Times New Roman" w:hAnsi="Times New Roman" w:eastAsia="仿宋_GB2312" w:cs="Times New Roman"/>
          <w:color w:val="auto"/>
          <w:sz w:val="32"/>
          <w:szCs w:val="32"/>
          <w:highlight w:val="none"/>
        </w:rPr>
        <w:t>积极拓展</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公园+</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服务功能，有序推行无界融合管理新模式。</w:t>
      </w:r>
      <w:r>
        <w:rPr>
          <w:rFonts w:ascii="Times New Roman" w:hAnsi="Times New Roman" w:eastAsia="仿宋_GB2312" w:cs="Times New Roman"/>
          <w:b/>
          <w:bCs/>
          <w:color w:val="auto"/>
          <w:sz w:val="32"/>
          <w:szCs w:val="32"/>
          <w:highlight w:val="none"/>
        </w:rPr>
        <w:t>不断夯实生态基底。</w:t>
      </w:r>
      <w:r>
        <w:rPr>
          <w:rFonts w:ascii="Times New Roman" w:hAnsi="Times New Roman" w:eastAsia="仿宋_GB2312" w:cs="Times New Roman"/>
          <w:color w:val="auto"/>
          <w:sz w:val="32"/>
          <w:szCs w:val="32"/>
          <w:highlight w:val="none"/>
        </w:rPr>
        <w:t>结合一般公益林和生态廊道建设，持续增加森林面积，全区森林覆盖</w:t>
      </w:r>
      <w:r>
        <w:rPr>
          <w:rFonts w:hint="eastAsia" w:ascii="仿宋_GB2312" w:hAnsi="仿宋_GB2312" w:eastAsia="仿宋_GB2312" w:cs="仿宋_GB2312"/>
          <w:color w:val="auto"/>
          <w:kern w:val="0"/>
          <w:sz w:val="32"/>
          <w:szCs w:val="32"/>
          <w:highlight w:val="none"/>
        </w:rPr>
        <w:t>率达19.33%（按原口径为19.98%）。</w:t>
      </w:r>
      <w:r>
        <w:rPr>
          <w:rFonts w:ascii="Times New Roman" w:hAnsi="Times New Roman" w:eastAsia="仿宋_GB2312" w:cs="Times New Roman"/>
          <w:color w:val="auto"/>
          <w:sz w:val="32"/>
          <w:szCs w:val="32"/>
          <w:highlight w:val="none"/>
        </w:rPr>
        <w:t>完善落实林长制，建立林木权属</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一街镇一册</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清单，加大公益林巡查检查力度，切实提高监督实效。围绕浦江郊野公园湿地内小生境提升为目标，开展特色湿地景观和水质改善工作，成功打造浦江蛙类野生动物重要栖息地、华漕吴淞江鸟类栖息地、吴泾塘湾野生动物栖息地以及浦江郊野公园生态湿地</w:t>
      </w:r>
      <w:r>
        <w:rPr>
          <w:rFonts w:hint="eastAsia" w:ascii="仿宋_GB2312" w:hAnsi="仿宋_GB2312" w:eastAsia="仿宋_GB2312" w:cs="仿宋_GB2312"/>
          <w:color w:val="auto"/>
          <w:kern w:val="0"/>
          <w:sz w:val="32"/>
          <w:szCs w:val="32"/>
          <w:highlight w:val="none"/>
        </w:rPr>
        <w:t>等4</w:t>
      </w:r>
      <w:r>
        <w:rPr>
          <w:rFonts w:ascii="Times New Roman" w:hAnsi="Times New Roman" w:eastAsia="仿宋_GB2312" w:cs="Times New Roman"/>
          <w:color w:val="auto"/>
          <w:sz w:val="32"/>
          <w:szCs w:val="32"/>
          <w:highlight w:val="none"/>
        </w:rPr>
        <w:t>处重要生态节点，显著提升地区生物多样性。</w:t>
      </w:r>
      <w:r>
        <w:rPr>
          <w:rFonts w:ascii="Times New Roman" w:hAnsi="Times New Roman" w:eastAsia="仿宋_GB2312" w:cs="Times New Roman"/>
          <w:b/>
          <w:bCs/>
          <w:color w:val="auto"/>
          <w:sz w:val="32"/>
          <w:szCs w:val="32"/>
          <w:highlight w:val="none"/>
        </w:rPr>
        <w:t>用心破解</w:t>
      </w:r>
      <w:r>
        <w:rPr>
          <w:rFonts w:hint="eastAsia" w:ascii="Times New Roman" w:hAnsi="Times New Roman" w:eastAsia="仿宋_GB2312" w:cs="Times New Roman"/>
          <w:b/>
          <w:bCs/>
          <w:color w:val="auto"/>
          <w:sz w:val="32"/>
          <w:szCs w:val="32"/>
          <w:highlight w:val="none"/>
        </w:rPr>
        <w:t>“</w:t>
      </w:r>
      <w:r>
        <w:rPr>
          <w:rFonts w:ascii="Times New Roman" w:hAnsi="Times New Roman" w:eastAsia="仿宋_GB2312" w:cs="Times New Roman"/>
          <w:b/>
          <w:bCs/>
          <w:color w:val="auto"/>
          <w:sz w:val="32"/>
          <w:szCs w:val="32"/>
          <w:highlight w:val="none"/>
        </w:rPr>
        <w:t>关键小事</w:t>
      </w:r>
      <w:r>
        <w:rPr>
          <w:rFonts w:hint="eastAsia" w:ascii="Times New Roman" w:hAnsi="Times New Roman" w:eastAsia="仿宋_GB2312" w:cs="Times New Roman"/>
          <w:b/>
          <w:bCs/>
          <w:color w:val="auto"/>
          <w:sz w:val="32"/>
          <w:szCs w:val="32"/>
          <w:highlight w:val="none"/>
        </w:rPr>
        <w:t>”</w:t>
      </w:r>
      <w:r>
        <w:rPr>
          <w:rFonts w:ascii="Times New Roman" w:hAnsi="Times New Roman" w:eastAsia="仿宋_GB2312" w:cs="Times New Roman"/>
          <w:b/>
          <w:bCs/>
          <w:color w:val="auto"/>
          <w:sz w:val="32"/>
          <w:szCs w:val="32"/>
          <w:highlight w:val="none"/>
        </w:rPr>
        <w:t>。</w:t>
      </w:r>
      <w:r>
        <w:rPr>
          <w:rFonts w:ascii="Times New Roman" w:hAnsi="Times New Roman" w:eastAsia="仿宋_GB2312" w:cs="Times New Roman"/>
          <w:color w:val="auto"/>
          <w:sz w:val="32"/>
          <w:szCs w:val="32"/>
          <w:highlight w:val="none"/>
        </w:rPr>
        <w:t>加强餐饮油烟综合治理，印发实施《加强餐饮服务业环境污染防治实施方案》，动态编制产生油烟的餐饮项目选址禁设场所清单，通过预警提醒、分类整治，疏堵结合，不断化解餐饮油烟扰民问题。</w:t>
      </w:r>
      <w:r>
        <w:rPr>
          <w:rFonts w:hint="eastAsia" w:ascii="Times New Roman" w:hAnsi="Times New Roman" w:eastAsia="仿宋_GB2312" w:cs="Times New Roman"/>
          <w:color w:val="auto"/>
          <w:sz w:val="32"/>
          <w:szCs w:val="32"/>
          <w:highlight w:val="none"/>
        </w:rPr>
        <w:t>油烟、噪声类投诉实现双下降。</w:t>
      </w:r>
    </w:p>
    <w:p w14:paraId="72BE59F3">
      <w:pPr>
        <w:spacing w:line="580" w:lineRule="exact"/>
        <w:ind w:firstLine="643" w:firstLineChars="200"/>
        <w:outlineLvl w:val="2"/>
        <w:rPr>
          <w:rFonts w:ascii="Times New Roman" w:hAnsi="Times New Roman" w:eastAsia="仿宋_GB2312" w:cs="Times New Roman"/>
          <w:b/>
          <w:bCs/>
          <w:color w:val="auto"/>
          <w:sz w:val="32"/>
          <w:szCs w:val="32"/>
          <w:highlight w:val="none"/>
        </w:rPr>
      </w:pPr>
      <w:r>
        <w:rPr>
          <w:rFonts w:ascii="Times New Roman" w:hAnsi="Times New Roman" w:eastAsia="仿宋_GB2312" w:cs="Times New Roman"/>
          <w:b/>
          <w:bCs/>
          <w:color w:val="auto"/>
          <w:sz w:val="32"/>
          <w:szCs w:val="32"/>
          <w:highlight w:val="none"/>
        </w:rPr>
        <w:t>5、生态环境治理体系不断完善</w:t>
      </w:r>
    </w:p>
    <w:p w14:paraId="0B8DC57A">
      <w:pPr>
        <w:adjustRightInd w:val="0"/>
        <w:snapToGrid w:val="0"/>
        <w:spacing w:line="580" w:lineRule="exact"/>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环保责任体系不断健全。</w:t>
      </w:r>
      <w:r>
        <w:rPr>
          <w:rFonts w:ascii="Times New Roman" w:hAnsi="Times New Roman" w:eastAsia="仿宋_GB2312" w:cs="Times New Roman"/>
          <w:color w:val="auto"/>
          <w:sz w:val="32"/>
          <w:szCs w:val="32"/>
          <w:highlight w:val="none"/>
        </w:rPr>
        <w:t>严格落实生态环境保护</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党政同责、一岗双责</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修订完成《闵行区生态环境保护工作责任清单》，不断夯实各级各部门生态环境保护职责。制定出台《闵行区强化企业生态环境保护主体责任工作意见（试行）》，指导企业提升环境管理水平，开展企业生态环境信用评价，依据评价结果实施差别化监管，有效促进企业落实生态环保主体责任。</w:t>
      </w:r>
      <w:r>
        <w:rPr>
          <w:rFonts w:ascii="Times New Roman" w:hAnsi="Times New Roman" w:eastAsia="仿宋_GB2312" w:cs="Times New Roman"/>
          <w:b/>
          <w:bCs/>
          <w:color w:val="auto"/>
          <w:sz w:val="32"/>
          <w:szCs w:val="32"/>
          <w:highlight w:val="none"/>
        </w:rPr>
        <w:t>环境监管效能不断提升。</w:t>
      </w:r>
      <w:r>
        <w:rPr>
          <w:rFonts w:ascii="Times New Roman" w:hAnsi="Times New Roman" w:eastAsia="仿宋_GB2312" w:cs="Times New Roman"/>
          <w:color w:val="auto"/>
          <w:sz w:val="32"/>
          <w:szCs w:val="32"/>
          <w:highlight w:val="none"/>
        </w:rPr>
        <w:t>制定实施《闵行区固定污染源生态环境监督管理工作方案》，全流程重塑监测、监管、执法</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三监联动</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体系；落实以排污许可为核心的固定污染源</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一证式</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管理，实现固定污染源排污许可证核发动态全覆盖；积极推动环评审批与排污许可</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二证合一</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r>
        <w:rPr>
          <w:rFonts w:ascii="Times New Roman" w:hAnsi="Times New Roman" w:cs="Times New Roman"/>
          <w:color w:val="auto"/>
          <w:sz w:val="32"/>
          <w:szCs w:val="32"/>
          <w:highlight w:val="none"/>
        </w:rPr>
        <w:t xml:space="preserve"> </w:t>
      </w:r>
      <w:r>
        <w:rPr>
          <w:rFonts w:ascii="Times New Roman" w:hAnsi="Times New Roman" w:eastAsia="仿宋_GB2312" w:cs="Times New Roman"/>
          <w:color w:val="auto"/>
          <w:sz w:val="32"/>
          <w:szCs w:val="32"/>
          <w:highlight w:val="none"/>
        </w:rPr>
        <w:t>试点开展同类项目环评</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打捆审批</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，促进环境行政服务提质增效；制定闵行区生态环境保护综合行政执法事项目录清单，宽严相济开展环境执法。拓展提升生态环境监测体系和能</w:t>
      </w:r>
      <w:r>
        <w:rPr>
          <w:rFonts w:hint="eastAsia" w:ascii="仿宋_GB2312" w:hAnsi="仿宋_GB2312" w:eastAsia="仿宋_GB2312" w:cs="仿宋_GB2312"/>
          <w:color w:val="auto"/>
          <w:sz w:val="32"/>
          <w:szCs w:val="32"/>
          <w:highlight w:val="none"/>
        </w:rPr>
        <w:t>力，全面建成194个街镇大气环境地面微站、4个地表水市控断面水质自动监测站、4个声环境功能区噪声自动监测点，累计在240个重点企业排口安装废水和废气自动监控设备941套，实</w:t>
      </w:r>
      <w:r>
        <w:rPr>
          <w:rFonts w:ascii="Times New Roman" w:hAnsi="Times New Roman" w:eastAsia="仿宋_GB2312" w:cs="Times New Roman"/>
          <w:color w:val="auto"/>
          <w:sz w:val="32"/>
          <w:szCs w:val="32"/>
          <w:highlight w:val="none"/>
        </w:rPr>
        <w:t>现对全区环境质量以及重点单位污染排放情况的实时监控。</w:t>
      </w:r>
      <w:r>
        <w:rPr>
          <w:rFonts w:ascii="Times New Roman" w:hAnsi="Times New Roman" w:eastAsia="仿宋_GB2312" w:cs="Times New Roman"/>
          <w:b/>
          <w:bCs/>
          <w:color w:val="auto"/>
          <w:sz w:val="32"/>
          <w:szCs w:val="32"/>
          <w:highlight w:val="none"/>
        </w:rPr>
        <w:t>生态环境共建共治共享不断深入。</w:t>
      </w:r>
      <w:r>
        <w:rPr>
          <w:rFonts w:ascii="Times New Roman" w:hAnsi="Times New Roman" w:eastAsia="仿宋_GB2312" w:cs="Times New Roman"/>
          <w:color w:val="auto"/>
          <w:sz w:val="32"/>
          <w:szCs w:val="32"/>
          <w:highlight w:val="none"/>
        </w:rPr>
        <w:t>持续开展</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美丽闵行，我是行动者</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系列活动，</w:t>
      </w:r>
      <w:r>
        <w:rPr>
          <w:rFonts w:hint="eastAsia" w:ascii="Times New Roman" w:hAnsi="Times New Roman" w:eastAsia="仿宋_GB2312" w:cs="Times New Roman"/>
          <w:color w:val="auto"/>
          <w:sz w:val="32"/>
          <w:szCs w:val="32"/>
          <w:highlight w:val="none"/>
        </w:rPr>
        <w:t>稳步推进生态环境宣传教育进企业、进社区、进学校，</w:t>
      </w:r>
      <w:r>
        <w:rPr>
          <w:rFonts w:ascii="Times New Roman" w:hAnsi="Times New Roman" w:eastAsia="仿宋_GB2312" w:cs="Times New Roman"/>
          <w:color w:val="auto"/>
          <w:sz w:val="32"/>
          <w:szCs w:val="32"/>
          <w:highlight w:val="none"/>
        </w:rPr>
        <w:t>不断弘扬生态文明新风尚，全</w:t>
      </w:r>
      <w:r>
        <w:rPr>
          <w:rFonts w:hint="eastAsia" w:ascii="仿宋_GB2312" w:hAnsi="仿宋_GB2312" w:eastAsia="仿宋_GB2312" w:cs="仿宋_GB2312"/>
          <w:color w:val="auto"/>
          <w:sz w:val="32"/>
          <w:szCs w:val="32"/>
          <w:highlight w:val="none"/>
        </w:rPr>
        <w:t>区5</w:t>
      </w:r>
      <w:r>
        <w:rPr>
          <w:rFonts w:ascii="Times New Roman" w:hAnsi="Times New Roman" w:eastAsia="仿宋_GB2312" w:cs="Times New Roman"/>
          <w:color w:val="auto"/>
          <w:sz w:val="32"/>
          <w:szCs w:val="32"/>
          <w:highlight w:val="none"/>
        </w:rPr>
        <w:t>家单位获评</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上海市环境教育基地</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组建</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绿色共建联盟</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碳路者</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联盟等多样化绿色共同体，通过</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绿色议事日</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活动，厚植生态文明理念，促进绿色低碳实践。马桥镇成功入选全国</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绿水青山就是金山银山</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实践创新基地，漕河泾开发区浦江高科技园成功获评上海市生态工业示范园区。新虹街道</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一网统管</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赋能环境治理等多个项目成功入选上海市现代环境治理体系典型案例和储备名单。</w:t>
      </w:r>
    </w:p>
    <w:p w14:paraId="58DD9915">
      <w:pPr>
        <w:spacing w:line="580" w:lineRule="exact"/>
        <w:ind w:firstLine="643" w:firstLineChars="200"/>
        <w:outlineLvl w:val="1"/>
        <w:rPr>
          <w:rFonts w:ascii="Times New Roman" w:hAnsi="Times New Roman" w:eastAsia="楷体_GB2312" w:cs="Times New Roman"/>
          <w:b/>
          <w:bCs/>
          <w:color w:val="auto"/>
          <w:sz w:val="32"/>
          <w:szCs w:val="32"/>
          <w:highlight w:val="none"/>
        </w:rPr>
      </w:pPr>
      <w:bookmarkStart w:id="27" w:name="_Toc201845035"/>
      <w:bookmarkStart w:id="28" w:name="_Toc199405436"/>
      <w:bookmarkStart w:id="29" w:name="_Toc6124"/>
      <w:r>
        <w:rPr>
          <w:rFonts w:ascii="Times New Roman" w:hAnsi="Times New Roman" w:eastAsia="楷体_GB2312" w:cs="Times New Roman"/>
          <w:b/>
          <w:bCs/>
          <w:color w:val="auto"/>
          <w:sz w:val="32"/>
          <w:szCs w:val="32"/>
          <w:highlight w:val="none"/>
        </w:rPr>
        <w:t>（二）</w:t>
      </w:r>
      <w:r>
        <w:rPr>
          <w:rFonts w:hint="eastAsia" w:ascii="Times New Roman" w:hAnsi="Times New Roman" w:eastAsia="楷体_GB2312" w:cs="Times New Roman"/>
          <w:b/>
          <w:bCs/>
          <w:color w:val="auto"/>
          <w:sz w:val="32"/>
          <w:szCs w:val="32"/>
          <w:highlight w:val="none"/>
        </w:rPr>
        <w:t>“</w:t>
      </w:r>
      <w:r>
        <w:rPr>
          <w:rFonts w:ascii="Times New Roman" w:hAnsi="Times New Roman" w:eastAsia="楷体_GB2312" w:cs="Times New Roman"/>
          <w:b/>
          <w:bCs/>
          <w:color w:val="auto"/>
          <w:sz w:val="32"/>
          <w:szCs w:val="32"/>
          <w:highlight w:val="none"/>
        </w:rPr>
        <w:t>十五五</w:t>
      </w:r>
      <w:r>
        <w:rPr>
          <w:rFonts w:hint="eastAsia" w:ascii="Times New Roman" w:hAnsi="Times New Roman" w:eastAsia="楷体_GB2312" w:cs="Times New Roman"/>
          <w:b/>
          <w:bCs/>
          <w:color w:val="auto"/>
          <w:sz w:val="32"/>
          <w:szCs w:val="32"/>
          <w:highlight w:val="none"/>
        </w:rPr>
        <w:t>”</w:t>
      </w:r>
      <w:r>
        <w:rPr>
          <w:rFonts w:ascii="Times New Roman" w:hAnsi="Times New Roman" w:eastAsia="楷体_GB2312" w:cs="Times New Roman"/>
          <w:b/>
          <w:bCs/>
          <w:color w:val="auto"/>
          <w:sz w:val="32"/>
          <w:szCs w:val="32"/>
          <w:highlight w:val="none"/>
        </w:rPr>
        <w:t>面临的形势与挑战</w:t>
      </w:r>
      <w:bookmarkEnd w:id="27"/>
      <w:bookmarkEnd w:id="28"/>
      <w:bookmarkEnd w:id="29"/>
    </w:p>
    <w:p w14:paraId="5832E7E9">
      <w:pPr>
        <w:spacing w:line="580" w:lineRule="exact"/>
        <w:ind w:firstLine="640" w:firstLineChars="200"/>
        <w:rPr>
          <w:rFonts w:ascii="Times New Roman" w:hAnsi="Times New Roman" w:eastAsia="仿宋_GB2312" w:cs="Times New Roman"/>
          <w:strike/>
          <w:color w:val="auto"/>
          <w:sz w:val="32"/>
          <w:szCs w:val="32"/>
        </w:rPr>
      </w:pP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十五五</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时期，</w:t>
      </w:r>
      <w:r>
        <w:rPr>
          <w:rFonts w:hint="eastAsia" w:ascii="Times New Roman" w:hAnsi="Times New Roman" w:eastAsia="仿宋_GB2312" w:cs="Times New Roman"/>
          <w:color w:val="auto"/>
          <w:sz w:val="32"/>
          <w:szCs w:val="32"/>
          <w:highlight w:val="none"/>
        </w:rPr>
        <w:t>是我国基本实现社会主义现代化夯实基础、全面发力的关键五年，是上海聚焦“五个中心”主攻方向、加快建设具有世界影响力的社会主义现代化国际大都市的攻坚五年，也是闵行乘势而上、接续奋斗，高质量建设创新开放、生态人文、宜居安居现代化主城区和新质生产力主阵地的重要五年。面对国际国内复杂多变的</w:t>
      </w:r>
      <w:r>
        <w:rPr>
          <w:rFonts w:hint="eastAsia" w:ascii="Times New Roman" w:hAnsi="Times New Roman" w:eastAsia="仿宋_GB2312" w:cs="Times New Roman"/>
          <w:color w:val="auto"/>
          <w:sz w:val="32"/>
          <w:szCs w:val="32"/>
        </w:rPr>
        <w:t>新形势、美丽建设的新部署、深化生态文明体制改革的新任务、推动经济社会高质量发展的新需求以及人民群众对良好生态环境的新期待，全区生态文明建设和生态环境保护工作形势依然严峻、面临多重挑战。</w:t>
      </w:r>
    </w:p>
    <w:p w14:paraId="2C42AA0C">
      <w:pPr>
        <w:spacing w:line="580" w:lineRule="exact"/>
        <w:ind w:firstLine="643" w:firstLineChars="200"/>
        <w:outlineLvl w:val="2"/>
        <w:rPr>
          <w:rFonts w:ascii="Times New Roman" w:hAnsi="Times New Roman" w:eastAsia="仿宋_GB2312" w:cs="Times New Roman"/>
          <w:strike/>
          <w:color w:val="auto"/>
          <w:sz w:val="32"/>
          <w:szCs w:val="32"/>
        </w:rPr>
      </w:pPr>
      <w:bookmarkStart w:id="30" w:name="_Hlk225106493"/>
      <w:r>
        <w:rPr>
          <w:rFonts w:ascii="Times New Roman" w:hAnsi="Times New Roman" w:eastAsia="仿宋_GB2312" w:cs="Times New Roman"/>
          <w:b/>
          <w:bCs/>
          <w:color w:val="auto"/>
          <w:sz w:val="32"/>
          <w:szCs w:val="32"/>
        </w:rPr>
        <w:t>绿色低碳发展</w:t>
      </w:r>
      <w:r>
        <w:rPr>
          <w:rFonts w:hint="eastAsia" w:ascii="Times New Roman" w:hAnsi="Times New Roman" w:eastAsia="仿宋_GB2312" w:cs="Times New Roman"/>
          <w:b/>
          <w:bCs/>
          <w:color w:val="auto"/>
          <w:sz w:val="32"/>
          <w:szCs w:val="32"/>
        </w:rPr>
        <w:t>面临</w:t>
      </w:r>
      <w:r>
        <w:rPr>
          <w:rFonts w:ascii="Times New Roman" w:hAnsi="Times New Roman" w:eastAsia="仿宋_GB2312" w:cs="Times New Roman"/>
          <w:b/>
          <w:bCs/>
          <w:color w:val="auto"/>
          <w:sz w:val="32"/>
          <w:szCs w:val="32"/>
        </w:rPr>
        <w:t>复杂严峻</w:t>
      </w:r>
      <w:r>
        <w:rPr>
          <w:rFonts w:hint="eastAsia" w:ascii="Times New Roman" w:hAnsi="Times New Roman" w:eastAsia="仿宋_GB2312" w:cs="Times New Roman"/>
          <w:b/>
          <w:bCs/>
          <w:color w:val="auto"/>
          <w:sz w:val="32"/>
          <w:szCs w:val="32"/>
        </w:rPr>
        <w:t>的外部</w:t>
      </w:r>
      <w:r>
        <w:rPr>
          <w:rFonts w:ascii="Times New Roman" w:hAnsi="Times New Roman" w:eastAsia="仿宋_GB2312" w:cs="Times New Roman"/>
          <w:b/>
          <w:bCs/>
          <w:color w:val="auto"/>
          <w:sz w:val="32"/>
          <w:szCs w:val="32"/>
        </w:rPr>
        <w:t>形势</w:t>
      </w:r>
      <w:r>
        <w:rPr>
          <w:rFonts w:hint="eastAsia" w:ascii="Times New Roman" w:hAnsi="Times New Roman" w:eastAsia="仿宋_GB2312" w:cs="Times New Roman"/>
          <w:b/>
          <w:bCs/>
          <w:color w:val="auto"/>
          <w:sz w:val="32"/>
          <w:szCs w:val="32"/>
        </w:rPr>
        <w:t>，全区绿色低碳发展水平还需进一步提升。</w:t>
      </w:r>
      <w:bookmarkEnd w:id="30"/>
      <w:r>
        <w:rPr>
          <w:rFonts w:hint="eastAsia" w:ascii="Times New Roman" w:hAnsi="Times New Roman" w:eastAsia="仿宋_GB2312" w:cs="Times New Roman"/>
          <w:color w:val="auto"/>
          <w:sz w:val="32"/>
          <w:szCs w:val="32"/>
        </w:rPr>
        <w:t>当前，全球环境治理和绿色转型出现百年未有之大变局，世界各国环境治理规则和话语权的竞争日趋白热化，绿色低碳领域技术竞争和产业制高点争夺加剧。复杂严峻的外部形势对“十五五”生态环境保护和低碳转型发展带来较大不确定性，对生态环境保护提出了更高要求。作为经济产业大区，闵行区虽然近年来绿色转型发展迈出坚实步伐，但是转型力度、深度等方面仍有不足。传统行业污染物排放和能源消耗占比依然较大；单位工业增加值能耗低于全市平均水平，但优势并不明显；吴泾区域的整体转型升级步伐还需加快。作为服务于全市的交通枢纽区，移动源已成为全区大气污染物排放重要来源，以公路为主的陆路运输结构、以柴油货车为主的公路货运结构调整仍需时日。</w:t>
      </w:r>
    </w:p>
    <w:p w14:paraId="18D944F3">
      <w:pPr>
        <w:spacing w:line="580" w:lineRule="exact"/>
        <w:ind w:firstLine="643" w:firstLineChars="200"/>
        <w:outlineLvl w:val="2"/>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环境质量</w:t>
      </w:r>
      <w:r>
        <w:rPr>
          <w:rFonts w:hint="eastAsia" w:ascii="Times New Roman" w:hAnsi="Times New Roman" w:eastAsia="仿宋_GB2312" w:cs="Times New Roman"/>
          <w:b/>
          <w:bCs/>
          <w:color w:val="auto"/>
          <w:sz w:val="32"/>
          <w:szCs w:val="32"/>
        </w:rPr>
        <w:t>进入从量变到质变的关键阶段，生态环境质量改善成效仍不稳固。</w:t>
      </w:r>
      <w:r>
        <w:rPr>
          <w:rFonts w:hint="eastAsia" w:ascii="Times New Roman" w:hAnsi="Times New Roman" w:eastAsia="仿宋_GB2312" w:cs="Times New Roman"/>
          <w:color w:val="auto"/>
          <w:sz w:val="32"/>
          <w:szCs w:val="32"/>
        </w:rPr>
        <w:t>全区近年来大气环境质量显著提升的同时，接下来进一步改善的空间收窄、难度增大，环境空气质量改善进入陷入平台期、瓶颈期，PM</w:t>
      </w:r>
      <w:r>
        <w:rPr>
          <w:rFonts w:hint="eastAsia" w:ascii="Times New Roman" w:hAnsi="Times New Roman" w:eastAsia="仿宋_GB2312" w:cs="Times New Roman"/>
          <w:color w:val="auto"/>
          <w:sz w:val="32"/>
          <w:szCs w:val="32"/>
          <w:vertAlign w:val="subscript"/>
        </w:rPr>
        <w:t>2.5</w:t>
      </w:r>
      <w:r>
        <w:rPr>
          <w:rFonts w:hint="eastAsia" w:ascii="Times New Roman" w:hAnsi="Times New Roman" w:eastAsia="仿宋_GB2312" w:cs="Times New Roman"/>
          <w:color w:val="auto"/>
          <w:sz w:val="32"/>
          <w:szCs w:val="32"/>
        </w:rPr>
        <w:t>和臭氧浓度反弹波动，污染减排潜力接近极限，末端治理边际成本不断增大，在不利气象条件影响下，中轻度空气污染仍有发生。全区水环境质量整体改善的同时，部分河湖水质还不够稳定，河湖水生态系统还比较脆弱，水体清澈度有待提升。土壤污染源头预防压力尚未缓解。固体废物不规范处置问题时有发生，建筑垃圾和工程渣土出路少、消纳难问题仍需加快解决。</w:t>
      </w:r>
    </w:p>
    <w:p w14:paraId="31E20CFE">
      <w:pPr>
        <w:spacing w:line="580" w:lineRule="exact"/>
        <w:ind w:firstLine="643" w:firstLineChars="200"/>
        <w:outlineLvl w:val="2"/>
        <w:rPr>
          <w:rFonts w:ascii="Times New Roman" w:hAnsi="Times New Roman" w:eastAsia="仿宋_GB2312" w:cs="Times New Roman"/>
          <w:color w:val="auto"/>
          <w:sz w:val="24"/>
          <w:szCs w:val="24"/>
        </w:rPr>
      </w:pPr>
      <w:r>
        <w:rPr>
          <w:rFonts w:hint="eastAsia" w:ascii="Times New Roman" w:hAnsi="Times New Roman" w:eastAsia="仿宋_GB2312" w:cs="Times New Roman"/>
          <w:b/>
          <w:bCs/>
          <w:color w:val="auto"/>
          <w:sz w:val="32"/>
          <w:szCs w:val="32"/>
        </w:rPr>
        <w:t>生态空间调整滞后于城市功能变化，</w:t>
      </w:r>
      <w:r>
        <w:rPr>
          <w:rFonts w:ascii="Times New Roman" w:hAnsi="Times New Roman" w:eastAsia="仿宋_GB2312" w:cs="Times New Roman"/>
          <w:b/>
          <w:bCs/>
          <w:color w:val="auto"/>
          <w:sz w:val="32"/>
          <w:szCs w:val="32"/>
        </w:rPr>
        <w:t>生态</w:t>
      </w:r>
      <w:r>
        <w:rPr>
          <w:rFonts w:hint="eastAsia" w:ascii="Times New Roman" w:hAnsi="Times New Roman" w:eastAsia="仿宋_GB2312" w:cs="Times New Roman"/>
          <w:b/>
          <w:bCs/>
          <w:color w:val="auto"/>
          <w:sz w:val="32"/>
          <w:szCs w:val="32"/>
        </w:rPr>
        <w:t>空间结构</w:t>
      </w:r>
      <w:r>
        <w:rPr>
          <w:rFonts w:ascii="Times New Roman" w:hAnsi="Times New Roman" w:eastAsia="仿宋_GB2312" w:cs="Times New Roman"/>
          <w:b/>
          <w:bCs/>
          <w:color w:val="auto"/>
          <w:sz w:val="32"/>
          <w:szCs w:val="32"/>
        </w:rPr>
        <w:t>品质与现代化主城区要求仍</w:t>
      </w:r>
      <w:r>
        <w:rPr>
          <w:rFonts w:hint="eastAsia" w:ascii="Times New Roman" w:hAnsi="Times New Roman" w:eastAsia="仿宋_GB2312" w:cs="Times New Roman"/>
          <w:b/>
          <w:bCs/>
          <w:color w:val="auto"/>
          <w:sz w:val="32"/>
          <w:szCs w:val="32"/>
        </w:rPr>
        <w:t>有</w:t>
      </w:r>
      <w:r>
        <w:rPr>
          <w:rFonts w:ascii="Times New Roman" w:hAnsi="Times New Roman" w:eastAsia="仿宋_GB2312" w:cs="Times New Roman"/>
          <w:b/>
          <w:bCs/>
          <w:color w:val="auto"/>
          <w:sz w:val="32"/>
          <w:szCs w:val="32"/>
        </w:rPr>
        <w:t>差距</w:t>
      </w:r>
      <w:r>
        <w:rPr>
          <w:rFonts w:hint="eastAsia" w:ascii="Times New Roman" w:hAnsi="Times New Roman" w:eastAsia="仿宋_GB2312" w:cs="Times New Roman"/>
          <w:b/>
          <w:bCs/>
          <w:color w:val="auto"/>
          <w:sz w:val="32"/>
          <w:szCs w:val="32"/>
        </w:rPr>
        <w:t>。</w:t>
      </w:r>
      <w:r>
        <w:rPr>
          <w:rFonts w:hint="eastAsia" w:ascii="Times New Roman" w:hAnsi="Times New Roman" w:eastAsia="仿宋_GB2312" w:cs="Times New Roman"/>
          <w:color w:val="auto"/>
          <w:sz w:val="32"/>
          <w:szCs w:val="32"/>
        </w:rPr>
        <w:t>近年来，全区公园城市建设加快推进，全区空间品质不断提升，森林覆盖率、人均公共绿地面积均高于全市平均水平，但是对标闵行区生态宜居现代化主城区定位和人民群众日益提升的亲近自然诉求仍存在差距和不足。全区</w:t>
      </w:r>
      <w:r>
        <w:rPr>
          <w:rFonts w:ascii="Times New Roman" w:hAnsi="Times New Roman" w:eastAsia="仿宋_GB2312" w:cs="Times New Roman"/>
          <w:color w:val="auto"/>
          <w:sz w:val="32"/>
          <w:szCs w:val="32"/>
        </w:rPr>
        <w:t>功能性生态空间占比较高，供市民游憩的生态空间可达性和连通性不足，分布</w:t>
      </w:r>
      <w:r>
        <w:rPr>
          <w:rFonts w:hint="eastAsia" w:ascii="Times New Roman" w:hAnsi="Times New Roman" w:eastAsia="仿宋_GB2312" w:cs="Times New Roman"/>
          <w:color w:val="auto"/>
          <w:sz w:val="32"/>
          <w:szCs w:val="32"/>
        </w:rPr>
        <w:t>均衡性</w:t>
      </w:r>
      <w:r>
        <w:rPr>
          <w:rFonts w:ascii="Times New Roman" w:hAnsi="Times New Roman" w:eastAsia="仿宋_GB2312" w:cs="Times New Roman"/>
          <w:color w:val="auto"/>
          <w:sz w:val="32"/>
          <w:szCs w:val="32"/>
        </w:rPr>
        <w:t>有待提升。</w:t>
      </w:r>
      <w:r>
        <w:rPr>
          <w:rFonts w:hint="eastAsia" w:ascii="Times New Roman" w:hAnsi="Times New Roman" w:eastAsia="仿宋_GB2312" w:cs="Times New Roman"/>
          <w:color w:val="auto"/>
          <w:sz w:val="32"/>
          <w:szCs w:val="32"/>
        </w:rPr>
        <w:t>同时新增生态用地空间有限，林地绿地增量困难，存量生态空间品质和服务功能仍需提升。需坚持增量结构调整和存量品质提升并重，围绕全区一南一北战略实施、“一江一河”沿岸地区品质提升和全市相关总体部署，通过存量改造、设施升级以及开放共享提升，进一步提升绿色生态服务功能和生态宜居水平。</w:t>
      </w:r>
    </w:p>
    <w:p w14:paraId="0C72937F">
      <w:pPr>
        <w:spacing w:line="580" w:lineRule="atLeast"/>
        <w:ind w:firstLine="643"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rPr>
        <w:t>美丽闵行建设对生态环境治理提出新诉求，环境治理现代化水平亟需提升。</w:t>
      </w:r>
      <w:r>
        <w:rPr>
          <w:rFonts w:hint="eastAsia" w:ascii="Times New Roman" w:hAnsi="Times New Roman" w:eastAsia="仿宋_GB2312" w:cs="Times New Roman"/>
          <w:color w:val="auto"/>
          <w:sz w:val="32"/>
          <w:szCs w:val="32"/>
        </w:rPr>
        <w:t>十五</w:t>
      </w:r>
      <w:r>
        <w:rPr>
          <w:rFonts w:hint="eastAsia" w:ascii="Times New Roman" w:hAnsi="Times New Roman" w:eastAsia="仿宋_GB2312" w:cs="Times New Roman"/>
          <w:color w:val="auto"/>
          <w:sz w:val="32"/>
          <w:szCs w:val="32"/>
          <w:lang w:eastAsia="zh-CN"/>
        </w:rPr>
        <w:t>五</w:t>
      </w:r>
      <w:r>
        <w:rPr>
          <w:rFonts w:hint="eastAsia" w:ascii="Times New Roman" w:hAnsi="Times New Roman" w:eastAsia="仿宋_GB2312" w:cs="Times New Roman"/>
          <w:color w:val="auto"/>
          <w:sz w:val="32"/>
          <w:szCs w:val="32"/>
        </w:rPr>
        <w:t>时期是美丽中国、美丽上海以及美丽闵行建设全面推进的关键期，从污染防治攻坚到美丽建设，生态环境保护领域和范围不断拓展，跨区域跨部门的综合</w:t>
      </w:r>
      <w:r>
        <w:rPr>
          <w:rFonts w:hint="eastAsia" w:ascii="Times New Roman" w:hAnsi="Times New Roman" w:eastAsia="仿宋_GB2312" w:cs="Times New Roman"/>
          <w:color w:val="auto"/>
          <w:sz w:val="32"/>
          <w:szCs w:val="32"/>
          <w:lang w:eastAsia="zh-CN"/>
        </w:rPr>
        <w:t>协调</w:t>
      </w:r>
      <w:r>
        <w:rPr>
          <w:rFonts w:hint="eastAsia" w:ascii="Times New Roman" w:hAnsi="Times New Roman" w:eastAsia="仿宋_GB2312" w:cs="Times New Roman"/>
          <w:color w:val="auto"/>
          <w:sz w:val="32"/>
          <w:szCs w:val="32"/>
        </w:rPr>
        <w:t>需求更加迫切。目前，综合协调机制还需不断健全，资源环境要素市场化配置体系有待完善，促进生态环境保护的市场激励手段尚有不足，绿色金融产品创新力度还需加大。区域性污染防治、重点行业减污降碳协同、新污染物治理等关键问题科技支撑相对有限，大数据、人工智能、物联网、区块 链、卫星遥感等新技术、新手段应用实践亟需加强。还需综合运用体制机制、政策、科技、市场等多种手段，进一步统筹各领域资源、汇集各方面力量，凝聚美丽闵行建设的强大合力。</w:t>
      </w:r>
    </w:p>
    <w:p w14:paraId="1BEFBFDF">
      <w:pPr>
        <w:spacing w:line="580" w:lineRule="exact"/>
        <w:ind w:firstLine="643" w:firstLineChars="200"/>
        <w:outlineLvl w:val="0"/>
        <w:rPr>
          <w:rFonts w:ascii="Times New Roman" w:hAnsi="Times New Roman" w:eastAsia="黑体" w:cs="Times New Roman"/>
          <w:b/>
          <w:bCs/>
          <w:color w:val="auto"/>
          <w:sz w:val="32"/>
          <w:szCs w:val="32"/>
        </w:rPr>
      </w:pPr>
      <w:bookmarkStart w:id="31" w:name="_Toc2592"/>
      <w:bookmarkStart w:id="32" w:name="_Toc201845036"/>
      <w:bookmarkStart w:id="33" w:name="_Toc199405437"/>
      <w:r>
        <w:rPr>
          <w:rFonts w:ascii="Times New Roman" w:hAnsi="Times New Roman" w:eastAsia="黑体" w:cs="Times New Roman"/>
          <w:b/>
          <w:bCs/>
          <w:color w:val="auto"/>
          <w:sz w:val="32"/>
          <w:szCs w:val="32"/>
        </w:rPr>
        <w:t>二、总体要求</w:t>
      </w:r>
      <w:bookmarkEnd w:id="31"/>
      <w:bookmarkEnd w:id="32"/>
      <w:bookmarkEnd w:id="33"/>
    </w:p>
    <w:p w14:paraId="57A09D96">
      <w:pPr>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以习近平新时代中国特色社会主义思想</w:t>
      </w:r>
      <w:r>
        <w:rPr>
          <w:rFonts w:hint="eastAsia" w:ascii="Times New Roman" w:hAnsi="Times New Roman" w:eastAsia="仿宋_GB2312" w:cs="Times New Roman"/>
          <w:color w:val="auto"/>
          <w:sz w:val="32"/>
          <w:szCs w:val="32"/>
        </w:rPr>
        <w:t>特别是</w:t>
      </w:r>
      <w:r>
        <w:rPr>
          <w:rFonts w:ascii="Times New Roman" w:hAnsi="Times New Roman" w:eastAsia="仿宋_GB2312" w:cs="Times New Roman"/>
          <w:color w:val="auto"/>
          <w:sz w:val="32"/>
          <w:szCs w:val="32"/>
        </w:rPr>
        <w:t>习近平生态文明思想为指导，全面贯彻落实党的二十大以及二十届</w:t>
      </w:r>
      <w:r>
        <w:rPr>
          <w:rFonts w:hint="eastAsia" w:ascii="Times New Roman" w:hAnsi="Times New Roman" w:eastAsia="仿宋_GB2312" w:cs="Times New Roman"/>
          <w:color w:val="auto"/>
          <w:sz w:val="32"/>
          <w:szCs w:val="32"/>
        </w:rPr>
        <w:t>历次</w:t>
      </w:r>
      <w:r>
        <w:rPr>
          <w:rFonts w:ascii="Times New Roman" w:hAnsi="Times New Roman" w:eastAsia="仿宋_GB2312" w:cs="Times New Roman"/>
          <w:color w:val="auto"/>
          <w:sz w:val="32"/>
          <w:szCs w:val="32"/>
        </w:rPr>
        <w:t>全会精神，</w:t>
      </w:r>
      <w:r>
        <w:rPr>
          <w:rFonts w:hint="eastAsia" w:ascii="Times New Roman" w:hAnsi="Times New Roman" w:eastAsia="仿宋_GB2312" w:cs="Times New Roman"/>
          <w:color w:val="auto"/>
          <w:sz w:val="32"/>
          <w:szCs w:val="32"/>
        </w:rPr>
        <w:t>全面落实</w:t>
      </w:r>
      <w:r>
        <w:rPr>
          <w:rFonts w:ascii="Times New Roman" w:hAnsi="Times New Roman" w:eastAsia="仿宋_GB2312" w:cs="Times New Roman"/>
          <w:color w:val="auto"/>
          <w:sz w:val="32"/>
          <w:szCs w:val="32"/>
        </w:rPr>
        <w:t>习近平总书记考察上海重要讲话精神</w:t>
      </w:r>
      <w:r>
        <w:rPr>
          <w:rFonts w:hint="eastAsia" w:ascii="Times New Roman" w:hAnsi="Times New Roman" w:eastAsia="仿宋_GB2312" w:cs="Times New Roman"/>
          <w:color w:val="auto"/>
          <w:sz w:val="32"/>
          <w:szCs w:val="32"/>
        </w:rPr>
        <w:t>以及</w:t>
      </w:r>
      <w:r>
        <w:rPr>
          <w:rFonts w:ascii="Times New Roman" w:hAnsi="Times New Roman" w:eastAsia="仿宋_GB2312" w:cs="Times New Roman"/>
          <w:color w:val="auto"/>
          <w:sz w:val="32"/>
          <w:szCs w:val="32"/>
        </w:rPr>
        <w:t>对闵行工作的重要指示要求，</w:t>
      </w:r>
      <w:r>
        <w:rPr>
          <w:rFonts w:hint="eastAsia" w:ascii="仿宋_GB2312" w:hAnsi="仿宋_GB2312" w:eastAsia="仿宋_GB2312" w:cs="仿宋_GB2312"/>
          <w:color w:val="auto"/>
          <w:sz w:val="32"/>
          <w:szCs w:val="32"/>
        </w:rPr>
        <w:t>以美丽闵行建设为牵引，紧紧围绕闵行建设创新开放、生态人文、宜居安居现代化主城区的总体定位，以更高站位、更宽视野、更高标准、更大力度推进生态环境保护和生态文明建设，以生态环境高水平保护促进高质量发展、创造高品质生活、实现高效能治理。</w:t>
      </w:r>
    </w:p>
    <w:p w14:paraId="2A09F810">
      <w:pPr>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到</w:t>
      </w:r>
      <w:r>
        <w:rPr>
          <w:rFonts w:hint="eastAsia" w:ascii="仿宋_GB2312" w:hAnsi="仿宋_GB2312" w:eastAsia="仿宋_GB2312" w:cs="仿宋_GB2312"/>
          <w:color w:val="auto"/>
          <w:sz w:val="32"/>
          <w:szCs w:val="32"/>
        </w:rPr>
        <w:t>2030</w:t>
      </w:r>
      <w:r>
        <w:rPr>
          <w:rFonts w:hint="eastAsia" w:ascii="仿宋_GB2312" w:eastAsia="仿宋_GB2312"/>
          <w:color w:val="auto"/>
          <w:sz w:val="32"/>
          <w:szCs w:val="32"/>
        </w:rPr>
        <w:t>年，经济社会发展全面绿色转型成效显著，碳达峰目标如期实现，生态环境质量全面改善，生态系统服务功能明显增强，环境风险防控体系不断完善，人居环境品质全域提升，现代环境治理体系更加健全，美丽闵行建设取得新的重大进展，为上海建设人与自然和谐共生的现代化国际大都市不断贡献闵行力量。</w:t>
      </w:r>
    </w:p>
    <w:p w14:paraId="1A32CC20">
      <w:pPr>
        <w:spacing w:line="58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到</w:t>
      </w:r>
      <w:r>
        <w:rPr>
          <w:rFonts w:hint="eastAsia" w:ascii="仿宋_GB2312" w:hAnsi="仿宋_GB2312" w:eastAsia="仿宋_GB2312" w:cs="仿宋_GB2312"/>
          <w:color w:val="auto"/>
          <w:sz w:val="32"/>
          <w:szCs w:val="32"/>
        </w:rPr>
        <w:t>2035年</w:t>
      </w:r>
      <w:r>
        <w:rPr>
          <w:rFonts w:hint="eastAsia" w:ascii="Times New Roman" w:hAnsi="Times New Roman" w:eastAsia="仿宋_GB2312" w:cs="Times New Roman"/>
          <w:color w:val="auto"/>
          <w:sz w:val="32"/>
          <w:szCs w:val="32"/>
        </w:rPr>
        <w:t>，绿色生产生活方式广泛形成，碳排放达峰后稳中有降，生态环境根本好转，生态系统多样性稳定性持续性显著提升，生态安全更加稳固，生态环境治理体系和治理能力现代化基本实现，美丽闵行总体建成。</w:t>
      </w:r>
    </w:p>
    <w:p w14:paraId="3119A85F">
      <w:pPr>
        <w:spacing w:line="580" w:lineRule="exact"/>
        <w:ind w:firstLine="643" w:firstLineChars="200"/>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环境质量</w:t>
      </w:r>
      <w:r>
        <w:rPr>
          <w:rFonts w:hint="eastAsia" w:ascii="Times New Roman" w:hAnsi="Times New Roman" w:eastAsia="仿宋_GB2312" w:cs="Times New Roman"/>
          <w:b/>
          <w:bCs/>
          <w:color w:val="auto"/>
          <w:sz w:val="32"/>
          <w:szCs w:val="32"/>
        </w:rPr>
        <w:t>实现全面改善</w:t>
      </w:r>
      <w:r>
        <w:rPr>
          <w:rFonts w:hint="eastAsia" w:ascii="Times New Roman" w:hAnsi="Times New Roman" w:eastAsia="仿宋_GB2312" w:cs="Times New Roman"/>
          <w:color w:val="auto"/>
          <w:sz w:val="32"/>
          <w:szCs w:val="32"/>
        </w:rPr>
        <w:t>。环境空气六项污染物指标全面稳定达到国家二级标准，NO</w:t>
      </w:r>
      <w:r>
        <w:rPr>
          <w:rFonts w:hint="eastAsia" w:ascii="Times New Roman" w:hAnsi="Times New Roman" w:eastAsia="仿宋_GB2312" w:cs="Times New Roman"/>
          <w:color w:val="auto"/>
          <w:sz w:val="32"/>
          <w:szCs w:val="32"/>
          <w:vertAlign w:val="subscript"/>
        </w:rPr>
        <w:t>2</w:t>
      </w:r>
      <w:r>
        <w:rPr>
          <w:rFonts w:hint="eastAsia" w:ascii="Times New Roman" w:hAnsi="Times New Roman" w:eastAsia="仿宋_GB2312" w:cs="Times New Roman"/>
          <w:color w:val="auto"/>
          <w:sz w:val="32"/>
          <w:szCs w:val="32"/>
        </w:rPr>
        <w:t xml:space="preserve"> 等指标浓度优于国家一级标准，地表水优良水体比例达到市要求，地表水达到或好于Ⅲ类水体比例达到95%以上，声环境功能区夜间达标率达到84%。</w:t>
      </w:r>
    </w:p>
    <w:p w14:paraId="5A4F8513">
      <w:pPr>
        <w:spacing w:line="580" w:lineRule="exact"/>
        <w:ind w:firstLine="643" w:firstLineChars="200"/>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绿色</w:t>
      </w:r>
      <w:r>
        <w:rPr>
          <w:rFonts w:hint="eastAsia" w:ascii="Times New Roman" w:hAnsi="Times New Roman" w:eastAsia="仿宋_GB2312" w:cs="Times New Roman"/>
          <w:b/>
          <w:bCs/>
          <w:color w:val="auto"/>
          <w:sz w:val="32"/>
          <w:szCs w:val="32"/>
        </w:rPr>
        <w:t>转型取得积极进展</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碳排放总量实现达峰，主要污染物排放总量进一步削减，完成市下达减排目标。</w:t>
      </w:r>
      <w:r>
        <w:rPr>
          <w:rFonts w:hint="eastAsia" w:ascii="Times New Roman" w:hAnsi="Times New Roman" w:eastAsia="仿宋_GB2312" w:cs="Times New Roman"/>
          <w:color w:val="auto"/>
          <w:sz w:val="32"/>
          <w:szCs w:val="32"/>
        </w:rPr>
        <w:t>单位生产总值二氧化碳排放量持续下降，并完成市要求</w:t>
      </w:r>
      <w:r>
        <w:rPr>
          <w:rFonts w:hint="eastAsia" w:ascii="仿宋_GB2312" w:hAnsi="仿宋_GB2312" w:eastAsia="仿宋_GB2312" w:cs="仿宋_GB2312"/>
          <w:color w:val="auto"/>
          <w:sz w:val="32"/>
          <w:szCs w:val="32"/>
        </w:rPr>
        <w:t>。</w:t>
      </w:r>
    </w:p>
    <w:p w14:paraId="194D79EE">
      <w:pPr>
        <w:spacing w:line="580" w:lineRule="exact"/>
        <w:ind w:firstLine="643"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rPr>
        <w:t>生态基底得到持续夯实</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受污染耕地和重点建设用地安全利用率保</w:t>
      </w:r>
      <w:r>
        <w:rPr>
          <w:rFonts w:hint="eastAsia" w:ascii="仿宋_GB2312" w:hAnsi="仿宋_GB2312" w:eastAsia="仿宋_GB2312" w:cs="仿宋_GB2312"/>
          <w:color w:val="auto"/>
          <w:sz w:val="32"/>
          <w:szCs w:val="32"/>
        </w:rPr>
        <w:t>持100％，生活垃圾回收利用率不低</w:t>
      </w:r>
      <w:r>
        <w:rPr>
          <w:rFonts w:hint="eastAsia" w:ascii="仿宋_GB2312" w:hAnsi="仿宋_GB2312" w:eastAsia="仿宋_GB2312" w:cs="仿宋_GB2312"/>
          <w:color w:val="auto"/>
          <w:sz w:val="32"/>
          <w:szCs w:val="32"/>
          <w:lang w:eastAsia="zh-CN"/>
        </w:rPr>
        <w:t>于</w:t>
      </w:r>
      <w:r>
        <w:rPr>
          <w:rFonts w:hint="eastAsia" w:ascii="仿宋_GB2312" w:hAnsi="仿宋_GB2312" w:eastAsia="仿宋_GB2312" w:cs="仿宋_GB2312"/>
          <w:color w:val="auto"/>
          <w:sz w:val="32"/>
          <w:szCs w:val="32"/>
        </w:rPr>
        <w:t>46%，生态质量指数（EQI）保持稳定，人均公园绿地面积</w:t>
      </w:r>
      <w:r>
        <w:rPr>
          <w:rFonts w:hint="eastAsia" w:ascii="仿宋_GB2312" w:hAnsi="仿宋_GB2312" w:eastAsia="仿宋_GB2312" w:cs="仿宋_GB2312"/>
          <w:color w:val="auto"/>
          <w:sz w:val="32"/>
          <w:szCs w:val="32"/>
          <w:lang w:eastAsia="zh-CN"/>
        </w:rPr>
        <w:t>达到</w:t>
      </w:r>
      <w:r>
        <w:rPr>
          <w:rFonts w:hint="eastAsia" w:ascii="仿宋_GB2312" w:hAnsi="仿宋_GB2312" w:eastAsia="仿宋_GB2312" w:cs="仿宋_GB2312"/>
          <w:color w:val="auto"/>
          <w:sz w:val="32"/>
          <w:szCs w:val="32"/>
        </w:rPr>
        <w:t>11.5平方米。</w:t>
      </w:r>
      <w:r>
        <w:rPr>
          <w:rFonts w:ascii="Times New Roman" w:hAnsi="Times New Roman" w:eastAsia="仿宋_GB2312" w:cs="Times New Roman"/>
          <w:color w:val="auto"/>
          <w:sz w:val="32"/>
          <w:szCs w:val="32"/>
        </w:rPr>
        <w:t xml:space="preserve"> </w:t>
      </w:r>
    </w:p>
    <w:p w14:paraId="7390878B">
      <w:pPr>
        <w:spacing w:line="580" w:lineRule="exact"/>
        <w:ind w:firstLine="643"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rPr>
        <w:t>美丽建设取得显著成效</w:t>
      </w:r>
      <w:r>
        <w:rPr>
          <w:rFonts w:hint="eastAsia" w:ascii="Times New Roman" w:hAnsi="Times New Roman" w:eastAsia="仿宋_GB2312" w:cs="Times New Roman"/>
          <w:color w:val="auto"/>
          <w:sz w:val="32"/>
          <w:szCs w:val="32"/>
        </w:rPr>
        <w:t>。美丽幸福河湖建成率达到</w:t>
      </w:r>
      <w:r>
        <w:rPr>
          <w:rFonts w:hint="eastAsia" w:ascii="Times New Roman" w:hAnsi="Times New Roman" w:eastAsia="仿宋_GB2312" w:cs="Times New Roman"/>
          <w:color w:val="auto"/>
          <w:sz w:val="32"/>
          <w:szCs w:val="32"/>
          <w:lang w:val="en-US" w:eastAsia="zh-CN"/>
        </w:rPr>
        <w:t>5</w:t>
      </w:r>
      <w:r>
        <w:rPr>
          <w:rFonts w:hint="eastAsia" w:ascii="Times New Roman" w:hAnsi="Times New Roman" w:eastAsia="仿宋_GB2312" w:cs="Times New Roman"/>
          <w:color w:val="auto"/>
          <w:sz w:val="32"/>
          <w:szCs w:val="32"/>
        </w:rPr>
        <w:t>0%以上，“无废城市”建设达到</w:t>
      </w:r>
      <w:r>
        <w:rPr>
          <w:rFonts w:hint="eastAsia" w:ascii="Times New Roman" w:hAnsi="Times New Roman" w:eastAsia="仿宋_GB2312" w:cs="Times New Roman"/>
          <w:color w:val="auto"/>
          <w:sz w:val="32"/>
          <w:szCs w:val="32"/>
          <w:lang w:eastAsia="zh-CN"/>
        </w:rPr>
        <w:t>国内</w:t>
      </w:r>
      <w:r>
        <w:rPr>
          <w:rFonts w:hint="eastAsia" w:ascii="Times New Roman" w:hAnsi="Times New Roman" w:eastAsia="仿宋_GB2312" w:cs="Times New Roman"/>
          <w:color w:val="auto"/>
          <w:sz w:val="32"/>
          <w:szCs w:val="32"/>
        </w:rPr>
        <w:t>领先水平，</w:t>
      </w:r>
      <w:r>
        <w:rPr>
          <w:rFonts w:hint="eastAsia" w:ascii="仿宋_GB2312" w:hAnsi="仿宋_GB2312" w:eastAsia="仿宋_GB2312" w:cs="仿宋_GB2312"/>
          <w:color w:val="auto"/>
          <w:sz w:val="32"/>
          <w:szCs w:val="32"/>
        </w:rPr>
        <w:t>整区建成美丽乡村，公众</w:t>
      </w:r>
      <w:r>
        <w:rPr>
          <w:rFonts w:ascii="Times New Roman" w:hAnsi="Times New Roman" w:eastAsia="仿宋_GB2312" w:cs="Times New Roman"/>
          <w:color w:val="auto"/>
          <w:sz w:val="32"/>
          <w:szCs w:val="32"/>
        </w:rPr>
        <w:t>对生态环境的满意度不断提升。</w:t>
      </w:r>
    </w:p>
    <w:p w14:paraId="4E774CFD">
      <w:pPr>
        <w:jc w:val="center"/>
        <w:rPr>
          <w:rFonts w:ascii="Times New Roman" w:hAnsi="Times New Roman" w:eastAsia="仿宋_GB2312" w:cs="Times New Roman"/>
          <w:b/>
          <w:bCs/>
          <w:color w:val="auto"/>
          <w:sz w:val="30"/>
          <w:szCs w:val="30"/>
        </w:rPr>
      </w:pPr>
      <w:r>
        <w:rPr>
          <w:rFonts w:ascii="Times New Roman" w:hAnsi="Times New Roman" w:eastAsia="仿宋_GB2312" w:cs="Times New Roman"/>
          <w:b/>
          <w:bCs/>
          <w:color w:val="auto"/>
          <w:sz w:val="30"/>
          <w:szCs w:val="30"/>
        </w:rPr>
        <w:t>闵行区生态环境保护“十五五”规划主要指标目标</w:t>
      </w:r>
    </w:p>
    <w:tbl>
      <w:tblPr>
        <w:tblStyle w:val="23"/>
        <w:tblW w:w="44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3"/>
        <w:gridCol w:w="482"/>
        <w:gridCol w:w="2033"/>
        <w:gridCol w:w="992"/>
        <w:gridCol w:w="1145"/>
        <w:gridCol w:w="1690"/>
      </w:tblGrid>
      <w:tr w14:paraId="69E7C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786" w:type="pct"/>
            <w:vAlign w:val="center"/>
          </w:tcPr>
          <w:p w14:paraId="553C5FF6">
            <w:pPr>
              <w:widowControl/>
              <w:jc w:val="center"/>
              <w:rPr>
                <w:rFonts w:ascii="Times New Roman" w:hAnsi="Times New Roman" w:eastAsia="仿宋_GB2312" w:cs="Times New Roman"/>
                <w:b/>
                <w:bCs/>
                <w:color w:val="auto"/>
                <w:kern w:val="0"/>
                <w:szCs w:val="21"/>
              </w:rPr>
            </w:pPr>
            <w:r>
              <w:rPr>
                <w:rFonts w:ascii="Times New Roman" w:hAnsi="Times New Roman" w:eastAsia="仿宋_GB2312" w:cs="Times New Roman"/>
                <w:b/>
                <w:bCs/>
                <w:color w:val="auto"/>
                <w:kern w:val="0"/>
                <w:szCs w:val="21"/>
              </w:rPr>
              <w:t>类型</w:t>
            </w:r>
          </w:p>
        </w:tc>
        <w:tc>
          <w:tcPr>
            <w:tcW w:w="320" w:type="pct"/>
            <w:vAlign w:val="center"/>
          </w:tcPr>
          <w:p w14:paraId="083A3D82">
            <w:pPr>
              <w:widowControl/>
              <w:jc w:val="center"/>
              <w:rPr>
                <w:rFonts w:ascii="Times New Roman" w:hAnsi="Times New Roman" w:eastAsia="仿宋_GB2312" w:cs="Times New Roman"/>
                <w:b/>
                <w:bCs/>
                <w:color w:val="auto"/>
                <w:kern w:val="0"/>
                <w:szCs w:val="21"/>
              </w:rPr>
            </w:pPr>
            <w:r>
              <w:rPr>
                <w:rFonts w:ascii="Times New Roman" w:hAnsi="Times New Roman" w:eastAsia="仿宋_GB2312" w:cs="Times New Roman"/>
                <w:b/>
                <w:bCs/>
                <w:color w:val="auto"/>
                <w:kern w:val="0"/>
                <w:szCs w:val="21"/>
              </w:rPr>
              <w:t>序号</w:t>
            </w:r>
          </w:p>
        </w:tc>
        <w:tc>
          <w:tcPr>
            <w:tcW w:w="1350" w:type="pct"/>
            <w:vAlign w:val="center"/>
          </w:tcPr>
          <w:p w14:paraId="3D564F3C">
            <w:pPr>
              <w:widowControl/>
              <w:jc w:val="center"/>
              <w:rPr>
                <w:rFonts w:ascii="Times New Roman" w:hAnsi="Times New Roman" w:eastAsia="仿宋_GB2312" w:cs="Times New Roman"/>
                <w:b/>
                <w:bCs/>
                <w:color w:val="auto"/>
                <w:kern w:val="0"/>
                <w:szCs w:val="21"/>
              </w:rPr>
            </w:pPr>
            <w:r>
              <w:rPr>
                <w:rFonts w:ascii="Times New Roman" w:hAnsi="Times New Roman" w:eastAsia="仿宋_GB2312" w:cs="Times New Roman"/>
                <w:b/>
                <w:bCs/>
                <w:color w:val="auto"/>
                <w:kern w:val="0"/>
                <w:szCs w:val="21"/>
              </w:rPr>
              <w:t>指标名称</w:t>
            </w:r>
          </w:p>
        </w:tc>
        <w:tc>
          <w:tcPr>
            <w:tcW w:w="659" w:type="pct"/>
            <w:vAlign w:val="center"/>
          </w:tcPr>
          <w:p w14:paraId="332A94AD">
            <w:pPr>
              <w:widowControl/>
              <w:jc w:val="center"/>
              <w:rPr>
                <w:rFonts w:ascii="Times New Roman" w:hAnsi="Times New Roman" w:eastAsia="仿宋_GB2312" w:cs="Times New Roman"/>
                <w:b/>
                <w:bCs/>
                <w:color w:val="auto"/>
                <w:kern w:val="0"/>
                <w:szCs w:val="21"/>
              </w:rPr>
            </w:pPr>
            <w:r>
              <w:rPr>
                <w:rFonts w:ascii="Times New Roman" w:hAnsi="Times New Roman" w:eastAsia="仿宋_GB2312" w:cs="Times New Roman"/>
                <w:b/>
                <w:bCs/>
                <w:color w:val="auto"/>
                <w:kern w:val="0"/>
                <w:szCs w:val="21"/>
              </w:rPr>
              <w:t>属性</w:t>
            </w:r>
          </w:p>
        </w:tc>
        <w:tc>
          <w:tcPr>
            <w:tcW w:w="760" w:type="pct"/>
            <w:vAlign w:val="center"/>
          </w:tcPr>
          <w:p w14:paraId="03968F90">
            <w:pPr>
              <w:widowControl/>
              <w:jc w:val="center"/>
              <w:rPr>
                <w:rFonts w:ascii="Times New Roman" w:hAnsi="Times New Roman" w:eastAsia="仿宋_GB2312" w:cs="Times New Roman"/>
                <w:b/>
                <w:bCs/>
                <w:color w:val="auto"/>
                <w:kern w:val="0"/>
                <w:szCs w:val="21"/>
              </w:rPr>
            </w:pPr>
            <w:r>
              <w:rPr>
                <w:rFonts w:ascii="Times New Roman" w:hAnsi="Times New Roman" w:eastAsia="仿宋_GB2312" w:cs="Times New Roman"/>
                <w:b/>
                <w:bCs/>
                <w:color w:val="auto"/>
                <w:kern w:val="0"/>
                <w:szCs w:val="21"/>
              </w:rPr>
              <w:t>单位</w:t>
            </w:r>
          </w:p>
        </w:tc>
        <w:tc>
          <w:tcPr>
            <w:tcW w:w="1122" w:type="pct"/>
            <w:vAlign w:val="center"/>
          </w:tcPr>
          <w:p w14:paraId="349C43F5">
            <w:pPr>
              <w:widowControl/>
              <w:jc w:val="center"/>
              <w:rPr>
                <w:rFonts w:ascii="Times New Roman" w:hAnsi="Times New Roman" w:eastAsia="仿宋_GB2312" w:cs="Times New Roman"/>
                <w:b/>
                <w:bCs/>
                <w:color w:val="auto"/>
                <w:kern w:val="0"/>
                <w:sz w:val="22"/>
              </w:rPr>
            </w:pPr>
            <w:r>
              <w:rPr>
                <w:rFonts w:ascii="Times New Roman" w:hAnsi="Times New Roman" w:eastAsia="仿宋_GB2312" w:cs="Times New Roman"/>
                <w:b/>
                <w:bCs/>
                <w:color w:val="auto"/>
                <w:kern w:val="0"/>
                <w:sz w:val="22"/>
              </w:rPr>
              <w:t>2030年目标</w:t>
            </w:r>
          </w:p>
        </w:tc>
      </w:tr>
      <w:tr w14:paraId="32E51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786" w:type="pct"/>
            <w:vMerge w:val="restart"/>
            <w:vAlign w:val="center"/>
          </w:tcPr>
          <w:p w14:paraId="21C784A3">
            <w:pPr>
              <w:widowControl/>
              <w:rPr>
                <w:rFonts w:hint="eastAsia" w:ascii="Times New Roman" w:hAnsi="Times New Roman" w:eastAsia="仿宋_GB2312" w:cs="Times New Roman"/>
                <w:color w:val="auto"/>
                <w:kern w:val="0"/>
                <w:sz w:val="22"/>
              </w:rPr>
            </w:pPr>
          </w:p>
          <w:p w14:paraId="5380176E">
            <w:pPr>
              <w:widowControl/>
              <w:rPr>
                <w:rFonts w:hint="eastAsia" w:ascii="Times New Roman" w:hAnsi="Times New Roman" w:eastAsia="仿宋_GB2312" w:cs="Times New Roman"/>
                <w:color w:val="auto"/>
                <w:kern w:val="0"/>
                <w:sz w:val="22"/>
              </w:rPr>
            </w:pPr>
          </w:p>
          <w:p w14:paraId="089B9CA9">
            <w:pPr>
              <w:widowControl/>
              <w:rPr>
                <w:rFonts w:hint="eastAsia" w:ascii="Times New Roman" w:hAnsi="Times New Roman" w:eastAsia="仿宋_GB2312" w:cs="Times New Roman"/>
                <w:color w:val="auto"/>
                <w:kern w:val="0"/>
                <w:sz w:val="22"/>
              </w:rPr>
            </w:pPr>
          </w:p>
          <w:p w14:paraId="7CDE39D5">
            <w:pPr>
              <w:widowControl/>
              <w:rPr>
                <w:rFonts w:hint="eastAsia" w:ascii="Times New Roman" w:hAnsi="Times New Roman" w:eastAsia="仿宋_GB2312" w:cs="Times New Roman"/>
                <w:color w:val="auto"/>
                <w:kern w:val="0"/>
                <w:sz w:val="22"/>
              </w:rPr>
            </w:pPr>
          </w:p>
          <w:p w14:paraId="270D6FB7">
            <w:pPr>
              <w:widowControl/>
              <w:rPr>
                <w:rFonts w:hint="eastAsia" w:ascii="Times New Roman" w:hAnsi="Times New Roman" w:eastAsia="仿宋_GB2312" w:cs="Times New Roman"/>
                <w:color w:val="auto"/>
                <w:kern w:val="0"/>
                <w:sz w:val="22"/>
              </w:rPr>
            </w:pPr>
          </w:p>
          <w:p w14:paraId="6338A659">
            <w:pPr>
              <w:widowControl/>
              <w:rPr>
                <w:rFonts w:hint="eastAsia" w:ascii="Times New Roman" w:hAnsi="Times New Roman" w:eastAsia="仿宋_GB2312" w:cs="Times New Roman"/>
                <w:color w:val="auto"/>
                <w:kern w:val="0"/>
                <w:sz w:val="22"/>
              </w:rPr>
            </w:pPr>
          </w:p>
          <w:p w14:paraId="7CDF075E">
            <w:pPr>
              <w:widowControl/>
              <w:rPr>
                <w:rFonts w:ascii="Times New Roman" w:hAnsi="Times New Roman" w:eastAsia="仿宋_GB2312" w:cs="Times New Roman"/>
                <w:color w:val="auto"/>
                <w:kern w:val="0"/>
                <w:sz w:val="22"/>
              </w:rPr>
            </w:pPr>
            <w:bookmarkStart w:id="67" w:name="_GoBack"/>
            <w:bookmarkEnd w:id="67"/>
            <w:r>
              <w:rPr>
                <w:rFonts w:hint="eastAsia" w:ascii="Times New Roman" w:hAnsi="Times New Roman" w:eastAsia="仿宋_GB2312" w:cs="Times New Roman"/>
                <w:color w:val="auto"/>
                <w:kern w:val="0"/>
                <w:sz w:val="22"/>
              </w:rPr>
              <w:t>环境质量</w:t>
            </w:r>
          </w:p>
        </w:tc>
        <w:tc>
          <w:tcPr>
            <w:tcW w:w="320" w:type="pct"/>
            <w:vAlign w:val="center"/>
          </w:tcPr>
          <w:p w14:paraId="132A96DD">
            <w:pPr>
              <w:widowControl/>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1</w:t>
            </w:r>
          </w:p>
        </w:tc>
        <w:tc>
          <w:tcPr>
            <w:tcW w:w="1350" w:type="pct"/>
            <w:vAlign w:val="center"/>
          </w:tcPr>
          <w:p w14:paraId="63EA5D8C">
            <w:pPr>
              <w:widowControl/>
              <w:rPr>
                <w:rFonts w:ascii="Times New Roman" w:hAnsi="Times New Roman" w:eastAsia="仿宋_GB2312" w:cs="Times New Roman"/>
                <w:color w:val="auto"/>
                <w:kern w:val="0"/>
                <w:sz w:val="22"/>
              </w:rPr>
            </w:pPr>
            <w:r>
              <w:rPr>
                <w:rFonts w:hint="eastAsia" w:ascii="Times New Roman" w:hAnsi="Times New Roman" w:eastAsia="仿宋_GB2312" w:cs="Times New Roman"/>
                <w:color w:val="auto"/>
                <w:kern w:val="0"/>
                <w:szCs w:val="21"/>
              </w:rPr>
              <w:t>细颗粒物年平均浓度（微克/立方米）</w:t>
            </w:r>
          </w:p>
        </w:tc>
        <w:tc>
          <w:tcPr>
            <w:tcW w:w="659" w:type="pct"/>
            <w:vAlign w:val="center"/>
          </w:tcPr>
          <w:p w14:paraId="3113A5B8">
            <w:pPr>
              <w:widowControl/>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约束性</w:t>
            </w:r>
          </w:p>
        </w:tc>
        <w:tc>
          <w:tcPr>
            <w:tcW w:w="760" w:type="pct"/>
            <w:vAlign w:val="center"/>
          </w:tcPr>
          <w:p w14:paraId="59C93FDC">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微克／立方米</w:t>
            </w:r>
          </w:p>
        </w:tc>
        <w:tc>
          <w:tcPr>
            <w:tcW w:w="1122" w:type="pct"/>
            <w:vAlign w:val="center"/>
          </w:tcPr>
          <w:p w14:paraId="5E31ADCA">
            <w:pPr>
              <w:widowControl/>
              <w:jc w:val="center"/>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完成市要求</w:t>
            </w:r>
          </w:p>
        </w:tc>
      </w:tr>
      <w:tr w14:paraId="52E47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86" w:type="pct"/>
            <w:vMerge w:val="continue"/>
            <w:tcBorders/>
            <w:vAlign w:val="center"/>
          </w:tcPr>
          <w:p w14:paraId="19BC5EB6">
            <w:pPr>
              <w:widowControl/>
              <w:rPr>
                <w:rFonts w:ascii="Times New Roman" w:hAnsi="Times New Roman" w:eastAsia="仿宋_GB2312" w:cs="Times New Roman"/>
                <w:color w:val="auto"/>
                <w:kern w:val="0"/>
                <w:sz w:val="22"/>
              </w:rPr>
            </w:pPr>
          </w:p>
        </w:tc>
        <w:tc>
          <w:tcPr>
            <w:tcW w:w="320" w:type="pct"/>
            <w:vAlign w:val="center"/>
          </w:tcPr>
          <w:p w14:paraId="6A8A2F40">
            <w:pPr>
              <w:widowControl/>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2</w:t>
            </w:r>
          </w:p>
        </w:tc>
        <w:tc>
          <w:tcPr>
            <w:tcW w:w="1350" w:type="pct"/>
            <w:vAlign w:val="center"/>
          </w:tcPr>
          <w:p w14:paraId="5243A0DC">
            <w:pPr>
              <w:widowControl/>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空气质量优良天数比率</w:t>
            </w:r>
          </w:p>
        </w:tc>
        <w:tc>
          <w:tcPr>
            <w:tcW w:w="659" w:type="pct"/>
            <w:vAlign w:val="center"/>
          </w:tcPr>
          <w:p w14:paraId="077F065F">
            <w:pPr>
              <w:widowControl/>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预期性</w:t>
            </w:r>
          </w:p>
        </w:tc>
        <w:tc>
          <w:tcPr>
            <w:tcW w:w="760" w:type="pct"/>
            <w:vAlign w:val="center"/>
          </w:tcPr>
          <w:p w14:paraId="2F2413F3">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w:t>
            </w:r>
          </w:p>
        </w:tc>
        <w:tc>
          <w:tcPr>
            <w:tcW w:w="1122" w:type="pct"/>
            <w:vAlign w:val="center"/>
          </w:tcPr>
          <w:p w14:paraId="1B3B742C">
            <w:pPr>
              <w:widowControl/>
              <w:jc w:val="center"/>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完成市要求</w:t>
            </w:r>
          </w:p>
        </w:tc>
      </w:tr>
      <w:tr w14:paraId="47FD0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86" w:type="pct"/>
            <w:vMerge w:val="continue"/>
            <w:tcBorders/>
            <w:vAlign w:val="center"/>
          </w:tcPr>
          <w:p w14:paraId="22D0D9CE">
            <w:pPr>
              <w:widowControl/>
              <w:rPr>
                <w:rFonts w:ascii="Times New Roman" w:hAnsi="Times New Roman" w:eastAsia="仿宋_GB2312" w:cs="Times New Roman"/>
                <w:color w:val="auto"/>
                <w:kern w:val="0"/>
                <w:sz w:val="22"/>
              </w:rPr>
            </w:pPr>
          </w:p>
        </w:tc>
        <w:tc>
          <w:tcPr>
            <w:tcW w:w="320" w:type="pct"/>
            <w:vAlign w:val="center"/>
          </w:tcPr>
          <w:p w14:paraId="41407EC4">
            <w:pPr>
              <w:widowControl/>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3</w:t>
            </w:r>
          </w:p>
        </w:tc>
        <w:tc>
          <w:tcPr>
            <w:tcW w:w="1350" w:type="pct"/>
            <w:vAlign w:val="center"/>
          </w:tcPr>
          <w:p w14:paraId="624BF141">
            <w:pPr>
              <w:widowControl/>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重度及以上污染天数比例</w:t>
            </w:r>
          </w:p>
        </w:tc>
        <w:tc>
          <w:tcPr>
            <w:tcW w:w="659" w:type="pct"/>
            <w:vAlign w:val="center"/>
          </w:tcPr>
          <w:p w14:paraId="16733277">
            <w:pPr>
              <w:widowControl/>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预期性</w:t>
            </w:r>
          </w:p>
        </w:tc>
        <w:tc>
          <w:tcPr>
            <w:tcW w:w="760" w:type="pct"/>
            <w:vAlign w:val="center"/>
          </w:tcPr>
          <w:p w14:paraId="5C63CFA1">
            <w:pPr>
              <w:widowControl/>
              <w:jc w:val="center"/>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w:t>
            </w:r>
          </w:p>
        </w:tc>
        <w:tc>
          <w:tcPr>
            <w:tcW w:w="1122" w:type="pct"/>
            <w:vAlign w:val="center"/>
          </w:tcPr>
          <w:p w14:paraId="1F4227C9">
            <w:pPr>
              <w:widowControl/>
              <w:jc w:val="center"/>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完成市要求</w:t>
            </w:r>
          </w:p>
        </w:tc>
      </w:tr>
      <w:tr w14:paraId="0347C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86" w:type="pct"/>
            <w:vMerge w:val="continue"/>
            <w:tcBorders/>
            <w:vAlign w:val="center"/>
          </w:tcPr>
          <w:p w14:paraId="5247A3C5">
            <w:pPr>
              <w:widowControl/>
              <w:rPr>
                <w:rFonts w:ascii="Times New Roman" w:hAnsi="Times New Roman" w:eastAsia="仿宋_GB2312" w:cs="Times New Roman"/>
                <w:color w:val="auto"/>
                <w:kern w:val="0"/>
                <w:sz w:val="22"/>
              </w:rPr>
            </w:pPr>
          </w:p>
        </w:tc>
        <w:tc>
          <w:tcPr>
            <w:tcW w:w="320" w:type="pct"/>
            <w:vAlign w:val="center"/>
          </w:tcPr>
          <w:p w14:paraId="21629E5A">
            <w:pPr>
              <w:widowControl/>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4</w:t>
            </w:r>
          </w:p>
        </w:tc>
        <w:tc>
          <w:tcPr>
            <w:tcW w:w="1350" w:type="pct"/>
            <w:vAlign w:val="center"/>
          </w:tcPr>
          <w:p w14:paraId="5F6197BE">
            <w:pPr>
              <w:widowControl/>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Cs w:val="21"/>
              </w:rPr>
              <w:t>地表水</w:t>
            </w:r>
            <w:r>
              <w:rPr>
                <w:rFonts w:hint="eastAsia" w:ascii="Times New Roman" w:hAnsi="Times New Roman" w:eastAsia="仿宋_GB2312" w:cs="Times New Roman"/>
                <w:color w:val="auto"/>
                <w:kern w:val="0"/>
                <w:szCs w:val="21"/>
              </w:rPr>
              <w:t>优良</w:t>
            </w:r>
            <w:r>
              <w:rPr>
                <w:rFonts w:ascii="Times New Roman" w:hAnsi="Times New Roman" w:eastAsia="仿宋_GB2312" w:cs="Times New Roman"/>
                <w:color w:val="auto"/>
                <w:kern w:val="0"/>
                <w:szCs w:val="21"/>
              </w:rPr>
              <w:t>水体比例</w:t>
            </w:r>
          </w:p>
        </w:tc>
        <w:tc>
          <w:tcPr>
            <w:tcW w:w="659" w:type="pct"/>
            <w:vAlign w:val="center"/>
          </w:tcPr>
          <w:p w14:paraId="3E0744F1">
            <w:pPr>
              <w:widowControl/>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约束性</w:t>
            </w:r>
          </w:p>
        </w:tc>
        <w:tc>
          <w:tcPr>
            <w:tcW w:w="760" w:type="pct"/>
            <w:vAlign w:val="center"/>
          </w:tcPr>
          <w:p w14:paraId="37ECA120">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w:t>
            </w:r>
          </w:p>
        </w:tc>
        <w:tc>
          <w:tcPr>
            <w:tcW w:w="1122" w:type="pct"/>
            <w:vAlign w:val="center"/>
          </w:tcPr>
          <w:p w14:paraId="491D475E">
            <w:pPr>
              <w:widowControl/>
              <w:jc w:val="center"/>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完成市要求</w:t>
            </w:r>
          </w:p>
        </w:tc>
      </w:tr>
      <w:tr w14:paraId="7E493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86" w:type="pct"/>
            <w:vMerge w:val="continue"/>
            <w:tcBorders/>
            <w:vAlign w:val="center"/>
          </w:tcPr>
          <w:p w14:paraId="73EE35C8">
            <w:pPr>
              <w:widowControl/>
              <w:rPr>
                <w:rFonts w:ascii="Times New Roman" w:hAnsi="Times New Roman" w:eastAsia="仿宋_GB2312" w:cs="Times New Roman"/>
                <w:color w:val="auto"/>
                <w:kern w:val="0"/>
                <w:sz w:val="22"/>
              </w:rPr>
            </w:pPr>
          </w:p>
        </w:tc>
        <w:tc>
          <w:tcPr>
            <w:tcW w:w="320" w:type="pct"/>
            <w:vAlign w:val="center"/>
          </w:tcPr>
          <w:p w14:paraId="14924268">
            <w:pPr>
              <w:widowControl/>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5</w:t>
            </w:r>
          </w:p>
        </w:tc>
        <w:tc>
          <w:tcPr>
            <w:tcW w:w="1350" w:type="pct"/>
            <w:vAlign w:val="center"/>
          </w:tcPr>
          <w:p w14:paraId="4A0A46DA">
            <w:pPr>
              <w:widowControl/>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地表水（国控、市控断面）达到或好于Ⅲ类水体比例</w:t>
            </w:r>
          </w:p>
        </w:tc>
        <w:tc>
          <w:tcPr>
            <w:tcW w:w="659" w:type="pct"/>
            <w:vAlign w:val="center"/>
          </w:tcPr>
          <w:p w14:paraId="074D0672">
            <w:pPr>
              <w:widowControl/>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预期性</w:t>
            </w:r>
          </w:p>
        </w:tc>
        <w:tc>
          <w:tcPr>
            <w:tcW w:w="760" w:type="pct"/>
            <w:vAlign w:val="center"/>
          </w:tcPr>
          <w:p w14:paraId="30FCF072">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w:t>
            </w:r>
          </w:p>
        </w:tc>
        <w:tc>
          <w:tcPr>
            <w:tcW w:w="1122" w:type="pct"/>
            <w:vAlign w:val="center"/>
          </w:tcPr>
          <w:p w14:paraId="2B2D274B">
            <w:pPr>
              <w:widowControl/>
              <w:jc w:val="center"/>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95以上</w:t>
            </w:r>
          </w:p>
        </w:tc>
      </w:tr>
      <w:tr w14:paraId="698EC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86" w:type="pct"/>
            <w:vMerge w:val="continue"/>
            <w:tcBorders/>
            <w:vAlign w:val="center"/>
          </w:tcPr>
          <w:p w14:paraId="5AAA20F9">
            <w:pPr>
              <w:widowControl/>
              <w:rPr>
                <w:rFonts w:ascii="Times New Roman" w:hAnsi="Times New Roman" w:eastAsia="仿宋_GB2312" w:cs="Times New Roman"/>
                <w:color w:val="auto"/>
                <w:kern w:val="0"/>
                <w:sz w:val="22"/>
              </w:rPr>
            </w:pPr>
          </w:p>
        </w:tc>
        <w:tc>
          <w:tcPr>
            <w:tcW w:w="320" w:type="pct"/>
            <w:vAlign w:val="center"/>
          </w:tcPr>
          <w:p w14:paraId="4BBFE62B">
            <w:pPr>
              <w:widowControl/>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6</w:t>
            </w:r>
          </w:p>
        </w:tc>
        <w:tc>
          <w:tcPr>
            <w:tcW w:w="1350" w:type="pct"/>
            <w:vAlign w:val="center"/>
          </w:tcPr>
          <w:p w14:paraId="1BEDE72D">
            <w:pPr>
              <w:widowControl/>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地下水国控点位Ⅰ—Ⅳ类水比例</w:t>
            </w:r>
          </w:p>
        </w:tc>
        <w:tc>
          <w:tcPr>
            <w:tcW w:w="659" w:type="pct"/>
            <w:vAlign w:val="center"/>
          </w:tcPr>
          <w:p w14:paraId="10CA5DE0">
            <w:pPr>
              <w:widowControl/>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预期性</w:t>
            </w:r>
          </w:p>
        </w:tc>
        <w:tc>
          <w:tcPr>
            <w:tcW w:w="760" w:type="pct"/>
            <w:vAlign w:val="center"/>
          </w:tcPr>
          <w:p w14:paraId="3E801A84">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w:t>
            </w:r>
          </w:p>
        </w:tc>
        <w:tc>
          <w:tcPr>
            <w:tcW w:w="1122" w:type="pct"/>
            <w:vAlign w:val="center"/>
          </w:tcPr>
          <w:p w14:paraId="56BB468F">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保持稳定</w:t>
            </w:r>
          </w:p>
        </w:tc>
      </w:tr>
      <w:tr w14:paraId="45EA5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86" w:type="pct"/>
            <w:vMerge w:val="continue"/>
            <w:tcBorders/>
            <w:vAlign w:val="center"/>
          </w:tcPr>
          <w:p w14:paraId="005633B6">
            <w:pPr>
              <w:widowControl/>
              <w:rPr>
                <w:rFonts w:ascii="Times New Roman" w:hAnsi="Times New Roman" w:eastAsia="仿宋_GB2312" w:cs="Times New Roman"/>
                <w:color w:val="auto"/>
                <w:kern w:val="0"/>
                <w:sz w:val="22"/>
              </w:rPr>
            </w:pPr>
          </w:p>
        </w:tc>
        <w:tc>
          <w:tcPr>
            <w:tcW w:w="320" w:type="pct"/>
            <w:shd w:val="clear" w:color="auto" w:fill="auto"/>
            <w:vAlign w:val="center"/>
          </w:tcPr>
          <w:p w14:paraId="3760FCED">
            <w:pPr>
              <w:widowControl/>
              <w:rPr>
                <w:rFonts w:hint="eastAsia" w:ascii="Times New Roman" w:hAnsi="Times New Roman" w:eastAsia="仿宋_GB2312" w:cs="Times New Roman"/>
                <w:color w:val="auto"/>
                <w:kern w:val="0"/>
                <w:sz w:val="21"/>
                <w:szCs w:val="21"/>
                <w:highlight w:val="none"/>
                <w:lang w:val="en-US" w:eastAsia="zh-CN" w:bidi="ar-SA"/>
                <w14:ligatures w14:val="standardContextual"/>
              </w:rPr>
            </w:pPr>
            <w:r>
              <w:rPr>
                <w:rFonts w:hint="eastAsia" w:ascii="Times New Roman" w:hAnsi="Times New Roman" w:eastAsia="仿宋_GB2312" w:cs="Times New Roman"/>
                <w:color w:val="auto"/>
                <w:kern w:val="0"/>
                <w:szCs w:val="21"/>
                <w:highlight w:val="none"/>
                <w:lang w:val="en-US" w:eastAsia="zh-CN"/>
              </w:rPr>
              <w:t>7</w:t>
            </w:r>
          </w:p>
        </w:tc>
        <w:tc>
          <w:tcPr>
            <w:tcW w:w="1350" w:type="pct"/>
            <w:shd w:val="clear" w:color="auto" w:fill="auto"/>
            <w:vAlign w:val="center"/>
          </w:tcPr>
          <w:p w14:paraId="55FF1AE9">
            <w:pPr>
              <w:widowControl/>
              <w:rPr>
                <w:rFonts w:ascii="Times New Roman" w:hAnsi="Times New Roman" w:eastAsia="仿宋_GB2312" w:cs="Times New Roman"/>
                <w:color w:val="auto"/>
                <w:kern w:val="0"/>
                <w:sz w:val="21"/>
                <w:szCs w:val="21"/>
                <w:highlight w:val="none"/>
                <w:lang w:val="en-US" w:eastAsia="zh-CN" w:bidi="ar-SA"/>
                <w14:ligatures w14:val="standardContextual"/>
              </w:rPr>
            </w:pPr>
            <w:r>
              <w:rPr>
                <w:rFonts w:hint="eastAsia" w:ascii="Times New Roman" w:hAnsi="Times New Roman" w:eastAsia="仿宋_GB2312" w:cs="Times New Roman"/>
                <w:color w:val="auto"/>
                <w:kern w:val="0"/>
                <w:szCs w:val="21"/>
                <w:highlight w:val="none"/>
              </w:rPr>
              <w:t>声环境功能区夜间达标率</w:t>
            </w:r>
          </w:p>
        </w:tc>
        <w:tc>
          <w:tcPr>
            <w:tcW w:w="659" w:type="pct"/>
            <w:shd w:val="clear" w:color="auto" w:fill="auto"/>
            <w:vAlign w:val="center"/>
          </w:tcPr>
          <w:p w14:paraId="00E5BB0D">
            <w:pPr>
              <w:widowControl/>
              <w:rPr>
                <w:rFonts w:ascii="Times New Roman" w:hAnsi="Times New Roman" w:eastAsia="仿宋_GB2312" w:cs="Times New Roman"/>
                <w:color w:val="auto"/>
                <w:kern w:val="0"/>
                <w:sz w:val="21"/>
                <w:szCs w:val="21"/>
                <w:highlight w:val="none"/>
                <w:lang w:val="en-US" w:eastAsia="zh-CN" w:bidi="ar-SA"/>
                <w14:ligatures w14:val="standardContextual"/>
              </w:rPr>
            </w:pPr>
            <w:r>
              <w:rPr>
                <w:rFonts w:ascii="Times New Roman" w:hAnsi="Times New Roman" w:eastAsia="仿宋_GB2312" w:cs="Times New Roman"/>
                <w:color w:val="auto"/>
                <w:kern w:val="0"/>
                <w:szCs w:val="21"/>
                <w:highlight w:val="none"/>
              </w:rPr>
              <w:t>预期性</w:t>
            </w:r>
          </w:p>
        </w:tc>
        <w:tc>
          <w:tcPr>
            <w:tcW w:w="760" w:type="pct"/>
            <w:shd w:val="clear" w:color="auto" w:fill="auto"/>
            <w:vAlign w:val="center"/>
          </w:tcPr>
          <w:p w14:paraId="4FADBF75">
            <w:pPr>
              <w:widowControl/>
              <w:jc w:val="center"/>
              <w:rPr>
                <w:rFonts w:ascii="Times New Roman" w:hAnsi="Times New Roman" w:eastAsia="仿宋_GB2312" w:cs="Times New Roman"/>
                <w:color w:val="auto"/>
                <w:kern w:val="0"/>
                <w:sz w:val="21"/>
                <w:szCs w:val="21"/>
                <w:highlight w:val="none"/>
                <w:lang w:val="en-US" w:eastAsia="zh-CN" w:bidi="ar-SA"/>
                <w14:ligatures w14:val="standardContextual"/>
              </w:rPr>
            </w:pPr>
            <w:r>
              <w:rPr>
                <w:rFonts w:ascii="Times New Roman" w:hAnsi="Times New Roman" w:eastAsia="仿宋_GB2312" w:cs="Times New Roman"/>
                <w:color w:val="auto"/>
                <w:kern w:val="0"/>
                <w:szCs w:val="21"/>
                <w:highlight w:val="none"/>
              </w:rPr>
              <w:t>%</w:t>
            </w:r>
          </w:p>
        </w:tc>
        <w:tc>
          <w:tcPr>
            <w:tcW w:w="1122" w:type="pct"/>
            <w:shd w:val="clear" w:color="auto" w:fill="auto"/>
            <w:vAlign w:val="center"/>
          </w:tcPr>
          <w:p w14:paraId="25D81B52">
            <w:pPr>
              <w:widowControl/>
              <w:jc w:val="center"/>
              <w:rPr>
                <w:rFonts w:hint="default" w:ascii="Times New Roman" w:hAnsi="Times New Roman" w:eastAsia="仿宋_GB2312" w:cs="Times New Roman"/>
                <w:color w:val="auto"/>
                <w:kern w:val="0"/>
                <w:sz w:val="21"/>
                <w:szCs w:val="21"/>
                <w:highlight w:val="none"/>
                <w:lang w:val="en-US" w:eastAsia="zh-CN" w:bidi="ar-SA"/>
                <w14:ligatures w14:val="standardContextual"/>
              </w:rPr>
            </w:pPr>
            <w:r>
              <w:rPr>
                <w:rFonts w:hint="eastAsia" w:ascii="Times New Roman" w:hAnsi="Times New Roman" w:eastAsia="仿宋_GB2312" w:cs="Times New Roman"/>
                <w:color w:val="auto"/>
                <w:kern w:val="0"/>
                <w:szCs w:val="21"/>
                <w:highlight w:val="none"/>
                <w:lang w:val="en-US" w:eastAsia="zh-CN"/>
              </w:rPr>
              <w:t>84</w:t>
            </w:r>
          </w:p>
        </w:tc>
      </w:tr>
      <w:tr w14:paraId="574BA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86" w:type="pct"/>
            <w:vMerge w:val="restart"/>
            <w:vAlign w:val="center"/>
          </w:tcPr>
          <w:p w14:paraId="24E08109">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Cs w:val="21"/>
              </w:rPr>
              <w:t>绿色发展</w:t>
            </w:r>
          </w:p>
        </w:tc>
        <w:tc>
          <w:tcPr>
            <w:tcW w:w="320" w:type="pct"/>
            <w:shd w:val="clear" w:color="auto" w:fill="auto"/>
            <w:vAlign w:val="center"/>
          </w:tcPr>
          <w:p w14:paraId="53C30B03">
            <w:pPr>
              <w:widowControl/>
              <w:rPr>
                <w:rFonts w:hint="eastAsia" w:ascii="Times New Roman" w:hAnsi="Times New Roman" w:eastAsia="仿宋_GB2312" w:cs="Times New Roman"/>
                <w:color w:val="auto"/>
                <w:kern w:val="0"/>
                <w:sz w:val="21"/>
                <w:szCs w:val="21"/>
                <w:highlight w:val="none"/>
                <w:lang w:val="en-US" w:eastAsia="zh-CN" w:bidi="ar-SA"/>
                <w14:ligatures w14:val="standardContextual"/>
              </w:rPr>
            </w:pPr>
            <w:r>
              <w:rPr>
                <w:rFonts w:hint="eastAsia" w:ascii="Times New Roman" w:hAnsi="Times New Roman" w:eastAsia="仿宋_GB2312" w:cs="Times New Roman"/>
                <w:color w:val="auto"/>
                <w:kern w:val="0"/>
                <w:szCs w:val="21"/>
                <w:highlight w:val="none"/>
                <w:lang w:val="en-US" w:eastAsia="zh-CN"/>
              </w:rPr>
              <w:t>8</w:t>
            </w:r>
          </w:p>
        </w:tc>
        <w:tc>
          <w:tcPr>
            <w:tcW w:w="1350" w:type="pct"/>
            <w:vAlign w:val="center"/>
          </w:tcPr>
          <w:p w14:paraId="7C8A5CA2">
            <w:pPr>
              <w:widowControl/>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单位</w:t>
            </w:r>
            <w:r>
              <w:rPr>
                <w:rFonts w:hint="eastAsia" w:ascii="Times New Roman" w:hAnsi="Times New Roman" w:eastAsia="仿宋_GB2312" w:cs="Times New Roman"/>
                <w:color w:val="auto"/>
                <w:kern w:val="0"/>
                <w:szCs w:val="21"/>
              </w:rPr>
              <w:t>国内</w:t>
            </w:r>
            <w:r>
              <w:rPr>
                <w:rFonts w:ascii="Times New Roman" w:hAnsi="Times New Roman" w:eastAsia="仿宋_GB2312" w:cs="Times New Roman"/>
                <w:color w:val="auto"/>
                <w:kern w:val="0"/>
                <w:szCs w:val="21"/>
              </w:rPr>
              <w:t>生产总值二氧化碳排放降低率</w:t>
            </w:r>
          </w:p>
        </w:tc>
        <w:tc>
          <w:tcPr>
            <w:tcW w:w="659" w:type="pct"/>
            <w:vAlign w:val="center"/>
          </w:tcPr>
          <w:p w14:paraId="6310BE4B">
            <w:pPr>
              <w:widowControl/>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约束性</w:t>
            </w:r>
          </w:p>
        </w:tc>
        <w:tc>
          <w:tcPr>
            <w:tcW w:w="760" w:type="pct"/>
            <w:vAlign w:val="center"/>
          </w:tcPr>
          <w:p w14:paraId="14611E70">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w:t>
            </w:r>
          </w:p>
        </w:tc>
        <w:tc>
          <w:tcPr>
            <w:tcW w:w="1122" w:type="pct"/>
            <w:vAlign w:val="center"/>
          </w:tcPr>
          <w:p w14:paraId="6AEB132D">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完成市要求</w:t>
            </w:r>
          </w:p>
        </w:tc>
      </w:tr>
      <w:tr w14:paraId="03CBC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86" w:type="pct"/>
            <w:vMerge w:val="continue"/>
            <w:vAlign w:val="center"/>
          </w:tcPr>
          <w:p w14:paraId="0B62EC40">
            <w:pPr>
              <w:widowControl/>
              <w:jc w:val="center"/>
              <w:rPr>
                <w:rFonts w:ascii="Times New Roman" w:hAnsi="Times New Roman" w:eastAsia="仿宋_GB2312" w:cs="Times New Roman"/>
                <w:color w:val="auto"/>
                <w:kern w:val="0"/>
                <w:sz w:val="22"/>
              </w:rPr>
            </w:pPr>
          </w:p>
        </w:tc>
        <w:tc>
          <w:tcPr>
            <w:tcW w:w="320" w:type="pct"/>
            <w:shd w:val="clear" w:color="auto" w:fill="auto"/>
            <w:vAlign w:val="center"/>
          </w:tcPr>
          <w:p w14:paraId="6D0E0872">
            <w:pPr>
              <w:widowControl/>
              <w:rPr>
                <w:rFonts w:hint="eastAsia" w:ascii="Times New Roman" w:hAnsi="Times New Roman" w:eastAsia="仿宋_GB2312" w:cs="Times New Roman"/>
                <w:color w:val="auto"/>
                <w:kern w:val="0"/>
                <w:sz w:val="21"/>
                <w:szCs w:val="21"/>
                <w:highlight w:val="none"/>
                <w:lang w:val="en-US" w:eastAsia="zh-CN" w:bidi="ar-SA"/>
                <w14:ligatures w14:val="standardContextual"/>
              </w:rPr>
            </w:pPr>
            <w:r>
              <w:rPr>
                <w:rFonts w:hint="eastAsia" w:ascii="Times New Roman" w:hAnsi="Times New Roman" w:eastAsia="仿宋_GB2312" w:cs="Times New Roman"/>
                <w:color w:val="auto"/>
                <w:kern w:val="0"/>
                <w:szCs w:val="21"/>
                <w:highlight w:val="none"/>
                <w:lang w:val="en-US" w:eastAsia="zh-CN"/>
              </w:rPr>
              <w:t>9</w:t>
            </w:r>
          </w:p>
        </w:tc>
        <w:tc>
          <w:tcPr>
            <w:tcW w:w="1350" w:type="pct"/>
            <w:vAlign w:val="center"/>
          </w:tcPr>
          <w:p w14:paraId="4E66FC44">
            <w:pPr>
              <w:widowControl/>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highlight w:val="none"/>
              </w:rPr>
              <w:t>氮氧化物、挥发性有机物（VOCs）、化学需氧量、总磷重点工程减排量</w:t>
            </w:r>
          </w:p>
        </w:tc>
        <w:tc>
          <w:tcPr>
            <w:tcW w:w="659" w:type="pct"/>
            <w:vAlign w:val="center"/>
          </w:tcPr>
          <w:p w14:paraId="5FE8AA79">
            <w:pPr>
              <w:widowControl/>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约束性</w:t>
            </w:r>
          </w:p>
        </w:tc>
        <w:tc>
          <w:tcPr>
            <w:tcW w:w="760" w:type="pct"/>
            <w:vAlign w:val="center"/>
          </w:tcPr>
          <w:p w14:paraId="7BE0C1C4">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w:t>
            </w:r>
          </w:p>
        </w:tc>
        <w:tc>
          <w:tcPr>
            <w:tcW w:w="1122" w:type="pct"/>
            <w:vAlign w:val="center"/>
          </w:tcPr>
          <w:p w14:paraId="71311A53">
            <w:pPr>
              <w:widowControl/>
              <w:jc w:val="center"/>
              <w:rPr>
                <w:rFonts w:hint="eastAsia" w:ascii="Times New Roman" w:hAnsi="Times New Roman" w:eastAsia="仿宋_GB2312" w:cs="Times New Roman"/>
                <w:color w:val="auto"/>
                <w:kern w:val="0"/>
                <w:szCs w:val="21"/>
                <w:lang w:eastAsia="zh-CN"/>
              </w:rPr>
            </w:pPr>
            <w:r>
              <w:rPr>
                <w:rFonts w:ascii="Times New Roman" w:hAnsi="Times New Roman" w:eastAsia="仿宋_GB2312" w:cs="Times New Roman"/>
                <w:color w:val="auto"/>
                <w:kern w:val="0"/>
                <w:szCs w:val="21"/>
              </w:rPr>
              <w:t>完成市</w:t>
            </w:r>
            <w:r>
              <w:rPr>
                <w:rFonts w:hint="eastAsia" w:ascii="Times New Roman" w:hAnsi="Times New Roman" w:eastAsia="仿宋_GB2312" w:cs="Times New Roman"/>
                <w:color w:val="auto"/>
                <w:kern w:val="0"/>
                <w:szCs w:val="21"/>
                <w:lang w:eastAsia="zh-CN"/>
              </w:rPr>
              <w:t>要求</w:t>
            </w:r>
          </w:p>
        </w:tc>
      </w:tr>
      <w:tr w14:paraId="5E14B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86" w:type="pct"/>
            <w:vMerge w:val="restart"/>
            <w:vAlign w:val="center"/>
          </w:tcPr>
          <w:p w14:paraId="28B29A44">
            <w:pPr>
              <w:widowControl/>
              <w:jc w:val="center"/>
              <w:rPr>
                <w:rFonts w:ascii="Times New Roman" w:hAnsi="Times New Roman" w:eastAsia="仿宋_GB2312" w:cs="Times New Roman"/>
                <w:color w:val="auto"/>
                <w:kern w:val="0"/>
                <w:sz w:val="22"/>
              </w:rPr>
            </w:pPr>
            <w:r>
              <w:rPr>
                <w:rFonts w:hint="eastAsia" w:ascii="Times New Roman" w:hAnsi="Times New Roman" w:eastAsia="仿宋_GB2312" w:cs="Times New Roman"/>
                <w:color w:val="auto"/>
                <w:kern w:val="0"/>
                <w:szCs w:val="21"/>
              </w:rPr>
              <w:t>环境</w:t>
            </w:r>
            <w:r>
              <w:rPr>
                <w:rFonts w:ascii="Times New Roman" w:hAnsi="Times New Roman" w:eastAsia="仿宋_GB2312" w:cs="Times New Roman"/>
                <w:color w:val="auto"/>
                <w:kern w:val="0"/>
                <w:szCs w:val="21"/>
              </w:rPr>
              <w:t>治理</w:t>
            </w:r>
          </w:p>
        </w:tc>
        <w:tc>
          <w:tcPr>
            <w:tcW w:w="320" w:type="pct"/>
            <w:shd w:val="clear" w:color="auto" w:fill="auto"/>
            <w:vAlign w:val="center"/>
          </w:tcPr>
          <w:p w14:paraId="66D4E5A6">
            <w:pPr>
              <w:widowControl/>
              <w:rPr>
                <w:rFonts w:hint="eastAsia" w:ascii="Times New Roman" w:hAnsi="Times New Roman" w:eastAsia="仿宋_GB2312" w:cs="Times New Roman"/>
                <w:strike/>
                <w:color w:val="auto"/>
                <w:kern w:val="0"/>
                <w:sz w:val="21"/>
                <w:szCs w:val="21"/>
                <w:highlight w:val="none"/>
                <w:lang w:val="en-US" w:eastAsia="zh-CN" w:bidi="ar-SA"/>
                <w14:ligatures w14:val="standardContextual"/>
              </w:rPr>
            </w:pPr>
            <w:r>
              <w:rPr>
                <w:rFonts w:hint="eastAsia" w:ascii="Times New Roman" w:hAnsi="Times New Roman" w:eastAsia="仿宋_GB2312" w:cs="Times New Roman"/>
                <w:color w:val="auto"/>
                <w:kern w:val="0"/>
                <w:szCs w:val="21"/>
                <w:highlight w:val="none"/>
                <w:lang w:val="en-US" w:eastAsia="zh-CN"/>
              </w:rPr>
              <w:t>10</w:t>
            </w:r>
          </w:p>
        </w:tc>
        <w:tc>
          <w:tcPr>
            <w:tcW w:w="1350" w:type="pct"/>
            <w:vAlign w:val="center"/>
          </w:tcPr>
          <w:p w14:paraId="107B09AE">
            <w:pPr>
              <w:widowControl/>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重点建设用地和</w:t>
            </w:r>
            <w:r>
              <w:rPr>
                <w:rFonts w:ascii="Times New Roman" w:hAnsi="Times New Roman" w:eastAsia="仿宋_GB2312" w:cs="Times New Roman"/>
                <w:color w:val="auto"/>
                <w:kern w:val="0"/>
                <w:szCs w:val="21"/>
              </w:rPr>
              <w:t>受污染耕地安全利用率</w:t>
            </w:r>
          </w:p>
        </w:tc>
        <w:tc>
          <w:tcPr>
            <w:tcW w:w="659" w:type="pct"/>
            <w:vAlign w:val="center"/>
          </w:tcPr>
          <w:p w14:paraId="5B2F1773">
            <w:pPr>
              <w:widowControl/>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预期性</w:t>
            </w:r>
          </w:p>
        </w:tc>
        <w:tc>
          <w:tcPr>
            <w:tcW w:w="760" w:type="pct"/>
            <w:vAlign w:val="center"/>
          </w:tcPr>
          <w:p w14:paraId="38A37C4E">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w:t>
            </w:r>
          </w:p>
        </w:tc>
        <w:tc>
          <w:tcPr>
            <w:tcW w:w="1122" w:type="pct"/>
            <w:vAlign w:val="center"/>
          </w:tcPr>
          <w:p w14:paraId="471725DF">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100</w:t>
            </w:r>
          </w:p>
        </w:tc>
      </w:tr>
      <w:tr w14:paraId="0DF5B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86" w:type="pct"/>
            <w:vMerge w:val="continue"/>
            <w:vAlign w:val="center"/>
          </w:tcPr>
          <w:p w14:paraId="5CD8EF1F">
            <w:pPr>
              <w:widowControl/>
              <w:jc w:val="center"/>
              <w:rPr>
                <w:rFonts w:ascii="Times New Roman" w:hAnsi="Times New Roman" w:eastAsia="仿宋_GB2312" w:cs="Times New Roman"/>
                <w:color w:val="auto"/>
                <w:kern w:val="0"/>
                <w:szCs w:val="21"/>
              </w:rPr>
            </w:pPr>
          </w:p>
        </w:tc>
        <w:tc>
          <w:tcPr>
            <w:tcW w:w="320" w:type="pct"/>
            <w:shd w:val="clear" w:color="auto" w:fill="auto"/>
            <w:vAlign w:val="center"/>
          </w:tcPr>
          <w:p w14:paraId="095A6E94">
            <w:pPr>
              <w:widowControl/>
              <w:rPr>
                <w:rFonts w:hint="default" w:ascii="Times New Roman" w:hAnsi="Times New Roman" w:eastAsia="仿宋_GB2312" w:cs="Times New Roman"/>
                <w:color w:val="auto"/>
                <w:kern w:val="0"/>
                <w:sz w:val="21"/>
                <w:szCs w:val="21"/>
                <w:highlight w:val="none"/>
                <w:lang w:val="en-US" w:eastAsia="zh-CN" w:bidi="ar-SA"/>
                <w14:ligatures w14:val="standardContextual"/>
              </w:rPr>
            </w:pPr>
            <w:r>
              <w:rPr>
                <w:rFonts w:hint="eastAsia" w:ascii="Times New Roman" w:hAnsi="Times New Roman" w:eastAsia="仿宋_GB2312" w:cs="Times New Roman"/>
                <w:color w:val="auto"/>
                <w:kern w:val="0"/>
                <w:szCs w:val="21"/>
                <w:highlight w:val="none"/>
              </w:rPr>
              <w:t>1</w:t>
            </w:r>
            <w:r>
              <w:rPr>
                <w:rFonts w:hint="eastAsia" w:ascii="Times New Roman" w:hAnsi="Times New Roman" w:eastAsia="仿宋_GB2312" w:cs="Times New Roman"/>
                <w:color w:val="auto"/>
                <w:kern w:val="0"/>
                <w:szCs w:val="21"/>
                <w:highlight w:val="none"/>
                <w:lang w:val="en-US" w:eastAsia="zh-CN"/>
              </w:rPr>
              <w:t>1</w:t>
            </w:r>
          </w:p>
        </w:tc>
        <w:tc>
          <w:tcPr>
            <w:tcW w:w="1350" w:type="pct"/>
            <w:vAlign w:val="center"/>
          </w:tcPr>
          <w:p w14:paraId="6D50CFF9">
            <w:pPr>
              <w:widowControl/>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无废指数</w:t>
            </w:r>
          </w:p>
        </w:tc>
        <w:tc>
          <w:tcPr>
            <w:tcW w:w="659" w:type="pct"/>
            <w:vAlign w:val="center"/>
          </w:tcPr>
          <w:p w14:paraId="504763BD">
            <w:pPr>
              <w:widowControl/>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预期性</w:t>
            </w:r>
          </w:p>
        </w:tc>
        <w:tc>
          <w:tcPr>
            <w:tcW w:w="760" w:type="pct"/>
            <w:vAlign w:val="center"/>
          </w:tcPr>
          <w:p w14:paraId="5DCA333C">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w:t>
            </w:r>
          </w:p>
        </w:tc>
        <w:tc>
          <w:tcPr>
            <w:tcW w:w="1122" w:type="pct"/>
            <w:vAlign w:val="center"/>
          </w:tcPr>
          <w:p w14:paraId="2802C96A">
            <w:pPr>
              <w:widowControl/>
              <w:jc w:val="center"/>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90</w:t>
            </w:r>
          </w:p>
        </w:tc>
      </w:tr>
      <w:tr w14:paraId="4F764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86" w:type="pct"/>
            <w:vMerge w:val="continue"/>
            <w:vAlign w:val="center"/>
          </w:tcPr>
          <w:p w14:paraId="269475B0">
            <w:pPr>
              <w:widowControl/>
              <w:rPr>
                <w:rFonts w:hint="default" w:ascii="Times New Roman" w:hAnsi="Times New Roman" w:eastAsia="仿宋_GB2312" w:cs="Times New Roman"/>
                <w:color w:val="auto"/>
                <w:kern w:val="0"/>
                <w:sz w:val="22"/>
                <w:lang w:val="en-US" w:eastAsia="zh-CN"/>
              </w:rPr>
            </w:pPr>
            <w:r>
              <w:rPr>
                <w:rFonts w:hint="eastAsia" w:ascii="Times New Roman" w:hAnsi="Times New Roman" w:eastAsia="仿宋_GB2312" w:cs="Times New Roman"/>
                <w:color w:val="auto"/>
                <w:kern w:val="0"/>
                <w:sz w:val="22"/>
                <w:lang w:eastAsia="zh-CN"/>
              </w:rPr>
              <w:t xml:space="preserve"> </w:t>
            </w:r>
            <w:r>
              <w:rPr>
                <w:rFonts w:hint="eastAsia" w:ascii="Times New Roman" w:hAnsi="Times New Roman" w:eastAsia="仿宋_GB2312" w:cs="Times New Roman"/>
                <w:color w:val="auto"/>
                <w:kern w:val="0"/>
                <w:sz w:val="22"/>
                <w:lang w:val="en-US" w:eastAsia="zh-CN"/>
              </w:rPr>
              <w:t xml:space="preserve">  </w:t>
            </w:r>
          </w:p>
        </w:tc>
        <w:tc>
          <w:tcPr>
            <w:tcW w:w="320" w:type="pct"/>
            <w:shd w:val="clear" w:color="auto" w:fill="auto"/>
            <w:vAlign w:val="center"/>
          </w:tcPr>
          <w:p w14:paraId="2873B4DC">
            <w:pPr>
              <w:widowControl/>
              <w:rPr>
                <w:rFonts w:hint="eastAsia" w:ascii="Times New Roman" w:hAnsi="Times New Roman" w:eastAsia="仿宋_GB2312" w:cs="Times New Roman"/>
                <w:color w:val="auto"/>
                <w:kern w:val="0"/>
                <w:sz w:val="21"/>
                <w:szCs w:val="21"/>
                <w:highlight w:val="none"/>
                <w:lang w:val="en-US" w:eastAsia="zh-CN" w:bidi="ar-SA"/>
                <w14:ligatures w14:val="standardContextual"/>
              </w:rPr>
            </w:pPr>
            <w:r>
              <w:rPr>
                <w:rFonts w:hint="eastAsia" w:ascii="Times New Roman" w:hAnsi="Times New Roman" w:eastAsia="仿宋_GB2312" w:cs="Times New Roman"/>
                <w:color w:val="auto"/>
                <w:kern w:val="0"/>
                <w:szCs w:val="21"/>
                <w:highlight w:val="none"/>
              </w:rPr>
              <w:t>1</w:t>
            </w:r>
            <w:r>
              <w:rPr>
                <w:rFonts w:hint="eastAsia" w:ascii="Times New Roman" w:hAnsi="Times New Roman" w:eastAsia="仿宋_GB2312" w:cs="Times New Roman"/>
                <w:color w:val="auto"/>
                <w:kern w:val="0"/>
                <w:szCs w:val="21"/>
                <w:highlight w:val="none"/>
                <w:lang w:val="en-US" w:eastAsia="zh-CN"/>
              </w:rPr>
              <w:t>2</w:t>
            </w:r>
          </w:p>
        </w:tc>
        <w:tc>
          <w:tcPr>
            <w:tcW w:w="1350" w:type="pct"/>
            <w:vAlign w:val="center"/>
          </w:tcPr>
          <w:p w14:paraId="79EE202E">
            <w:pPr>
              <w:widowControl/>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生活垃圾回收利用率</w:t>
            </w:r>
          </w:p>
        </w:tc>
        <w:tc>
          <w:tcPr>
            <w:tcW w:w="659" w:type="pct"/>
            <w:vAlign w:val="center"/>
          </w:tcPr>
          <w:p w14:paraId="3F5570C2">
            <w:pPr>
              <w:widowControl/>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约束性</w:t>
            </w:r>
            <w:r>
              <w:rPr>
                <w:rFonts w:ascii="Times New Roman" w:hAnsi="Times New Roman" w:eastAsia="仿宋_GB2312" w:cs="Times New Roman"/>
                <w:color w:val="auto"/>
                <w:kern w:val="0"/>
                <w:szCs w:val="21"/>
              </w:rPr>
              <w:t>性</w:t>
            </w:r>
          </w:p>
        </w:tc>
        <w:tc>
          <w:tcPr>
            <w:tcW w:w="760" w:type="pct"/>
            <w:vAlign w:val="center"/>
          </w:tcPr>
          <w:p w14:paraId="4BD3999E">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w:t>
            </w:r>
          </w:p>
        </w:tc>
        <w:tc>
          <w:tcPr>
            <w:tcW w:w="1122" w:type="pct"/>
            <w:vAlign w:val="center"/>
          </w:tcPr>
          <w:p w14:paraId="4CEA3168">
            <w:pPr>
              <w:widowControl/>
              <w:jc w:val="center"/>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46</w:t>
            </w:r>
          </w:p>
        </w:tc>
      </w:tr>
      <w:tr w14:paraId="45555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86" w:type="pct"/>
            <w:vMerge w:val="continue"/>
            <w:vAlign w:val="center"/>
          </w:tcPr>
          <w:p w14:paraId="07FD3A8C">
            <w:pPr>
              <w:widowControl/>
              <w:rPr>
                <w:rFonts w:ascii="Times New Roman" w:hAnsi="Times New Roman" w:eastAsia="仿宋_GB2312" w:cs="Times New Roman"/>
                <w:color w:val="auto"/>
                <w:kern w:val="0"/>
                <w:sz w:val="22"/>
              </w:rPr>
            </w:pPr>
          </w:p>
        </w:tc>
        <w:tc>
          <w:tcPr>
            <w:tcW w:w="320" w:type="pct"/>
            <w:shd w:val="clear" w:color="auto" w:fill="auto"/>
            <w:vAlign w:val="center"/>
          </w:tcPr>
          <w:p w14:paraId="18BBBF5D">
            <w:pPr>
              <w:widowControl/>
              <w:rPr>
                <w:rFonts w:hint="eastAsia" w:ascii="Times New Roman" w:hAnsi="Times New Roman" w:eastAsia="仿宋_GB2312" w:cs="Times New Roman"/>
                <w:color w:val="auto"/>
                <w:kern w:val="0"/>
                <w:sz w:val="21"/>
                <w:szCs w:val="21"/>
                <w:highlight w:val="none"/>
                <w:lang w:val="en-US" w:eastAsia="zh-CN" w:bidi="ar-SA"/>
                <w14:ligatures w14:val="standardContextual"/>
              </w:rPr>
            </w:pPr>
            <w:r>
              <w:rPr>
                <w:rFonts w:hint="eastAsia" w:ascii="Times New Roman" w:hAnsi="Times New Roman" w:eastAsia="仿宋_GB2312" w:cs="Times New Roman"/>
                <w:color w:val="auto"/>
                <w:kern w:val="0"/>
                <w:szCs w:val="21"/>
                <w:highlight w:val="none"/>
              </w:rPr>
              <w:t>1</w:t>
            </w:r>
            <w:r>
              <w:rPr>
                <w:rFonts w:hint="eastAsia" w:ascii="Times New Roman" w:hAnsi="Times New Roman" w:eastAsia="仿宋_GB2312" w:cs="Times New Roman"/>
                <w:color w:val="auto"/>
                <w:kern w:val="0"/>
                <w:szCs w:val="21"/>
                <w:highlight w:val="none"/>
                <w:lang w:val="en-US" w:eastAsia="zh-CN"/>
              </w:rPr>
              <w:t>3</w:t>
            </w:r>
          </w:p>
        </w:tc>
        <w:tc>
          <w:tcPr>
            <w:tcW w:w="1350" w:type="pct"/>
            <w:vAlign w:val="center"/>
          </w:tcPr>
          <w:p w14:paraId="75A91698">
            <w:pPr>
              <w:widowControl/>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美丽幸福河湖建成率</w:t>
            </w:r>
          </w:p>
        </w:tc>
        <w:tc>
          <w:tcPr>
            <w:tcW w:w="659" w:type="pct"/>
            <w:vAlign w:val="center"/>
          </w:tcPr>
          <w:p w14:paraId="72D4ADD1">
            <w:pPr>
              <w:widowControl/>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预期性</w:t>
            </w:r>
          </w:p>
        </w:tc>
        <w:tc>
          <w:tcPr>
            <w:tcW w:w="760" w:type="pct"/>
            <w:vAlign w:val="center"/>
          </w:tcPr>
          <w:p w14:paraId="641D1AA4">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w:t>
            </w:r>
          </w:p>
        </w:tc>
        <w:tc>
          <w:tcPr>
            <w:tcW w:w="1122" w:type="pct"/>
            <w:vAlign w:val="center"/>
          </w:tcPr>
          <w:p w14:paraId="07B1A6B6">
            <w:pPr>
              <w:widowControl/>
              <w:jc w:val="center"/>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lang w:val="en-US" w:eastAsia="zh-CN"/>
              </w:rPr>
              <w:t>5</w:t>
            </w:r>
            <w:r>
              <w:rPr>
                <w:rFonts w:hint="eastAsia" w:ascii="Times New Roman" w:hAnsi="Times New Roman" w:eastAsia="仿宋_GB2312" w:cs="Times New Roman"/>
                <w:color w:val="auto"/>
                <w:kern w:val="0"/>
                <w:szCs w:val="21"/>
              </w:rPr>
              <w:t>0以上</w:t>
            </w:r>
          </w:p>
        </w:tc>
      </w:tr>
      <w:tr w14:paraId="4AC98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86" w:type="pct"/>
            <w:vMerge w:val="restart"/>
            <w:vAlign w:val="center"/>
          </w:tcPr>
          <w:p w14:paraId="34521066">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Cs w:val="21"/>
              </w:rPr>
              <w:t>生态</w:t>
            </w:r>
            <w:r>
              <w:rPr>
                <w:rFonts w:hint="eastAsia" w:ascii="Times New Roman" w:hAnsi="Times New Roman" w:eastAsia="仿宋_GB2312" w:cs="Times New Roman"/>
                <w:color w:val="auto"/>
                <w:kern w:val="0"/>
                <w:szCs w:val="21"/>
              </w:rPr>
              <w:t>保护</w:t>
            </w:r>
          </w:p>
          <w:p w14:paraId="4B4BF0A5">
            <w:pPr>
              <w:rPr>
                <w:rFonts w:ascii="Times New Roman" w:hAnsi="Times New Roman" w:eastAsia="仿宋_GB2312" w:cs="Times New Roman"/>
                <w:color w:val="auto"/>
                <w:kern w:val="0"/>
                <w:sz w:val="22"/>
              </w:rPr>
            </w:pPr>
          </w:p>
        </w:tc>
        <w:tc>
          <w:tcPr>
            <w:tcW w:w="320" w:type="pct"/>
            <w:shd w:val="clear" w:color="auto" w:fill="auto"/>
            <w:vAlign w:val="center"/>
          </w:tcPr>
          <w:p w14:paraId="3B5BD0BE">
            <w:pPr>
              <w:widowControl/>
              <w:rPr>
                <w:rFonts w:hint="eastAsia" w:ascii="Times New Roman" w:hAnsi="Times New Roman" w:eastAsia="仿宋_GB2312" w:cs="Times New Roman"/>
                <w:color w:val="auto"/>
                <w:kern w:val="0"/>
                <w:sz w:val="21"/>
                <w:szCs w:val="21"/>
                <w:highlight w:val="none"/>
                <w:lang w:val="en-US" w:eastAsia="zh-CN" w:bidi="ar-SA"/>
                <w14:ligatures w14:val="standardContextual"/>
              </w:rPr>
            </w:pPr>
            <w:r>
              <w:rPr>
                <w:rFonts w:ascii="Times New Roman" w:hAnsi="Times New Roman" w:eastAsia="仿宋_GB2312" w:cs="Times New Roman"/>
                <w:color w:val="auto"/>
                <w:kern w:val="0"/>
                <w:szCs w:val="21"/>
                <w:highlight w:val="none"/>
              </w:rPr>
              <w:t>1</w:t>
            </w:r>
            <w:r>
              <w:rPr>
                <w:rFonts w:hint="eastAsia" w:ascii="Times New Roman" w:hAnsi="Times New Roman" w:eastAsia="仿宋_GB2312" w:cs="Times New Roman"/>
                <w:color w:val="auto"/>
                <w:kern w:val="0"/>
                <w:szCs w:val="21"/>
                <w:highlight w:val="none"/>
                <w:lang w:val="en-US" w:eastAsia="zh-CN"/>
              </w:rPr>
              <w:t>4</w:t>
            </w:r>
          </w:p>
        </w:tc>
        <w:tc>
          <w:tcPr>
            <w:tcW w:w="1350" w:type="pct"/>
            <w:vAlign w:val="center"/>
          </w:tcPr>
          <w:p w14:paraId="4C63EAF4">
            <w:pPr>
              <w:widowControl/>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人均公园绿地面积</w:t>
            </w:r>
          </w:p>
        </w:tc>
        <w:tc>
          <w:tcPr>
            <w:tcW w:w="659" w:type="pct"/>
            <w:vAlign w:val="center"/>
          </w:tcPr>
          <w:p w14:paraId="30397BFE">
            <w:pPr>
              <w:widowControl/>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约束性</w:t>
            </w:r>
          </w:p>
        </w:tc>
        <w:tc>
          <w:tcPr>
            <w:tcW w:w="760" w:type="pct"/>
            <w:vAlign w:val="center"/>
          </w:tcPr>
          <w:p w14:paraId="28568196">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平方米／人</w:t>
            </w:r>
          </w:p>
        </w:tc>
        <w:tc>
          <w:tcPr>
            <w:tcW w:w="1122" w:type="pct"/>
            <w:vAlign w:val="center"/>
          </w:tcPr>
          <w:p w14:paraId="7C224BF9">
            <w:pPr>
              <w:widowControl/>
              <w:jc w:val="center"/>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11.5</w:t>
            </w:r>
          </w:p>
        </w:tc>
      </w:tr>
      <w:tr w14:paraId="10F03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86" w:type="pct"/>
            <w:vMerge w:val="continue"/>
            <w:vAlign w:val="center"/>
          </w:tcPr>
          <w:p w14:paraId="2F79D0A9">
            <w:pPr>
              <w:rPr>
                <w:rFonts w:ascii="Times New Roman" w:hAnsi="Times New Roman" w:eastAsia="仿宋_GB2312" w:cs="Times New Roman"/>
                <w:color w:val="auto"/>
                <w:kern w:val="0"/>
                <w:sz w:val="22"/>
              </w:rPr>
            </w:pPr>
          </w:p>
        </w:tc>
        <w:tc>
          <w:tcPr>
            <w:tcW w:w="320" w:type="pct"/>
            <w:shd w:val="clear" w:color="auto" w:fill="auto"/>
            <w:vAlign w:val="center"/>
          </w:tcPr>
          <w:p w14:paraId="6F46AFF8">
            <w:pPr>
              <w:widowControl/>
              <w:rPr>
                <w:rFonts w:hint="eastAsia" w:ascii="Times New Roman" w:hAnsi="Times New Roman" w:eastAsia="仿宋_GB2312" w:cs="Times New Roman"/>
                <w:color w:val="auto"/>
                <w:kern w:val="0"/>
                <w:sz w:val="21"/>
                <w:szCs w:val="21"/>
                <w:highlight w:val="none"/>
                <w:lang w:val="en-US" w:eastAsia="zh-CN" w:bidi="ar-SA"/>
                <w14:ligatures w14:val="standardContextual"/>
              </w:rPr>
            </w:pPr>
            <w:r>
              <w:rPr>
                <w:rFonts w:ascii="Times New Roman" w:hAnsi="Times New Roman" w:eastAsia="仿宋_GB2312" w:cs="Times New Roman"/>
                <w:color w:val="auto"/>
                <w:kern w:val="0"/>
                <w:szCs w:val="21"/>
                <w:highlight w:val="none"/>
              </w:rPr>
              <w:t>1</w:t>
            </w:r>
            <w:r>
              <w:rPr>
                <w:rFonts w:hint="eastAsia" w:ascii="Times New Roman" w:hAnsi="Times New Roman" w:eastAsia="仿宋_GB2312" w:cs="Times New Roman"/>
                <w:color w:val="auto"/>
                <w:kern w:val="0"/>
                <w:szCs w:val="21"/>
                <w:highlight w:val="none"/>
                <w:lang w:val="en-US" w:eastAsia="zh-CN"/>
              </w:rPr>
              <w:t>5</w:t>
            </w:r>
          </w:p>
        </w:tc>
        <w:tc>
          <w:tcPr>
            <w:tcW w:w="1350" w:type="pct"/>
            <w:vAlign w:val="center"/>
          </w:tcPr>
          <w:p w14:paraId="05D9AF5D">
            <w:pPr>
              <w:widowControl/>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生态质量指数（EQI）</w:t>
            </w:r>
          </w:p>
        </w:tc>
        <w:tc>
          <w:tcPr>
            <w:tcW w:w="659" w:type="pct"/>
            <w:vAlign w:val="center"/>
          </w:tcPr>
          <w:p w14:paraId="0B29366A">
            <w:pPr>
              <w:widowControl/>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预期性</w:t>
            </w:r>
          </w:p>
        </w:tc>
        <w:tc>
          <w:tcPr>
            <w:tcW w:w="760" w:type="pct"/>
            <w:vAlign w:val="center"/>
          </w:tcPr>
          <w:p w14:paraId="471939C1">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w:t>
            </w:r>
          </w:p>
        </w:tc>
        <w:tc>
          <w:tcPr>
            <w:tcW w:w="1122" w:type="pct"/>
            <w:vAlign w:val="center"/>
          </w:tcPr>
          <w:p w14:paraId="24314351">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保持稳定</w:t>
            </w:r>
          </w:p>
        </w:tc>
      </w:tr>
    </w:tbl>
    <w:p w14:paraId="1A4E3CF2">
      <w:pPr>
        <w:rPr>
          <w:rFonts w:ascii="Times New Roman" w:hAnsi="Times New Roman" w:eastAsia="仿宋_GB2312" w:cs="Times New Roman"/>
          <w:color w:val="auto"/>
          <w:sz w:val="30"/>
          <w:szCs w:val="30"/>
        </w:rPr>
      </w:pPr>
    </w:p>
    <w:p w14:paraId="3D56F34A">
      <w:pPr>
        <w:spacing w:line="580" w:lineRule="exact"/>
        <w:ind w:firstLine="643" w:firstLineChars="200"/>
        <w:outlineLvl w:val="0"/>
        <w:rPr>
          <w:rFonts w:ascii="Times New Roman" w:hAnsi="Times New Roman" w:eastAsia="黑体" w:cs="Times New Roman"/>
          <w:b/>
          <w:bCs/>
          <w:color w:val="auto"/>
          <w:sz w:val="32"/>
          <w:szCs w:val="32"/>
        </w:rPr>
      </w:pPr>
      <w:bookmarkStart w:id="34" w:name="_Toc8786"/>
      <w:r>
        <w:rPr>
          <w:rFonts w:hint="eastAsia" w:ascii="Times New Roman" w:hAnsi="Times New Roman" w:eastAsia="黑体" w:cs="Times New Roman"/>
          <w:b/>
          <w:bCs/>
          <w:color w:val="auto"/>
          <w:sz w:val="32"/>
          <w:szCs w:val="32"/>
        </w:rPr>
        <w:t>三、坚持全域协同，着力构建美丽闵行建设新格局</w:t>
      </w:r>
      <w:bookmarkEnd w:id="34"/>
    </w:p>
    <w:p w14:paraId="5ECB560C">
      <w:pPr>
        <w:spacing w:line="580" w:lineRule="exact"/>
        <w:ind w:firstLine="643" w:firstLineChars="200"/>
        <w:outlineLvl w:val="1"/>
        <w:rPr>
          <w:rFonts w:ascii="Times New Roman" w:hAnsi="Times New Roman" w:eastAsia="楷体_GB2312" w:cs="Times New Roman"/>
          <w:b/>
          <w:bCs/>
          <w:color w:val="auto"/>
          <w:sz w:val="32"/>
          <w:szCs w:val="32"/>
        </w:rPr>
      </w:pPr>
      <w:bookmarkStart w:id="35" w:name="_Toc23103"/>
      <w:r>
        <w:rPr>
          <w:rFonts w:hint="eastAsia" w:ascii="Times New Roman" w:hAnsi="Times New Roman" w:eastAsia="楷体_GB2312" w:cs="Times New Roman"/>
          <w:b/>
          <w:bCs/>
          <w:color w:val="auto"/>
          <w:sz w:val="32"/>
          <w:szCs w:val="32"/>
        </w:rPr>
        <w:t>（一）建设宜居宜业美丽城市</w:t>
      </w:r>
      <w:bookmarkEnd w:id="35"/>
    </w:p>
    <w:p w14:paraId="1F4CD908">
      <w:pPr>
        <w:spacing w:line="580" w:lineRule="exact"/>
        <w:ind w:firstLine="640" w:firstLineChars="200"/>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深入践行人民城市理念，紧紧围绕“聚新质转动能，优空间提品质”发展主线，有序推进绿色低碳、环境优美、生态宜居、安全健康、智慧高效的美丽城市建设。实施“南北辐射、东西协同、中城焕新”空间发展战略，聚焦虹桥国际中央商务区（闵行部分）高品质建设，围绕产城融合，营造宜居、宜业、宜游、宜学的生活环境，打造富有经济活力和文化魅力的虹桥国际开放枢纽新形象。加强“大零号湾”科技创新策源功能区引领作用，加快推进科技创新高水平发展。在破解生态环境治理难题、优化城市空间布局、提供优质生态产品、增进民生环境福祉等方面改革创新、先行探索，推进美丽城市建设取得积极成效。</w:t>
      </w:r>
      <w:bookmarkStart w:id="36" w:name="_Hlk224847126"/>
    </w:p>
    <w:bookmarkEnd w:id="36"/>
    <w:p w14:paraId="16474C05">
      <w:pPr>
        <w:spacing w:line="580" w:lineRule="exact"/>
        <w:ind w:firstLine="643" w:firstLineChars="200"/>
        <w:outlineLvl w:val="1"/>
        <w:rPr>
          <w:rFonts w:hint="eastAsia" w:ascii="Times New Roman" w:hAnsi="Times New Roman" w:eastAsia="楷体_GB2312" w:cs="Times New Roman"/>
          <w:b/>
          <w:bCs/>
          <w:color w:val="auto"/>
          <w:sz w:val="32"/>
          <w:szCs w:val="32"/>
        </w:rPr>
      </w:pPr>
      <w:bookmarkStart w:id="37" w:name="_Toc2585"/>
      <w:r>
        <w:rPr>
          <w:rFonts w:hint="eastAsia" w:ascii="Times New Roman" w:hAnsi="Times New Roman" w:eastAsia="楷体_GB2312" w:cs="Times New Roman"/>
          <w:b/>
          <w:bCs/>
          <w:color w:val="auto"/>
          <w:sz w:val="32"/>
          <w:szCs w:val="32"/>
        </w:rPr>
        <w:t>（二）打造沪派江南美丽乡村</w:t>
      </w:r>
      <w:bookmarkEnd w:id="37"/>
      <w:r>
        <w:rPr>
          <w:rFonts w:hint="eastAsia" w:ascii="Times New Roman" w:hAnsi="Times New Roman" w:eastAsia="楷体_GB2312" w:cs="Times New Roman"/>
          <w:b/>
          <w:bCs/>
          <w:color w:val="auto"/>
          <w:sz w:val="32"/>
          <w:szCs w:val="32"/>
        </w:rPr>
        <w:t xml:space="preserve"> </w:t>
      </w:r>
    </w:p>
    <w:p w14:paraId="310553B8">
      <w:pPr>
        <w:spacing w:line="580" w:lineRule="exact"/>
        <w:ind w:firstLine="640" w:firstLineChars="200"/>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深入学习运用“千万工程”经验，高质量建设美丽家园、绿色田园、幸福乐园。提升村庄生态环境质量、农业绿色低碳发展水平、农村居民生活品质，推进美丽乡村建设全覆盖。优化乡土乡村风貌空间结构，实施特色村落风貌保护传承行动，打造一批“沪派江南”特色村落。</w:t>
      </w:r>
    </w:p>
    <w:p w14:paraId="330A30B6">
      <w:pPr>
        <w:spacing w:line="580" w:lineRule="exact"/>
        <w:ind w:firstLine="643" w:firstLineChars="200"/>
        <w:outlineLvl w:val="1"/>
        <w:rPr>
          <w:rFonts w:hint="eastAsia" w:ascii="Times New Roman" w:hAnsi="Times New Roman" w:eastAsia="楷体_GB2312" w:cs="Times New Roman"/>
          <w:b/>
          <w:bCs/>
          <w:color w:val="auto"/>
          <w:sz w:val="32"/>
          <w:szCs w:val="32"/>
        </w:rPr>
      </w:pPr>
      <w:bookmarkStart w:id="38" w:name="_Toc10260"/>
      <w:r>
        <w:rPr>
          <w:rFonts w:hint="eastAsia" w:ascii="Times New Roman" w:hAnsi="Times New Roman" w:eastAsia="楷体_GB2312" w:cs="Times New Roman"/>
          <w:b/>
          <w:bCs/>
          <w:color w:val="auto"/>
          <w:sz w:val="32"/>
          <w:szCs w:val="32"/>
        </w:rPr>
        <w:t>（三）培育特色多元美丽细胞</w:t>
      </w:r>
      <w:bookmarkEnd w:id="38"/>
      <w:r>
        <w:rPr>
          <w:rFonts w:hint="eastAsia" w:ascii="Times New Roman" w:hAnsi="Times New Roman" w:eastAsia="楷体_GB2312" w:cs="Times New Roman"/>
          <w:b/>
          <w:bCs/>
          <w:color w:val="auto"/>
          <w:sz w:val="32"/>
          <w:szCs w:val="32"/>
        </w:rPr>
        <w:t xml:space="preserve"> </w:t>
      </w:r>
    </w:p>
    <w:p w14:paraId="0065D47D">
      <w:pPr>
        <w:spacing w:line="580" w:lineRule="exact"/>
        <w:ind w:firstLine="640" w:firstLineChars="200"/>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鼓励引导各类园区、企业、学校、街道、庭院等开展丰富多彩的绿色、清洁、零碳引领行动，推进各具特色的“美丽细胞”建设。支持产业园区减污降碳协同创新试点建设，打造协同创新新模式。推进“绿水青山就是金山银山”实践创新基地培育和建设。</w:t>
      </w:r>
    </w:p>
    <w:p w14:paraId="4A848E59">
      <w:pPr>
        <w:spacing w:line="580" w:lineRule="exact"/>
        <w:ind w:firstLine="643" w:firstLineChars="200"/>
        <w:outlineLvl w:val="0"/>
        <w:rPr>
          <w:rFonts w:hint="eastAsia" w:ascii="Times New Roman" w:hAnsi="Times New Roman" w:eastAsia="黑体" w:cs="Times New Roman"/>
          <w:b/>
          <w:bCs/>
          <w:color w:val="auto"/>
          <w:sz w:val="32"/>
          <w:szCs w:val="32"/>
        </w:rPr>
      </w:pPr>
      <w:bookmarkStart w:id="39" w:name="_Toc26681"/>
      <w:r>
        <w:rPr>
          <w:rFonts w:hint="eastAsia" w:ascii="Times New Roman" w:hAnsi="Times New Roman" w:eastAsia="黑体" w:cs="Times New Roman"/>
          <w:b/>
          <w:bCs/>
          <w:color w:val="auto"/>
          <w:sz w:val="32"/>
          <w:szCs w:val="32"/>
        </w:rPr>
        <w:t>四、促进动能转换，加快推动绿色低碳转型发展</w:t>
      </w:r>
      <w:bookmarkEnd w:id="39"/>
    </w:p>
    <w:p w14:paraId="0E332872">
      <w:pPr>
        <w:spacing w:line="580" w:lineRule="exact"/>
        <w:ind w:firstLine="643" w:firstLineChars="200"/>
        <w:outlineLvl w:val="1"/>
        <w:rPr>
          <w:rFonts w:hint="eastAsia" w:ascii="Times New Roman" w:hAnsi="Times New Roman" w:eastAsia="楷体_GB2312" w:cs="Times New Roman"/>
          <w:b/>
          <w:bCs/>
          <w:color w:val="auto"/>
          <w:sz w:val="32"/>
          <w:szCs w:val="32"/>
        </w:rPr>
      </w:pPr>
      <w:bookmarkStart w:id="40" w:name="_Toc12666"/>
      <w:r>
        <w:rPr>
          <w:rFonts w:hint="eastAsia" w:ascii="Times New Roman" w:hAnsi="Times New Roman" w:eastAsia="楷体_GB2312" w:cs="Times New Roman"/>
          <w:b/>
          <w:bCs/>
          <w:color w:val="auto"/>
          <w:sz w:val="32"/>
          <w:szCs w:val="32"/>
        </w:rPr>
        <w:t>（一）积极稳妥推进碳达峰碳中和</w:t>
      </w:r>
      <w:bookmarkEnd w:id="40"/>
    </w:p>
    <w:p w14:paraId="45BE30A3">
      <w:pPr>
        <w:spacing w:line="580" w:lineRule="exact"/>
        <w:ind w:firstLine="600"/>
        <w:rPr>
          <w:rFonts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rPr>
        <w:t>强化温室气体排放控制。</w:t>
      </w:r>
      <w:r>
        <w:rPr>
          <w:rFonts w:hint="eastAsia" w:ascii="Times New Roman" w:hAnsi="Times New Roman" w:eastAsia="仿宋_GB2312" w:cs="Times New Roman"/>
          <w:color w:val="auto"/>
          <w:sz w:val="32"/>
          <w:szCs w:val="32"/>
        </w:rPr>
        <w:t>有计划分步骤</w:t>
      </w:r>
      <w:r>
        <w:rPr>
          <w:rFonts w:hint="eastAsia" w:ascii="Times New Roman" w:hAnsi="Times New Roman" w:eastAsia="仿宋_GB2312" w:cs="Times New Roman"/>
          <w:color w:val="auto"/>
          <w:sz w:val="32"/>
          <w:szCs w:val="32"/>
          <w:u w:val="none"/>
        </w:rPr>
        <w:t>实施</w:t>
      </w:r>
      <w:r>
        <w:rPr>
          <w:rFonts w:hint="eastAsia" w:ascii="Times New Roman" w:hAnsi="Times New Roman" w:eastAsia="仿宋_GB2312" w:cs="Times New Roman"/>
          <w:color w:val="auto"/>
          <w:sz w:val="32"/>
          <w:szCs w:val="32"/>
        </w:rPr>
        <w:t>碳达峰行动</w:t>
      </w:r>
      <w:r>
        <w:rPr>
          <w:rFonts w:hint="eastAsia" w:ascii="Times New Roman" w:hAnsi="Times New Roman" w:eastAsia="仿宋_GB2312" w:cs="Times New Roman"/>
          <w:b/>
          <w:bCs/>
          <w:color w:val="auto"/>
          <w:sz w:val="32"/>
          <w:szCs w:val="32"/>
        </w:rPr>
        <w:t>，</w:t>
      </w:r>
      <w:r>
        <w:rPr>
          <w:rFonts w:hint="eastAsia" w:ascii="Times New Roman" w:hAnsi="Times New Roman" w:eastAsia="仿宋_GB2312" w:cs="Times New Roman"/>
          <w:color w:val="auto"/>
          <w:sz w:val="32"/>
          <w:szCs w:val="32"/>
        </w:rPr>
        <w:t>强化能源、产业、交通等重点领域节能降碳。开展非二氧化碳温室气体排放控制，加强垃圾、污水处理领域甲烷排放控制，强化消耗臭氧层物质和氢氟碳化物环境管理。</w:t>
      </w:r>
      <w:r>
        <w:rPr>
          <w:rFonts w:hint="eastAsia" w:ascii="仿宋_GB2312" w:hAnsi="仿宋_GB2312" w:eastAsia="仿宋_GB2312" w:cs="仿宋_GB2312"/>
          <w:color w:val="auto"/>
          <w:sz w:val="32"/>
          <w:szCs w:val="32"/>
        </w:rPr>
        <w:t>继续支持推动重点产业园区开展多样化低碳探索实践，试点和推广一批近零碳排放等低碳工程项目。</w:t>
      </w:r>
      <w:r>
        <w:rPr>
          <w:rFonts w:hint="eastAsia" w:ascii="Times New Roman" w:hAnsi="Times New Roman" w:eastAsia="仿宋_GB2312" w:cs="Times New Roman"/>
          <w:color w:val="auto"/>
          <w:sz w:val="32"/>
          <w:szCs w:val="32"/>
        </w:rPr>
        <w:t>持续开展温室气体排放清单编制，推动大气污染排放与温室气体排放融合清单的应用。</w:t>
      </w:r>
    </w:p>
    <w:p w14:paraId="3139C767">
      <w:pPr>
        <w:spacing w:line="580" w:lineRule="exact"/>
        <w:ind w:firstLine="600"/>
        <w:rPr>
          <w:rFonts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rPr>
        <w:t>建立健全碳排放管理体系。</w:t>
      </w:r>
      <w:r>
        <w:rPr>
          <w:rFonts w:hint="eastAsia" w:ascii="Times New Roman" w:hAnsi="Times New Roman" w:eastAsia="仿宋_GB2312" w:cs="Times New Roman"/>
          <w:color w:val="auto"/>
          <w:sz w:val="32"/>
          <w:szCs w:val="32"/>
        </w:rPr>
        <w:t>提升碳排放监测、统计和核算水平，推动重点用能单位接入本市重点用能单位碳排放在线监测系统。根据要求，建立碳排放预算管理制度，开展重点行业领域碳排放预测预警。建立区域、重点行业企业、重点产品碳排放统计核算体系，推动能耗双控平稳有序向碳排放双控转型。支持具备条件的企业开展碳信息披露，支持企业自主碳减排。</w:t>
      </w:r>
      <w:r>
        <w:rPr>
          <w:rFonts w:hint="eastAsia" w:ascii="仿宋" w:hAnsi="仿宋" w:eastAsia="仿宋"/>
          <w:color w:val="auto"/>
          <w:sz w:val="30"/>
          <w:szCs w:val="30"/>
        </w:rPr>
        <w:t>不断丰富碳普惠应用场景。</w:t>
      </w:r>
    </w:p>
    <w:p w14:paraId="1AA3E1BA">
      <w:pPr>
        <w:spacing w:line="580" w:lineRule="exact"/>
        <w:ind w:firstLine="643" w:firstLineChars="200"/>
        <w:outlineLvl w:val="1"/>
        <w:rPr>
          <w:rFonts w:hint="eastAsia" w:ascii="Times New Roman" w:hAnsi="Times New Roman" w:eastAsia="楷体_GB2312" w:cs="Times New Roman"/>
          <w:b/>
          <w:bCs/>
          <w:color w:val="auto"/>
          <w:sz w:val="32"/>
          <w:szCs w:val="32"/>
        </w:rPr>
      </w:pPr>
      <w:bookmarkStart w:id="41" w:name="_Toc28887"/>
      <w:r>
        <w:rPr>
          <w:rFonts w:hint="eastAsia" w:ascii="Times New Roman" w:hAnsi="Times New Roman" w:eastAsia="楷体_GB2312" w:cs="Times New Roman"/>
          <w:b/>
          <w:bCs/>
          <w:color w:val="auto"/>
          <w:sz w:val="32"/>
          <w:szCs w:val="32"/>
        </w:rPr>
        <w:t>（二）提升产业绿色发展水平</w:t>
      </w:r>
      <w:bookmarkEnd w:id="41"/>
    </w:p>
    <w:p w14:paraId="45F94770">
      <w:pPr>
        <w:spacing w:line="580" w:lineRule="exact"/>
        <w:ind w:firstLine="600"/>
        <w:rPr>
          <w:rFonts w:hint="eastAsia" w:ascii="仿宋_GB2312" w:eastAsia="仿宋_GB2312"/>
          <w:color w:val="auto"/>
          <w:sz w:val="32"/>
          <w:szCs w:val="32"/>
        </w:rPr>
      </w:pPr>
      <w:r>
        <w:rPr>
          <w:rFonts w:hint="eastAsia" w:ascii="Times New Roman" w:hAnsi="Times New Roman" w:eastAsia="仿宋_GB2312" w:cs="Times New Roman"/>
          <w:b/>
          <w:bCs/>
          <w:color w:val="auto"/>
          <w:sz w:val="32"/>
          <w:szCs w:val="32"/>
        </w:rPr>
        <w:t>培育壮大绿色低碳产业。</w:t>
      </w:r>
      <w:r>
        <w:rPr>
          <w:rFonts w:hint="eastAsia" w:ascii="Times New Roman" w:hAnsi="Times New Roman" w:eastAsia="仿宋_GB2312" w:cs="Times New Roman"/>
          <w:color w:val="auto"/>
          <w:sz w:val="32"/>
          <w:szCs w:val="32"/>
        </w:rPr>
        <w:t>瞄准绿色低碳发展新赛道，发挥闵行产业基础优势，积极培育和发展绿色生产力，推动高端装备、生物医药、新一代信息技术、人工智能、新能源、航空航天等重点产业蓬勃聚势，培育壮大新质生产力链群。依托虹桥商务区等重点区域载体和平台，着力发展高端商务服务、新型制造服务、软件信息服务等现代服务业，</w:t>
      </w:r>
      <w:r>
        <w:rPr>
          <w:rFonts w:hint="eastAsia" w:ascii="仿宋_GB2312" w:eastAsia="仿宋_GB2312"/>
          <w:color w:val="auto"/>
          <w:sz w:val="32"/>
          <w:szCs w:val="32"/>
        </w:rPr>
        <w:t>形成全区先进制造业和现代服务业双轮驱动的产业发展格局。</w:t>
      </w:r>
    </w:p>
    <w:p w14:paraId="28035D43">
      <w:pPr>
        <w:spacing w:line="580" w:lineRule="exact"/>
        <w:ind w:firstLine="600"/>
        <w:rPr>
          <w:rFonts w:ascii="Times New Roman" w:hAnsi="Times New Roman" w:eastAsia="仿宋_GB2312" w:cs="Times New Roman"/>
          <w:strike/>
          <w:color w:val="auto"/>
          <w:sz w:val="32"/>
          <w:szCs w:val="32"/>
        </w:rPr>
      </w:pPr>
      <w:r>
        <w:rPr>
          <w:rFonts w:hint="eastAsia" w:ascii="Times New Roman" w:hAnsi="Times New Roman" w:eastAsia="仿宋_GB2312" w:cs="Times New Roman"/>
          <w:b/>
          <w:bCs/>
          <w:color w:val="auto"/>
          <w:sz w:val="32"/>
          <w:szCs w:val="32"/>
        </w:rPr>
        <w:t>加快传统产业绿色转型。</w:t>
      </w:r>
      <w:r>
        <w:rPr>
          <w:rFonts w:hint="eastAsia" w:ascii="Times New Roman" w:hAnsi="Times New Roman" w:eastAsia="仿宋_GB2312" w:cs="Times New Roman"/>
          <w:color w:val="auto"/>
          <w:sz w:val="32"/>
          <w:szCs w:val="32"/>
        </w:rPr>
        <w:t>持续推进</w:t>
      </w:r>
      <w:r>
        <w:rPr>
          <w:rFonts w:hint="eastAsia" w:ascii="仿宋_GB2312" w:eastAsia="仿宋_GB2312"/>
          <w:color w:val="auto"/>
          <w:sz w:val="32"/>
          <w:szCs w:val="32"/>
        </w:rPr>
        <w:t>吴泾等重点区域整体转型</w:t>
      </w:r>
      <w:r>
        <w:rPr>
          <w:rFonts w:ascii="仿宋_GB2312" w:eastAsia="仿宋_GB2312"/>
          <w:color w:val="auto"/>
          <w:sz w:val="32"/>
          <w:szCs w:val="32"/>
        </w:rPr>
        <w:t>。</w:t>
      </w:r>
      <w:r>
        <w:rPr>
          <w:rFonts w:hint="eastAsia" w:ascii="Times New Roman" w:hAnsi="Times New Roman" w:eastAsia="仿宋_GB2312" w:cs="Times New Roman"/>
          <w:color w:val="auto"/>
          <w:sz w:val="32"/>
          <w:szCs w:val="32"/>
        </w:rPr>
        <w:t>严格落实清洁生产审核制度，推进实施重点行业和重点园区清洁生产全覆盖。加快园区循环化改造，推动设施共建共享、废物综合利用、能量梯级利用。完善绿色制造体系建设，打造绿色工厂、绿色工业园区和绿色供应链管理企业。支持零碳工厂和零碳园区建设。</w:t>
      </w:r>
    </w:p>
    <w:p w14:paraId="45457C44">
      <w:pPr>
        <w:spacing w:line="580" w:lineRule="exact"/>
        <w:ind w:firstLine="643" w:firstLineChars="200"/>
        <w:outlineLvl w:val="1"/>
        <w:rPr>
          <w:rFonts w:hint="eastAsia" w:ascii="Times New Roman" w:hAnsi="Times New Roman" w:eastAsia="楷体_GB2312" w:cs="Times New Roman"/>
          <w:b/>
          <w:bCs/>
          <w:color w:val="auto"/>
          <w:sz w:val="32"/>
          <w:szCs w:val="32"/>
        </w:rPr>
      </w:pPr>
      <w:bookmarkStart w:id="42" w:name="_Toc30930"/>
      <w:r>
        <w:rPr>
          <w:rFonts w:hint="eastAsia" w:ascii="Times New Roman" w:hAnsi="Times New Roman" w:eastAsia="楷体_GB2312" w:cs="Times New Roman"/>
          <w:b/>
          <w:bCs/>
          <w:color w:val="auto"/>
          <w:sz w:val="32"/>
          <w:szCs w:val="32"/>
        </w:rPr>
        <w:t>（三）促进城区绿色低碳转型</w:t>
      </w:r>
      <w:bookmarkEnd w:id="42"/>
    </w:p>
    <w:p w14:paraId="1244A21A">
      <w:pPr>
        <w:spacing w:line="580" w:lineRule="exact"/>
        <w:ind w:firstLine="643" w:firstLineChars="200"/>
        <w:outlineLvl w:val="2"/>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促进能源领域绿色低碳转型。</w:t>
      </w:r>
      <w:r>
        <w:rPr>
          <w:rFonts w:ascii="Times New Roman" w:hAnsi="Times New Roman" w:eastAsia="仿宋_GB2312" w:cs="Times New Roman"/>
          <w:color w:val="auto"/>
          <w:sz w:val="32"/>
          <w:szCs w:val="32"/>
        </w:rPr>
        <w:t>大力发展分布式光伏，实施</w:t>
      </w:r>
      <w:r>
        <w:rPr>
          <w:rFonts w:hint="eastAsia" w:ascii="Times New Roman" w:hAnsi="Times New Roman" w:eastAsia="仿宋_GB2312" w:cs="Times New Roman"/>
          <w:color w:val="auto"/>
          <w:sz w:val="32"/>
          <w:szCs w:val="32"/>
        </w:rPr>
        <w:t>“光伏＋”工</w:t>
      </w:r>
      <w:r>
        <w:rPr>
          <w:rFonts w:ascii="Times New Roman" w:hAnsi="Times New Roman" w:eastAsia="仿宋_GB2312" w:cs="Times New Roman"/>
          <w:color w:val="auto"/>
          <w:sz w:val="32"/>
          <w:szCs w:val="32"/>
        </w:rPr>
        <w:t>程，布局钙钛矿、叠层等新型光伏产品研发制造。</w:t>
      </w:r>
      <w:r>
        <w:rPr>
          <w:rFonts w:hint="eastAsia" w:ascii="Times New Roman" w:hAnsi="Times New Roman" w:eastAsia="仿宋_GB2312" w:cs="Times New Roman"/>
          <w:color w:val="auto"/>
          <w:sz w:val="32"/>
          <w:szCs w:val="32"/>
        </w:rPr>
        <w:t>适度超前布局氢基能源，</w:t>
      </w:r>
      <w:r>
        <w:rPr>
          <w:rFonts w:ascii="Times New Roman" w:hAnsi="Times New Roman" w:eastAsia="仿宋_GB2312" w:cs="Times New Roman"/>
          <w:color w:val="auto"/>
          <w:sz w:val="32"/>
          <w:szCs w:val="32"/>
        </w:rPr>
        <w:t>探索研究氢能应用场景，推广太阳能光热、余热等多元化能源应用</w:t>
      </w:r>
      <w:r>
        <w:rPr>
          <w:rFonts w:hint="eastAsia" w:ascii="仿宋_GB2312" w:hAnsi="仿宋_GB2312" w:eastAsia="仿宋_GB2312" w:cs="仿宋_GB2312"/>
          <w:color w:val="auto"/>
          <w:sz w:val="32"/>
          <w:szCs w:val="32"/>
        </w:rPr>
        <w:t>。积极推</w:t>
      </w:r>
      <w:r>
        <w:rPr>
          <w:rFonts w:ascii="Times New Roman" w:hAnsi="Times New Roman" w:eastAsia="仿宋_GB2312" w:cs="Times New Roman"/>
          <w:color w:val="auto"/>
          <w:sz w:val="32"/>
          <w:szCs w:val="32"/>
        </w:rPr>
        <w:t>进</w:t>
      </w:r>
      <w:r>
        <w:rPr>
          <w:rFonts w:hint="eastAsia" w:ascii="Times New Roman" w:hAnsi="Times New Roman" w:eastAsia="仿宋_GB2312" w:cs="Times New Roman"/>
          <w:color w:val="auto"/>
          <w:sz w:val="32"/>
          <w:szCs w:val="32"/>
        </w:rPr>
        <w:t>区域</w:t>
      </w:r>
      <w:r>
        <w:rPr>
          <w:rFonts w:ascii="Times New Roman" w:hAnsi="Times New Roman" w:eastAsia="仿宋_GB2312" w:cs="Times New Roman"/>
          <w:color w:val="auto"/>
          <w:sz w:val="32"/>
          <w:szCs w:val="32"/>
        </w:rPr>
        <w:t>源网荷储一体化和多能互补发展，支持虚拟电厂建设试点，协同推进新型电力系统建设</w:t>
      </w:r>
      <w:r>
        <w:rPr>
          <w:rFonts w:hint="eastAsia" w:ascii="Times New Roman" w:hAnsi="Times New Roman" w:eastAsia="仿宋_GB2312" w:cs="Times New Roman"/>
          <w:color w:val="auto"/>
          <w:sz w:val="32"/>
          <w:szCs w:val="32"/>
        </w:rPr>
        <w:t>，合理控制非发电用煤量。</w:t>
      </w:r>
    </w:p>
    <w:p w14:paraId="49D1478F">
      <w:pPr>
        <w:spacing w:line="580" w:lineRule="exact"/>
        <w:ind w:firstLine="643" w:firstLineChars="200"/>
        <w:outlineLvl w:val="2"/>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推</w:t>
      </w:r>
      <w:r>
        <w:rPr>
          <w:rFonts w:hint="eastAsia" w:ascii="Times New Roman" w:hAnsi="Times New Roman" w:eastAsia="仿宋_GB2312" w:cs="Times New Roman"/>
          <w:b/>
          <w:bCs/>
          <w:color w:val="auto"/>
          <w:sz w:val="32"/>
          <w:szCs w:val="32"/>
        </w:rPr>
        <w:t>进建设领域绿色低碳发展</w:t>
      </w:r>
      <w:r>
        <w:rPr>
          <w:rFonts w:ascii="Times New Roman" w:hAnsi="Times New Roman" w:eastAsia="仿宋_GB2312" w:cs="Times New Roman"/>
          <w:b/>
          <w:bCs/>
          <w:color w:val="auto"/>
          <w:sz w:val="32"/>
          <w:szCs w:val="32"/>
        </w:rPr>
        <w:t>。</w:t>
      </w:r>
      <w:r>
        <w:rPr>
          <w:rFonts w:hint="eastAsia" w:ascii="Times New Roman" w:hAnsi="Times New Roman" w:eastAsia="仿宋_GB2312" w:cs="Times New Roman"/>
          <w:color w:val="auto"/>
          <w:sz w:val="32"/>
          <w:szCs w:val="32"/>
        </w:rPr>
        <w:t>加快城乡既有建筑和市政基础设施节能改造，累计完成既有建筑节能改</w:t>
      </w:r>
      <w:r>
        <w:rPr>
          <w:rFonts w:hint="eastAsia" w:ascii="仿宋_GB2312" w:hAnsi="仿宋_GB2312" w:eastAsia="仿宋_GB2312" w:cs="仿宋_GB2312"/>
          <w:color w:val="auto"/>
          <w:sz w:val="32"/>
          <w:szCs w:val="32"/>
        </w:rPr>
        <w:t>造</w:t>
      </w:r>
      <w:r>
        <w:rPr>
          <w:rFonts w:hint="eastAsia" w:ascii="仿宋_GB2312" w:hAnsi="仿宋_GB2312" w:eastAsia="仿宋_GB2312" w:cs="仿宋_GB2312"/>
          <w:color w:val="auto"/>
          <w:sz w:val="32"/>
          <w:szCs w:val="32"/>
          <w:lang w:val="en-US" w:eastAsia="zh-CN"/>
        </w:rPr>
        <w:t>258万</w:t>
      </w:r>
      <w:r>
        <w:rPr>
          <w:rFonts w:hint="eastAsia" w:ascii="仿宋_GB2312" w:hAnsi="仿宋_GB2312" w:eastAsia="仿宋_GB2312" w:cs="仿宋_GB2312"/>
          <w:color w:val="auto"/>
          <w:sz w:val="32"/>
          <w:szCs w:val="32"/>
        </w:rPr>
        <w:t>平方米以上。大力发展绿色建筑，新建大型公共建筑按照绿色民用建筑三星级标准建设。</w:t>
      </w:r>
      <w:r>
        <w:rPr>
          <w:rFonts w:hint="eastAsia" w:ascii="Times New Roman" w:hAnsi="Times New Roman" w:eastAsia="仿宋_GB2312" w:cs="Times New Roman"/>
          <w:color w:val="auto"/>
          <w:sz w:val="32"/>
          <w:szCs w:val="32"/>
        </w:rPr>
        <w:t>推动超低能耗建筑规模化发展，鼓励开展不同类型建筑的近零能耗、零碳创新。实施工程建设全过程绿色建造。</w:t>
      </w:r>
      <w:r>
        <w:rPr>
          <w:rFonts w:hint="eastAsia" w:ascii="仿宋_GB2312" w:hAnsi="仿宋_GB2312" w:eastAsia="仿宋_GB2312" w:cs="仿宋_GB2312"/>
          <w:color w:val="auto"/>
          <w:sz w:val="32"/>
          <w:szCs w:val="32"/>
        </w:rPr>
        <w:t>优化建筑能源和碳排放智慧监管平台，到2030年，实现对</w:t>
      </w:r>
      <w:r>
        <w:rPr>
          <w:rFonts w:hint="eastAsia" w:ascii="仿宋_GB2312" w:hAnsi="仿宋_GB2312" w:eastAsia="仿宋_GB2312" w:cs="仿宋_GB2312"/>
          <w:color w:val="auto"/>
          <w:sz w:val="32"/>
          <w:szCs w:val="32"/>
          <w:lang w:val="en-US" w:eastAsia="zh-CN"/>
        </w:rPr>
        <w:t>2000</w:t>
      </w:r>
      <w:r>
        <w:rPr>
          <w:rFonts w:hint="eastAsia" w:ascii="Times New Roman" w:hAnsi="Times New Roman" w:eastAsia="仿宋_GB2312" w:cs="Times New Roman"/>
          <w:color w:val="auto"/>
          <w:sz w:val="32"/>
          <w:szCs w:val="32"/>
        </w:rPr>
        <w:t>万平方米公共建筑的碳排放实时监测分析。</w:t>
      </w:r>
    </w:p>
    <w:p w14:paraId="0C096232">
      <w:pPr>
        <w:spacing w:line="580" w:lineRule="exact"/>
        <w:ind w:firstLine="643" w:firstLineChars="200"/>
        <w:outlineLvl w:val="2"/>
        <w:rPr>
          <w:rFonts w:ascii="Times New Roman" w:hAnsi="Times New Roman" w:eastAsia="仿宋_GB2312" w:cs="Times New Roman"/>
          <w:strike/>
          <w:color w:val="auto"/>
          <w:sz w:val="32"/>
          <w:szCs w:val="32"/>
        </w:rPr>
      </w:pPr>
      <w:r>
        <w:rPr>
          <w:rFonts w:ascii="Times New Roman" w:hAnsi="Times New Roman" w:eastAsia="仿宋_GB2312" w:cs="Times New Roman"/>
          <w:b/>
          <w:bCs/>
          <w:color w:val="auto"/>
          <w:sz w:val="32"/>
          <w:szCs w:val="32"/>
        </w:rPr>
        <w:t>构建绿色</w:t>
      </w:r>
      <w:r>
        <w:rPr>
          <w:rFonts w:hint="eastAsia" w:ascii="Times New Roman" w:hAnsi="Times New Roman" w:eastAsia="仿宋_GB2312" w:cs="Times New Roman"/>
          <w:b/>
          <w:bCs/>
          <w:color w:val="auto"/>
          <w:sz w:val="32"/>
          <w:szCs w:val="32"/>
        </w:rPr>
        <w:t>低碳</w:t>
      </w:r>
      <w:r>
        <w:rPr>
          <w:rFonts w:ascii="Times New Roman" w:hAnsi="Times New Roman" w:eastAsia="仿宋_GB2312" w:cs="Times New Roman"/>
          <w:b/>
          <w:bCs/>
          <w:color w:val="auto"/>
          <w:sz w:val="32"/>
          <w:szCs w:val="32"/>
        </w:rPr>
        <w:t>交通运输体系。</w:t>
      </w:r>
      <w:r>
        <w:rPr>
          <w:rFonts w:hint="eastAsia" w:ascii="Times New Roman" w:hAnsi="Times New Roman" w:eastAsia="仿宋_GB2312" w:cs="Times New Roman"/>
          <w:color w:val="auto"/>
          <w:sz w:val="32"/>
          <w:szCs w:val="32"/>
        </w:rPr>
        <w:t>加快推进公交、出租、网约车、环卫、邮政、公务车辆等公共领域用车全面新能源化，加大社会乘用车领域电动化更新替代</w:t>
      </w:r>
      <w:r>
        <w:rPr>
          <w:rFonts w:ascii="Times New Roman" w:hAnsi="Times New Roman" w:eastAsia="仿宋_GB2312" w:cs="Times New Roman"/>
          <w:color w:val="auto"/>
          <w:sz w:val="32"/>
          <w:szCs w:val="32"/>
        </w:rPr>
        <w:t>。持续推进</w:t>
      </w:r>
      <w:r>
        <w:rPr>
          <w:rFonts w:hint="eastAsia" w:ascii="Times New Roman" w:hAnsi="Times New Roman" w:eastAsia="仿宋_GB2312" w:cs="Times New Roman"/>
          <w:color w:val="auto"/>
          <w:sz w:val="32"/>
          <w:szCs w:val="32"/>
        </w:rPr>
        <w:t>电动</w:t>
      </w:r>
      <w:r>
        <w:rPr>
          <w:rFonts w:ascii="Times New Roman" w:hAnsi="Times New Roman" w:eastAsia="仿宋_GB2312" w:cs="Times New Roman"/>
          <w:color w:val="auto"/>
          <w:sz w:val="32"/>
          <w:szCs w:val="32"/>
        </w:rPr>
        <w:t>、氢燃料</w:t>
      </w:r>
      <w:r>
        <w:rPr>
          <w:rFonts w:hint="eastAsia" w:ascii="Times New Roman" w:hAnsi="Times New Roman" w:eastAsia="仿宋_GB2312" w:cs="Times New Roman"/>
          <w:color w:val="auto"/>
          <w:sz w:val="32"/>
          <w:szCs w:val="32"/>
        </w:rPr>
        <w:t>、绿色甲醇等新能源重型货运车辆的推广及应用</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加快推进充电桩、配套电网、加注（气）站、加氢站等新能源配套基础设施建设。</w:t>
      </w:r>
      <w:r>
        <w:rPr>
          <w:rFonts w:hint="eastAsia" w:ascii="仿宋_GB2312" w:hAnsi="仿宋_GB2312" w:eastAsia="仿宋_GB2312" w:cs="仿宋_GB2312"/>
          <w:color w:val="auto"/>
          <w:sz w:val="32"/>
          <w:szCs w:val="32"/>
        </w:rPr>
        <w:t>推进绿色港口建设，实施既有设施绿色化改造，2030年，港口新能</w:t>
      </w:r>
      <w:r>
        <w:rPr>
          <w:rFonts w:hint="eastAsia" w:ascii="Times New Roman" w:hAnsi="Times New Roman" w:eastAsia="仿宋_GB2312" w:cs="Times New Roman"/>
          <w:color w:val="auto"/>
          <w:sz w:val="32"/>
          <w:szCs w:val="32"/>
        </w:rPr>
        <w:t>源非道路移动机械基本实现电动化，持续加强码头岸电管理工作，切实提高内 河标准化岸电的使用率。</w:t>
      </w:r>
    </w:p>
    <w:p w14:paraId="4383FDFC">
      <w:pPr>
        <w:spacing w:line="580" w:lineRule="exact"/>
        <w:ind w:firstLine="643" w:firstLineChars="200"/>
        <w:outlineLvl w:val="1"/>
        <w:rPr>
          <w:rFonts w:hint="eastAsia" w:ascii="Times New Roman" w:hAnsi="Times New Roman" w:eastAsia="楷体_GB2312" w:cs="Times New Roman"/>
          <w:b/>
          <w:bCs/>
          <w:color w:val="auto"/>
          <w:sz w:val="32"/>
          <w:szCs w:val="32"/>
        </w:rPr>
      </w:pPr>
      <w:bookmarkStart w:id="43" w:name="_Toc2137"/>
      <w:r>
        <w:rPr>
          <w:rFonts w:hint="eastAsia" w:ascii="Times New Roman" w:hAnsi="Times New Roman" w:eastAsia="楷体_GB2312" w:cs="Times New Roman"/>
          <w:b/>
          <w:bCs/>
          <w:color w:val="auto"/>
          <w:sz w:val="32"/>
          <w:szCs w:val="32"/>
        </w:rPr>
        <w:t>（四）健全开发保护环境管控制度</w:t>
      </w:r>
      <w:bookmarkEnd w:id="43"/>
      <w:r>
        <w:rPr>
          <w:rFonts w:hint="eastAsia" w:ascii="Times New Roman" w:hAnsi="Times New Roman" w:eastAsia="楷体_GB2312" w:cs="Times New Roman"/>
          <w:b/>
          <w:bCs/>
          <w:color w:val="auto"/>
          <w:sz w:val="32"/>
          <w:szCs w:val="32"/>
        </w:rPr>
        <w:t xml:space="preserve"> </w:t>
      </w:r>
    </w:p>
    <w:p w14:paraId="0743BD7C">
      <w:pPr>
        <w:spacing w:line="580" w:lineRule="exact"/>
        <w:ind w:firstLine="643"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rPr>
        <w:t>全面实施生态环境分区管控。</w:t>
      </w:r>
      <w:r>
        <w:rPr>
          <w:rFonts w:hint="eastAsia" w:ascii="Times New Roman" w:hAnsi="Times New Roman" w:eastAsia="仿宋_GB2312" w:cs="Times New Roman"/>
          <w:color w:val="auto"/>
          <w:sz w:val="32"/>
          <w:szCs w:val="32"/>
        </w:rPr>
        <w:t>聚焦承载重要发展功能的重点管控单元，开展区域空间生态环境评价，实施“亚单元</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 xml:space="preserve">清单”差异化管控。推动生态环境分区管控深度融入规划编制、环境准入、园区管理和执法监管。强化生态环境分区管控与国土空间规划衔接，健全分区管控与国土空间 规划“一张图”协同管控机制，推进数据跨层级、跨部门共享。 </w:t>
      </w:r>
    </w:p>
    <w:p w14:paraId="0D64D5A7">
      <w:pPr>
        <w:spacing w:line="580" w:lineRule="exact"/>
        <w:ind w:firstLine="643" w:firstLineChars="200"/>
        <w:rPr>
          <w:rFonts w:ascii="Times New Roman" w:hAnsi="Times New Roman" w:eastAsia="仿宋_GB2312" w:cs="Times New Roman"/>
          <w:strike/>
          <w:color w:val="auto"/>
          <w:sz w:val="32"/>
          <w:szCs w:val="32"/>
        </w:rPr>
      </w:pPr>
      <w:r>
        <w:rPr>
          <w:rFonts w:hint="eastAsia" w:ascii="Times New Roman" w:hAnsi="Times New Roman" w:eastAsia="仿宋_GB2312" w:cs="Times New Roman"/>
          <w:b/>
          <w:bCs/>
          <w:color w:val="auto"/>
          <w:sz w:val="32"/>
          <w:szCs w:val="32"/>
        </w:rPr>
        <w:t>深化环境影响评价与排污许可制度改革。</w:t>
      </w:r>
      <w:r>
        <w:rPr>
          <w:rFonts w:hint="eastAsia" w:ascii="Times New Roman" w:hAnsi="Times New Roman" w:eastAsia="仿宋_GB2312" w:cs="Times New Roman"/>
          <w:color w:val="auto"/>
          <w:sz w:val="32"/>
          <w:szCs w:val="32"/>
        </w:rPr>
        <w:t>推进区域空间环评、 规划环评与项目环评联动，优化建设项目环评分类管理，强化排污许可承接补位。完善以排污许可制为核心的固定污染源监管制度体系，全面落实排污许可“一证式”综合监管执法。</w:t>
      </w:r>
      <w:r>
        <w:rPr>
          <w:rFonts w:hint="eastAsia" w:ascii="仿宋_GB2312" w:hAnsi="仿宋_GB2312" w:eastAsia="仿宋_GB2312" w:cs="仿宋_GB2312"/>
          <w:color w:val="auto"/>
          <w:sz w:val="32"/>
          <w:szCs w:val="32"/>
        </w:rPr>
        <w:t>完善排污许可证申请、核发、证后全过程监管，实现排污许可全要素、全量化管理。动态更新以排污许可和登记单位为基础的固定污染源信息库。推进排污许可证在重污染天气应急减排、入河排污口管理、固体废物总量和 强度控制等工作中的应用。</w:t>
      </w:r>
    </w:p>
    <w:p w14:paraId="5ED40864">
      <w:pPr>
        <w:spacing w:line="580" w:lineRule="exact"/>
        <w:ind w:firstLine="643" w:firstLineChars="200"/>
        <w:outlineLvl w:val="0"/>
        <w:rPr>
          <w:rFonts w:hint="eastAsia" w:ascii="Times New Roman" w:hAnsi="Times New Roman" w:eastAsia="黑体" w:cs="Times New Roman"/>
          <w:b/>
          <w:bCs/>
          <w:color w:val="auto"/>
          <w:sz w:val="32"/>
          <w:szCs w:val="32"/>
        </w:rPr>
      </w:pPr>
      <w:bookmarkStart w:id="44" w:name="_Toc13901"/>
      <w:r>
        <w:rPr>
          <w:rFonts w:hint="eastAsia" w:ascii="Times New Roman" w:hAnsi="Times New Roman" w:eastAsia="黑体" w:cs="Times New Roman"/>
          <w:b/>
          <w:bCs/>
          <w:color w:val="auto"/>
          <w:sz w:val="32"/>
          <w:szCs w:val="32"/>
        </w:rPr>
        <w:t>五、深化系统攻坚，全面改善生态环境质量</w:t>
      </w:r>
      <w:bookmarkEnd w:id="44"/>
    </w:p>
    <w:p w14:paraId="378C8C02">
      <w:pPr>
        <w:spacing w:line="580" w:lineRule="exact"/>
        <w:ind w:firstLine="643" w:firstLineChars="200"/>
        <w:outlineLvl w:val="1"/>
        <w:rPr>
          <w:rFonts w:hint="eastAsia" w:ascii="Times New Roman" w:hAnsi="Times New Roman" w:eastAsia="楷体_GB2312" w:cs="Times New Roman"/>
          <w:b/>
          <w:bCs/>
          <w:color w:val="auto"/>
          <w:sz w:val="32"/>
          <w:szCs w:val="32"/>
        </w:rPr>
      </w:pPr>
      <w:bookmarkStart w:id="45" w:name="_Toc24072"/>
      <w:r>
        <w:rPr>
          <w:rFonts w:hint="eastAsia" w:ascii="Times New Roman" w:hAnsi="Times New Roman" w:eastAsia="楷体_GB2312" w:cs="Times New Roman"/>
          <w:b/>
          <w:bCs/>
          <w:color w:val="auto"/>
          <w:sz w:val="32"/>
          <w:szCs w:val="32"/>
        </w:rPr>
        <w:t>（一）持续深入打好蓝天保卫战</w:t>
      </w:r>
      <w:bookmarkEnd w:id="0"/>
      <w:bookmarkEnd w:id="45"/>
    </w:p>
    <w:p w14:paraId="360EF3A0">
      <w:pPr>
        <w:spacing w:line="580" w:lineRule="exact"/>
        <w:ind w:firstLine="643" w:firstLineChars="200"/>
        <w:outlineLvl w:val="2"/>
        <w:rPr>
          <w:rFonts w:ascii="Times New Roman" w:hAnsi="Times New Roman" w:eastAsia="仿宋_GB2312" w:cs="Times New Roman"/>
          <w:color w:val="auto"/>
          <w:sz w:val="32"/>
          <w:szCs w:val="32"/>
        </w:rPr>
      </w:pPr>
      <w:bookmarkStart w:id="46" w:name="_Hlk199071753"/>
      <w:r>
        <w:rPr>
          <w:rFonts w:hint="eastAsia" w:ascii="Times New Roman" w:hAnsi="Times New Roman" w:eastAsia="仿宋_GB2312" w:cs="Times New Roman"/>
          <w:b/>
          <w:bCs/>
          <w:color w:val="auto"/>
          <w:sz w:val="32"/>
          <w:szCs w:val="32"/>
        </w:rPr>
        <w:t>强化</w:t>
      </w:r>
      <w:r>
        <w:rPr>
          <w:rFonts w:ascii="Times New Roman" w:hAnsi="Times New Roman" w:eastAsia="仿宋_GB2312" w:cs="Times New Roman"/>
          <w:b/>
          <w:bCs/>
          <w:color w:val="auto"/>
          <w:sz w:val="32"/>
          <w:szCs w:val="32"/>
        </w:rPr>
        <w:t>移动源</w:t>
      </w:r>
      <w:r>
        <w:rPr>
          <w:rFonts w:hint="eastAsia" w:ascii="Times New Roman" w:hAnsi="Times New Roman" w:eastAsia="仿宋_GB2312" w:cs="Times New Roman"/>
          <w:b/>
          <w:bCs/>
          <w:color w:val="auto"/>
          <w:sz w:val="32"/>
          <w:szCs w:val="32"/>
        </w:rPr>
        <w:t>清洁化攻坚。</w:t>
      </w:r>
      <w:r>
        <w:rPr>
          <w:rFonts w:ascii="Times New Roman" w:hAnsi="Times New Roman" w:eastAsia="仿宋_GB2312" w:cs="Times New Roman"/>
          <w:color w:val="auto"/>
          <w:sz w:val="32"/>
          <w:szCs w:val="32"/>
        </w:rPr>
        <w:t>以跟进实施新阶段移动源排放标准和油品标准为抓手，</w:t>
      </w:r>
      <w:r>
        <w:rPr>
          <w:rFonts w:hint="eastAsia" w:ascii="Times New Roman" w:hAnsi="Times New Roman" w:eastAsia="仿宋_GB2312" w:cs="Times New Roman"/>
          <w:color w:val="auto"/>
          <w:sz w:val="32"/>
          <w:szCs w:val="32"/>
        </w:rPr>
        <w:t xml:space="preserve">全面完成国四柴油货车淘汰，开展国五柴油货车超标问题整治，加强国六柴油货车智慧化监管。全面禁用国二非道路移动机械，推进非道路移动机械编码登记、 使用管理、拆解报废等环节的全过程监管。加强移动源智慧监管，深化在用车定期排放检验、远程排放监控、油品储运销环节油气回收监管等核心场景的智能化应用。深化内河船舶污染治理，逐步推进 </w:t>
      </w:r>
      <w:r>
        <w:rPr>
          <w:rFonts w:ascii="Times New Roman" w:hAnsi="Times New Roman" w:eastAsia="仿宋_GB2312" w:cs="Times New Roman"/>
          <w:color w:val="auto"/>
          <w:sz w:val="32"/>
          <w:szCs w:val="32"/>
        </w:rPr>
        <w:t xml:space="preserve">20 </w:t>
      </w:r>
      <w:r>
        <w:rPr>
          <w:rFonts w:hint="eastAsia" w:ascii="Times New Roman" w:hAnsi="Times New Roman" w:eastAsia="仿宋_GB2312" w:cs="Times New Roman"/>
          <w:color w:val="auto"/>
          <w:sz w:val="32"/>
          <w:szCs w:val="32"/>
        </w:rPr>
        <w:t>年以上船龄的船舶淘汰更新。</w:t>
      </w:r>
    </w:p>
    <w:p w14:paraId="3F2D79F1">
      <w:pPr>
        <w:spacing w:line="580" w:lineRule="exact"/>
        <w:ind w:firstLine="643" w:firstLineChars="200"/>
        <w:outlineLvl w:val="2"/>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深化固定源</w:t>
      </w:r>
      <w:r>
        <w:rPr>
          <w:rFonts w:hint="eastAsia" w:ascii="Times New Roman" w:hAnsi="Times New Roman" w:eastAsia="仿宋_GB2312" w:cs="Times New Roman"/>
          <w:b/>
          <w:bCs/>
          <w:color w:val="auto"/>
          <w:sz w:val="32"/>
          <w:szCs w:val="32"/>
        </w:rPr>
        <w:t>精准治理。</w:t>
      </w:r>
      <w:r>
        <w:rPr>
          <w:rFonts w:hint="eastAsia" w:ascii="Times New Roman" w:hAnsi="Times New Roman" w:eastAsia="仿宋_GB2312" w:cs="Times New Roman"/>
          <w:color w:val="auto"/>
          <w:sz w:val="32"/>
          <w:szCs w:val="32"/>
        </w:rPr>
        <w:t>推动具备条件的燃油锅炉、工业炉窑清洁</w:t>
      </w:r>
      <w:r>
        <w:rPr>
          <w:rFonts w:hint="eastAsia" w:ascii="Times New Roman" w:hAnsi="Times New Roman" w:eastAsia="仿宋_GB2312" w:cs="Times New Roman"/>
          <w:color w:val="auto"/>
          <w:sz w:val="32"/>
          <w:szCs w:val="32"/>
          <w:lang w:eastAsia="zh-CN"/>
        </w:rPr>
        <w:t>化改造</w:t>
      </w:r>
      <w:r>
        <w:rPr>
          <w:rFonts w:hint="eastAsia" w:ascii="Times New Roman" w:hAnsi="Times New Roman" w:eastAsia="仿宋_GB2312" w:cs="Times New Roman"/>
          <w:color w:val="auto"/>
          <w:sz w:val="32"/>
          <w:szCs w:val="32"/>
        </w:rPr>
        <w:t xml:space="preserve">。持续推进化工、造船、涂装等重点行业 </w:t>
      </w:r>
      <w:r>
        <w:rPr>
          <w:rFonts w:ascii="Times New Roman" w:hAnsi="Times New Roman" w:eastAsia="仿宋_GB2312" w:cs="Times New Roman"/>
          <w:color w:val="auto"/>
          <w:sz w:val="32"/>
          <w:szCs w:val="32"/>
        </w:rPr>
        <w:t xml:space="preserve">VOCs </w:t>
      </w:r>
      <w:r>
        <w:rPr>
          <w:rFonts w:hint="eastAsia" w:ascii="Times New Roman" w:hAnsi="Times New Roman" w:eastAsia="仿宋_GB2312" w:cs="Times New Roman"/>
          <w:color w:val="auto"/>
          <w:sz w:val="32"/>
          <w:szCs w:val="32"/>
        </w:rPr>
        <w:t>深度治理，开展低效失效设施排查整治，建立大气污染治理设施数智化监管平台。强化开停工、检维修 VOCs 无组织排放控制，实施智能化泄漏在线监测。完善重点行业大气污染防治绩效分级管理体系，实施化工、汽车制造、工业涂装等重点行业大气污染防治绩效提升行动。</w:t>
      </w:r>
    </w:p>
    <w:bookmarkEnd w:id="46"/>
    <w:p w14:paraId="5E31FA4E">
      <w:pPr>
        <w:spacing w:line="580" w:lineRule="exact"/>
        <w:ind w:firstLine="643" w:firstLineChars="200"/>
        <w:outlineLvl w:val="2"/>
        <w:rPr>
          <w:rFonts w:ascii="Times New Roman" w:hAnsi="Times New Roman" w:eastAsia="仿宋_GB2312" w:cs="Times New Roman"/>
          <w:strike/>
          <w:color w:val="auto"/>
          <w:sz w:val="32"/>
          <w:szCs w:val="32"/>
        </w:rPr>
      </w:pPr>
      <w:r>
        <w:rPr>
          <w:rFonts w:ascii="Times New Roman" w:hAnsi="Times New Roman" w:eastAsia="仿宋_GB2312" w:cs="Times New Roman"/>
          <w:b/>
          <w:bCs/>
          <w:color w:val="auto"/>
          <w:sz w:val="32"/>
          <w:szCs w:val="32"/>
        </w:rPr>
        <w:t>实施社会面源</w:t>
      </w:r>
      <w:r>
        <w:rPr>
          <w:rFonts w:hint="eastAsia" w:ascii="Times New Roman" w:hAnsi="Times New Roman" w:eastAsia="仿宋_GB2312" w:cs="Times New Roman"/>
          <w:b/>
          <w:bCs/>
          <w:color w:val="auto"/>
          <w:sz w:val="32"/>
          <w:szCs w:val="32"/>
        </w:rPr>
        <w:t>综合整治。</w:t>
      </w:r>
      <w:r>
        <w:rPr>
          <w:rFonts w:hint="eastAsia" w:ascii="Times New Roman" w:hAnsi="Times New Roman" w:eastAsia="仿宋_GB2312" w:cs="Times New Roman"/>
          <w:color w:val="auto"/>
          <w:sz w:val="32"/>
          <w:szCs w:val="32"/>
        </w:rPr>
        <w:t>加强扬尘全方位防控，强化在建工地、混凝土搅拌站、易扬尘干散货码头堆场等扬尘防控措施落实，全面实施在建工地和施工单位分级管理，强化扬尘在线监测设施运行监管，加强工地等扬尘污染问题智能发现、推送与闭环监管，推广天幕工地、全电工地等新技术应用。深入推进重点道路扬尘污染综合防治。加强餐饮油烟精细化管控，健全餐饮油烟治理跨部门协作机制，推进餐饮油烟信息化管理，动态更新餐饮服务项目禁设场所清单，常态化开展网格化巡查。推进汽修行业全水性替代技术，逐步推进加油站三次油气回收治理。</w:t>
      </w:r>
    </w:p>
    <w:p w14:paraId="0B259C72">
      <w:pPr>
        <w:spacing w:line="580" w:lineRule="exact"/>
        <w:ind w:firstLine="643" w:firstLineChars="200"/>
        <w:outlineLvl w:val="1"/>
        <w:rPr>
          <w:rFonts w:hint="eastAsia" w:ascii="Times New Roman" w:hAnsi="Times New Roman" w:eastAsia="楷体_GB2312" w:cs="Times New Roman"/>
          <w:b/>
          <w:bCs/>
          <w:color w:val="auto"/>
          <w:sz w:val="32"/>
          <w:szCs w:val="32"/>
        </w:rPr>
      </w:pPr>
      <w:bookmarkStart w:id="47" w:name="_Toc199405442"/>
      <w:bookmarkStart w:id="48" w:name="_Toc15489"/>
      <w:r>
        <w:rPr>
          <w:rFonts w:hint="eastAsia" w:ascii="Times New Roman" w:hAnsi="Times New Roman" w:eastAsia="楷体_GB2312" w:cs="Times New Roman"/>
          <w:b/>
          <w:bCs/>
          <w:color w:val="auto"/>
          <w:sz w:val="32"/>
          <w:szCs w:val="32"/>
        </w:rPr>
        <w:t>（二）持续深入打好碧水保卫战</w:t>
      </w:r>
      <w:bookmarkEnd w:id="47"/>
      <w:bookmarkEnd w:id="48"/>
    </w:p>
    <w:p w14:paraId="09A729D7">
      <w:pPr>
        <w:spacing w:line="580" w:lineRule="exact"/>
        <w:ind w:firstLine="643" w:firstLineChars="200"/>
        <w:outlineLvl w:val="2"/>
        <w:rPr>
          <w:rFonts w:ascii="Times New Roman" w:hAnsi="Times New Roman" w:eastAsia="仿宋_GB2312" w:cs="Times New Roman"/>
          <w:strike/>
          <w:color w:val="auto"/>
          <w:sz w:val="32"/>
          <w:szCs w:val="32"/>
        </w:rPr>
      </w:pPr>
      <w:r>
        <w:rPr>
          <w:rFonts w:hint="eastAsia" w:ascii="Times New Roman" w:hAnsi="Times New Roman" w:eastAsia="仿宋_GB2312" w:cs="Times New Roman"/>
          <w:b/>
          <w:bCs/>
          <w:color w:val="auto"/>
          <w:sz w:val="32"/>
          <w:szCs w:val="32"/>
        </w:rPr>
        <w:t>保障饮用水源地安全。</w:t>
      </w:r>
      <w:r>
        <w:rPr>
          <w:rFonts w:hint="eastAsia" w:ascii="Times New Roman" w:hAnsi="Times New Roman" w:eastAsia="仿宋_GB2312" w:cs="Times New Roman"/>
          <w:color w:val="auto"/>
          <w:sz w:val="32"/>
          <w:szCs w:val="32"/>
        </w:rPr>
        <w:t>严格落实黄浦江上游饮用水水源保护区环境保护相关要求，</w:t>
      </w:r>
      <w:r>
        <w:rPr>
          <w:rFonts w:ascii="Times New Roman" w:hAnsi="Times New Roman" w:eastAsia="仿宋_GB2312" w:cs="Times New Roman"/>
          <w:color w:val="auto"/>
          <w:sz w:val="32"/>
          <w:szCs w:val="32"/>
        </w:rPr>
        <w:t>加强饮用水水源保护区常态化监管</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有效防范各类环境风险，筑牢饮用水水源地环境安全底线。</w:t>
      </w:r>
    </w:p>
    <w:p w14:paraId="2F2F494B">
      <w:pPr>
        <w:spacing w:line="580" w:lineRule="exact"/>
        <w:ind w:firstLine="643" w:firstLineChars="200"/>
        <w:outlineLvl w:val="2"/>
        <w:rPr>
          <w:rFonts w:ascii="Times New Roman" w:hAnsi="Times New Roman" w:eastAsia="仿宋_GB2312" w:cs="Times New Roman"/>
          <w:strike/>
          <w:color w:val="auto"/>
          <w:sz w:val="32"/>
          <w:szCs w:val="32"/>
        </w:rPr>
      </w:pPr>
      <w:r>
        <w:rPr>
          <w:rFonts w:ascii="Times New Roman" w:hAnsi="Times New Roman" w:eastAsia="仿宋_GB2312" w:cs="Times New Roman"/>
          <w:b/>
          <w:bCs/>
          <w:color w:val="auto"/>
          <w:sz w:val="32"/>
          <w:szCs w:val="32"/>
        </w:rPr>
        <w:t>深化</w:t>
      </w:r>
      <w:r>
        <w:rPr>
          <w:rFonts w:hint="eastAsia" w:ascii="Times New Roman" w:hAnsi="Times New Roman" w:eastAsia="仿宋_GB2312" w:cs="Times New Roman"/>
          <w:b/>
          <w:bCs/>
          <w:color w:val="auto"/>
          <w:sz w:val="32"/>
          <w:szCs w:val="32"/>
        </w:rPr>
        <w:t>雨污水系统</w:t>
      </w:r>
      <w:r>
        <w:rPr>
          <w:rFonts w:ascii="Times New Roman" w:hAnsi="Times New Roman" w:eastAsia="仿宋_GB2312" w:cs="Times New Roman"/>
          <w:b/>
          <w:bCs/>
          <w:color w:val="auto"/>
          <w:sz w:val="32"/>
          <w:szCs w:val="32"/>
        </w:rPr>
        <w:t>治理</w:t>
      </w:r>
      <w:r>
        <w:rPr>
          <w:rFonts w:hint="eastAsia" w:ascii="Times New Roman" w:hAnsi="Times New Roman" w:eastAsia="仿宋_GB2312" w:cs="Times New Roman"/>
          <w:b/>
          <w:bCs/>
          <w:color w:val="auto"/>
          <w:sz w:val="32"/>
          <w:szCs w:val="32"/>
        </w:rPr>
        <w:t>。</w:t>
      </w:r>
      <w:r>
        <w:rPr>
          <w:rFonts w:hint="eastAsia" w:ascii="Times New Roman" w:hAnsi="Times New Roman" w:eastAsia="仿宋_GB2312" w:cs="Times New Roman"/>
          <w:color w:val="auto"/>
          <w:sz w:val="32"/>
          <w:szCs w:val="32"/>
        </w:rPr>
        <w:t>完成</w:t>
      </w:r>
      <w:r>
        <w:rPr>
          <w:rFonts w:ascii="Times New Roman" w:hAnsi="Times New Roman" w:eastAsia="仿宋_GB2312" w:cs="Times New Roman"/>
          <w:color w:val="auto"/>
          <w:sz w:val="32"/>
          <w:szCs w:val="32"/>
        </w:rPr>
        <w:t>入河排污口</w:t>
      </w:r>
      <w:r>
        <w:rPr>
          <w:rFonts w:hint="eastAsia" w:ascii="Times New Roman" w:hAnsi="Times New Roman" w:eastAsia="仿宋_GB2312" w:cs="Times New Roman"/>
          <w:color w:val="auto"/>
          <w:sz w:val="32"/>
          <w:szCs w:val="32"/>
          <w:lang w:eastAsia="zh-CN"/>
        </w:rPr>
        <w:t>分类</w:t>
      </w:r>
      <w:r>
        <w:rPr>
          <w:rFonts w:ascii="Times New Roman" w:hAnsi="Times New Roman" w:eastAsia="仿宋_GB2312" w:cs="Times New Roman"/>
          <w:color w:val="auto"/>
          <w:sz w:val="32"/>
          <w:szCs w:val="32"/>
        </w:rPr>
        <w:t>整治</w:t>
      </w:r>
      <w:r>
        <w:rPr>
          <w:rFonts w:hint="eastAsia" w:ascii="Times New Roman" w:hAnsi="Times New Roman" w:eastAsia="仿宋_GB2312" w:cs="Times New Roman"/>
          <w:color w:val="auto"/>
          <w:sz w:val="32"/>
          <w:szCs w:val="32"/>
        </w:rPr>
        <w:t>。持续开展雨污混接普查整治，深入推进排水厂站网一体化建设运维管理。推进污水收集和输送管道工程，滚动开展排水管网检测修复，强化防汛泵站水质监测及排水管控，优化完善初雨调蓄和截留设施。建立工业园区重点管控企业清单，推行重点行业企业污水治理与排放水平绩效分级。持续开展水质易反复河道“一河一策”治理。因地制宜推动农村污水治理，</w:t>
      </w:r>
      <w:r>
        <w:rPr>
          <w:rFonts w:ascii="Times New Roman" w:hAnsi="Times New Roman" w:eastAsia="仿宋_GB2312" w:cs="Times New Roman"/>
          <w:color w:val="auto"/>
          <w:sz w:val="32"/>
          <w:szCs w:val="32"/>
        </w:rPr>
        <w:t>推进农村河湖养护现代化</w:t>
      </w:r>
      <w:r>
        <w:rPr>
          <w:rFonts w:hint="eastAsia" w:ascii="Times New Roman" w:hAnsi="Times New Roman" w:eastAsia="仿宋_GB2312" w:cs="Times New Roman"/>
          <w:color w:val="auto"/>
          <w:sz w:val="32"/>
          <w:szCs w:val="32"/>
        </w:rPr>
        <w:t>。</w:t>
      </w:r>
    </w:p>
    <w:p w14:paraId="577918E0">
      <w:pPr>
        <w:spacing w:line="580" w:lineRule="exact"/>
        <w:ind w:firstLine="643" w:firstLineChars="200"/>
        <w:outlineLvl w:val="2"/>
        <w:rPr>
          <w:rFonts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rPr>
        <w:t>加快</w:t>
      </w:r>
      <w:r>
        <w:rPr>
          <w:rFonts w:ascii="Times New Roman" w:hAnsi="Times New Roman" w:eastAsia="仿宋_GB2312" w:cs="Times New Roman"/>
          <w:b/>
          <w:bCs/>
          <w:color w:val="auto"/>
          <w:sz w:val="32"/>
          <w:szCs w:val="32"/>
        </w:rPr>
        <w:t>美丽幸福河湖建设</w:t>
      </w:r>
      <w:r>
        <w:rPr>
          <w:rFonts w:hint="eastAsia" w:ascii="Times New Roman" w:hAnsi="Times New Roman" w:eastAsia="仿宋_GB2312" w:cs="Times New Roman"/>
          <w:b/>
          <w:bCs/>
          <w:color w:val="auto"/>
          <w:sz w:val="32"/>
          <w:szCs w:val="32"/>
        </w:rPr>
        <w:t>。</w:t>
      </w:r>
      <w:r>
        <w:rPr>
          <w:rFonts w:hint="eastAsia" w:ascii="Times New Roman" w:hAnsi="Times New Roman" w:eastAsia="仿宋_GB2312" w:cs="Times New Roman"/>
          <w:color w:val="auto"/>
          <w:sz w:val="32"/>
          <w:szCs w:val="32"/>
        </w:rPr>
        <w:t>完善水生态监测评价体系，开展重点河湖底栖生物监测调查和恢复保护，</w:t>
      </w:r>
      <w:r>
        <w:rPr>
          <w:rFonts w:hint="eastAsia" w:ascii="仿宋_GB2312" w:hAnsi="仿宋_GB2312" w:eastAsia="仿宋_GB2312" w:cs="仿宋_GB2312"/>
          <w:color w:val="auto"/>
          <w:sz w:val="32"/>
          <w:szCs w:val="32"/>
        </w:rPr>
        <w:t>推动实施水生态保护修复项目。实施美丽幸福河湖建设行动，实施连片中小河道治理，深化生态清洁小流域建设。提升河湖水体清澈度，加大滨水空间开放共享，各类河湖高品质公共开放滨水空间总里程预期达到80公里，提升公众对水环境改善的感知度。</w:t>
      </w:r>
      <w:bookmarkStart w:id="49" w:name="_Hlk211959303"/>
    </w:p>
    <w:p w14:paraId="4D3EF162">
      <w:pPr>
        <w:spacing w:line="580" w:lineRule="exact"/>
        <w:ind w:firstLine="643" w:firstLineChars="200"/>
        <w:outlineLvl w:val="1"/>
        <w:rPr>
          <w:rFonts w:hint="eastAsia" w:ascii="Times New Roman" w:hAnsi="Times New Roman" w:eastAsia="楷体_GB2312" w:cs="Times New Roman"/>
          <w:b/>
          <w:bCs/>
          <w:color w:val="auto"/>
          <w:sz w:val="32"/>
          <w:szCs w:val="32"/>
        </w:rPr>
      </w:pPr>
      <w:bookmarkStart w:id="50" w:name="_Toc8397"/>
      <w:r>
        <w:rPr>
          <w:rFonts w:hint="eastAsia" w:ascii="Times New Roman" w:hAnsi="Times New Roman" w:eastAsia="楷体_GB2312" w:cs="Times New Roman"/>
          <w:b/>
          <w:bCs/>
          <w:color w:val="auto"/>
          <w:sz w:val="32"/>
          <w:szCs w:val="32"/>
        </w:rPr>
        <w:t>（三）持续深入打好净土保卫战</w:t>
      </w:r>
      <w:bookmarkEnd w:id="50"/>
    </w:p>
    <w:p w14:paraId="2FE69DB7">
      <w:pPr>
        <w:spacing w:line="580" w:lineRule="exact"/>
        <w:ind w:firstLine="643" w:firstLineChars="200"/>
        <w:outlineLvl w:val="2"/>
        <w:rPr>
          <w:rFonts w:hint="eastAsia" w:ascii="仿宋_GB2312" w:hAnsi="仿宋_GB2312" w:eastAsia="仿宋_GB2312" w:cs="仿宋_GB2312"/>
          <w:b/>
          <w:bCs/>
          <w:color w:val="auto"/>
          <w:sz w:val="32"/>
          <w:szCs w:val="32"/>
        </w:rPr>
      </w:pPr>
      <w:r>
        <w:rPr>
          <w:rFonts w:hint="eastAsia" w:ascii="仿宋_GB2312" w:eastAsia="仿宋_GB2312"/>
          <w:b/>
          <w:bCs/>
          <w:color w:val="auto"/>
          <w:sz w:val="32"/>
          <w:szCs w:val="32"/>
        </w:rPr>
        <w:t>强化土壤和地下水污染源头防控。</w:t>
      </w:r>
      <w:r>
        <w:rPr>
          <w:rFonts w:hint="eastAsia" w:ascii="仿宋_GB2312" w:eastAsia="仿宋_GB2312"/>
          <w:color w:val="auto"/>
          <w:sz w:val="32"/>
          <w:szCs w:val="32"/>
        </w:rPr>
        <w:t>健全土壤和地下水污染管控体系，开展第二次土壤污染状况普查和地下水污染调查评价，优化调整土壤和地下水环境质量监测点位。健全建设用地用途变更和污染地块风险管控的联动监管机制。动态调整农用地土壤环境质量类别，强化优先保护类耕地管理，开展耕地质量保护与提升行动。开展重点监管单位土壤污染隐患排查及“动态清零”，实施重点排污单位周边农用地土壤涉镉等重金属累积性风险评估。加强涉化工类和金属制品类工业园区土壤和地下水环境管理。开展填埋场地下水污染分类治理。</w:t>
      </w:r>
    </w:p>
    <w:p w14:paraId="7273B9EB">
      <w:pPr>
        <w:spacing w:line="580" w:lineRule="exact"/>
        <w:ind w:firstLine="643" w:firstLineChars="200"/>
        <w:outlineLvl w:val="2"/>
        <w:rPr>
          <w:rFonts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rPr>
        <w:t>推进土壤污染绿色低碳修复。</w:t>
      </w:r>
      <w:r>
        <w:rPr>
          <w:rFonts w:hint="eastAsia" w:ascii="仿宋_GB2312" w:hAnsi="仿宋_GB2312" w:eastAsia="仿宋_GB2312" w:cs="仿宋_GB2312"/>
          <w:color w:val="auto"/>
          <w:sz w:val="32"/>
          <w:szCs w:val="32"/>
        </w:rPr>
        <w:t>按照开发建设规划，</w:t>
      </w:r>
      <w:r>
        <w:rPr>
          <w:rFonts w:hint="eastAsia" w:ascii="Times New Roman" w:hAnsi="Times New Roman" w:eastAsia="仿宋_GB2312" w:cs="Times New Roman"/>
          <w:color w:val="auto"/>
          <w:sz w:val="32"/>
          <w:szCs w:val="32"/>
        </w:rPr>
        <w:t>推动</w:t>
      </w:r>
      <w:r>
        <w:rPr>
          <w:rFonts w:ascii="Times New Roman" w:hAnsi="Times New Roman" w:eastAsia="仿宋_GB2312" w:cs="Times New Roman"/>
          <w:color w:val="auto"/>
          <w:sz w:val="32"/>
          <w:szCs w:val="32"/>
        </w:rPr>
        <w:t>吴泾</w:t>
      </w:r>
      <w:r>
        <w:rPr>
          <w:rFonts w:hint="eastAsia" w:ascii="Times New Roman" w:hAnsi="Times New Roman" w:eastAsia="仿宋_GB2312" w:cs="Times New Roman"/>
          <w:color w:val="auto"/>
          <w:sz w:val="32"/>
          <w:szCs w:val="32"/>
        </w:rPr>
        <w:t>地区</w:t>
      </w:r>
      <w:r>
        <w:rPr>
          <w:rFonts w:ascii="Times New Roman" w:hAnsi="Times New Roman" w:eastAsia="仿宋_GB2312" w:cs="Times New Roman"/>
          <w:color w:val="auto"/>
          <w:sz w:val="32"/>
          <w:szCs w:val="32"/>
        </w:rPr>
        <w:t>土壤污染状况调查评估治理，推动重点行业大型腾退地块实施分片分期风险管控和修复。</w:t>
      </w:r>
      <w:r>
        <w:rPr>
          <w:rFonts w:hint="eastAsia" w:ascii="Times New Roman" w:hAnsi="Times New Roman" w:eastAsia="仿宋_GB2312" w:cs="Times New Roman"/>
          <w:color w:val="auto"/>
          <w:sz w:val="32"/>
          <w:szCs w:val="32"/>
        </w:rPr>
        <w:t>对居民区等敏感受体的高 风险地块实施重点管理，开展地块内残留污染物清理和污染扩散途径阻断。支持低扰动低成本管控修复技术研究与应用。</w:t>
      </w:r>
    </w:p>
    <w:p w14:paraId="0DCC411B">
      <w:pPr>
        <w:spacing w:line="580" w:lineRule="exact"/>
        <w:ind w:firstLine="643" w:firstLineChars="200"/>
        <w:outlineLvl w:val="1"/>
        <w:rPr>
          <w:rFonts w:hint="eastAsia" w:ascii="Times New Roman" w:hAnsi="Times New Roman" w:eastAsia="楷体_GB2312" w:cs="Times New Roman"/>
          <w:b/>
          <w:bCs/>
          <w:color w:val="auto"/>
          <w:sz w:val="32"/>
          <w:szCs w:val="32"/>
        </w:rPr>
      </w:pPr>
      <w:bookmarkStart w:id="51" w:name="_Toc12979"/>
      <w:r>
        <w:rPr>
          <w:rFonts w:hint="eastAsia" w:ascii="Times New Roman" w:hAnsi="Times New Roman" w:eastAsia="楷体_GB2312" w:cs="Times New Roman"/>
          <w:b/>
          <w:bCs/>
          <w:color w:val="auto"/>
          <w:sz w:val="32"/>
          <w:szCs w:val="32"/>
        </w:rPr>
        <w:t>（四）</w:t>
      </w:r>
      <w:bookmarkStart w:id="52" w:name="_Hlk224917235"/>
      <w:r>
        <w:rPr>
          <w:rFonts w:hint="eastAsia" w:ascii="Times New Roman" w:hAnsi="Times New Roman" w:eastAsia="楷体_GB2312" w:cs="Times New Roman"/>
          <w:b/>
          <w:bCs/>
          <w:color w:val="auto"/>
          <w:sz w:val="32"/>
          <w:szCs w:val="32"/>
        </w:rPr>
        <w:t>加强固体废物综合治理</w:t>
      </w:r>
      <w:bookmarkEnd w:id="51"/>
    </w:p>
    <w:bookmarkEnd w:id="52"/>
    <w:p w14:paraId="029BA0D9">
      <w:pPr>
        <w:spacing w:line="580" w:lineRule="exact"/>
        <w:ind w:firstLine="643" w:firstLineChars="200"/>
        <w:outlineLvl w:val="2"/>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rPr>
        <w:t>高标准建设全域无废城市。</w:t>
      </w:r>
      <w:r>
        <w:rPr>
          <w:rFonts w:hint="eastAsia" w:ascii="Times New Roman" w:hAnsi="Times New Roman" w:eastAsia="仿宋_GB2312" w:cs="Times New Roman"/>
          <w:color w:val="auto"/>
          <w:sz w:val="32"/>
          <w:szCs w:val="32"/>
        </w:rPr>
        <w:t>健全“无废城市”建设协调推进机制，形成全社会共同参与的工作格局。完善“无废指数”评估指标体系，建立常态化成效评估机制，推动重点企业、产业园区提升固体废物源头减量、资源化利用和安全处置水平。持续开展“无废城市细胞”典型案例遴选和推广，加快先进适用的资源循环利用技术研发转化与场景应用。到 2030 年“无废城市”建设达到国内领先水平。</w:t>
      </w:r>
    </w:p>
    <w:p w14:paraId="2BEA9731">
      <w:pPr>
        <w:spacing w:line="580" w:lineRule="exact"/>
        <w:ind w:firstLine="643" w:firstLineChars="200"/>
        <w:outlineLvl w:val="2"/>
        <w:rPr>
          <w:rFonts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rPr>
        <w:t>推进生活垃圾分类提档增效。</w:t>
      </w:r>
      <w:r>
        <w:rPr>
          <w:rFonts w:hint="eastAsia" w:ascii="Times New Roman" w:hAnsi="Times New Roman" w:eastAsia="仿宋_GB2312" w:cs="Times New Roman"/>
          <w:color w:val="auto"/>
          <w:sz w:val="32"/>
          <w:szCs w:val="32"/>
        </w:rPr>
        <w:t>持续优化生活垃圾全程分类体系。开展分类投放设施智能化、友好化改造，完善可回收物中转站、集散场设施。</w:t>
      </w:r>
      <w:r>
        <w:rPr>
          <w:rFonts w:ascii="Times New Roman" w:hAnsi="Times New Roman" w:eastAsia="仿宋_GB2312" w:cs="Times New Roman"/>
          <w:color w:val="auto"/>
          <w:sz w:val="32"/>
          <w:szCs w:val="32"/>
        </w:rPr>
        <w:t>加</w:t>
      </w:r>
      <w:r>
        <w:rPr>
          <w:rFonts w:hint="eastAsia" w:ascii="Times New Roman" w:hAnsi="Times New Roman" w:eastAsia="仿宋_GB2312" w:cs="Times New Roman"/>
          <w:color w:val="auto"/>
          <w:sz w:val="32"/>
          <w:szCs w:val="32"/>
        </w:rPr>
        <w:t>大</w:t>
      </w:r>
      <w:r>
        <w:rPr>
          <w:rFonts w:ascii="Times New Roman" w:hAnsi="Times New Roman" w:eastAsia="仿宋_GB2312" w:cs="Times New Roman"/>
          <w:color w:val="auto"/>
          <w:sz w:val="32"/>
          <w:szCs w:val="32"/>
        </w:rPr>
        <w:t>农村生活垃</w:t>
      </w:r>
      <w:r>
        <w:rPr>
          <w:rFonts w:hint="eastAsia" w:ascii="Times New Roman" w:hAnsi="Times New Roman" w:eastAsia="仿宋_GB2312" w:cs="Times New Roman"/>
          <w:color w:val="auto"/>
          <w:sz w:val="32"/>
          <w:szCs w:val="32"/>
        </w:rPr>
        <w:t>圾治理力度，健全农村生活垃圾投放收集管理机制。巩固提升生活垃圾资源化利用能力。实现“公益交投”和“惠民回收”双覆盖，探索单品类可回收物差异化、精准化回收，稳定保持原生生活垃圾零填埋。到2030年生活垃圾回收利用率达到46%以上。</w:t>
      </w:r>
    </w:p>
    <w:p w14:paraId="6271A5F4">
      <w:pPr>
        <w:spacing w:line="580" w:lineRule="exact"/>
        <w:ind w:firstLine="643" w:firstLineChars="200"/>
        <w:outlineLvl w:val="2"/>
        <w:rPr>
          <w:rFonts w:ascii="Times New Roman" w:hAnsi="Times New Roman" w:eastAsia="仿宋_GB2312" w:cs="Times New Roman"/>
          <w:color w:val="auto"/>
          <w:sz w:val="32"/>
          <w:szCs w:val="32"/>
        </w:rPr>
      </w:pPr>
      <w:r>
        <w:rPr>
          <w:rFonts w:hint="eastAsia" w:ascii="仿宋_GB2312" w:hAnsi="仿宋_GB2312" w:eastAsia="仿宋_GB2312" w:cs="仿宋_GB2312"/>
          <w:b/>
          <w:bCs/>
          <w:color w:val="auto"/>
          <w:sz w:val="32"/>
          <w:szCs w:val="32"/>
        </w:rPr>
        <w:t>加强建筑垃圾全过程管理。</w:t>
      </w:r>
      <w:r>
        <w:rPr>
          <w:rFonts w:hint="eastAsia" w:ascii="Times New Roman" w:hAnsi="Times New Roman" w:eastAsia="仿宋_GB2312" w:cs="Times New Roman"/>
          <w:color w:val="auto"/>
          <w:sz w:val="32"/>
          <w:szCs w:val="32"/>
        </w:rPr>
        <w:t>健全建筑垃圾源头工地、运输过程、消纳场所全过程闭环监管体系。拓展建筑垃圾再生产品应用渠道，设立建筑垃圾分拣残渣深度资源化利用设施，实现装修垃圾、拆房垃圾分拣残渣零填埋。构建工程渣土产消平衡处置体系，</w:t>
      </w:r>
      <w:r>
        <w:rPr>
          <w:rFonts w:ascii="Times New Roman" w:hAnsi="Times New Roman" w:eastAsia="仿宋_GB2312" w:cs="Times New Roman"/>
          <w:color w:val="auto"/>
          <w:sz w:val="32"/>
          <w:szCs w:val="32"/>
        </w:rPr>
        <w:t>提升工程土方回填利用比例</w:t>
      </w:r>
      <w:r>
        <w:rPr>
          <w:rFonts w:hint="eastAsia" w:ascii="Times New Roman" w:hAnsi="Times New Roman" w:eastAsia="仿宋_GB2312" w:cs="Times New Roman"/>
          <w:color w:val="auto"/>
          <w:sz w:val="32"/>
          <w:szCs w:val="32"/>
        </w:rPr>
        <w:t>，开展工程土方综合利用，探索土方资源“优土优用”分类处置方式。</w:t>
      </w:r>
    </w:p>
    <w:p w14:paraId="720AA592">
      <w:pPr>
        <w:spacing w:line="580" w:lineRule="exact"/>
        <w:ind w:firstLine="643" w:firstLineChars="200"/>
        <w:outlineLvl w:val="2"/>
        <w:rPr>
          <w:rFonts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rPr>
        <w:t>推进工业固体废物高水平利用处置。</w:t>
      </w:r>
      <w:r>
        <w:rPr>
          <w:rFonts w:hint="eastAsia" w:ascii="Times New Roman" w:hAnsi="Times New Roman" w:eastAsia="仿宋_GB2312" w:cs="Times New Roman"/>
          <w:color w:val="auto"/>
          <w:sz w:val="32"/>
          <w:szCs w:val="32"/>
        </w:rPr>
        <w:t xml:space="preserve">以“减量化、资源化、无害化”为原则，推进一般工业固体废物综合利用及规范处置。推动重点产废单位开展园区、 厂区内工业固废循环利用。建立健全各类废弃物回收利用体系， 推动电子废弃物、废旧塑料、废弃日化品等固体废物回收循环利用。到 </w:t>
      </w:r>
      <w:r>
        <w:rPr>
          <w:rFonts w:ascii="Times New Roman" w:hAnsi="Times New Roman" w:eastAsia="仿宋_GB2312" w:cs="Times New Roman"/>
          <w:color w:val="auto"/>
          <w:sz w:val="32"/>
          <w:szCs w:val="32"/>
        </w:rPr>
        <w:t xml:space="preserve">2030 </w:t>
      </w:r>
      <w:r>
        <w:rPr>
          <w:rFonts w:hint="eastAsia" w:ascii="Times New Roman" w:hAnsi="Times New Roman" w:eastAsia="仿宋_GB2312" w:cs="Times New Roman"/>
          <w:color w:val="auto"/>
          <w:sz w:val="32"/>
          <w:szCs w:val="32"/>
        </w:rPr>
        <w:t xml:space="preserve">年一般工业固废综合利用率不低于 </w:t>
      </w:r>
      <w:r>
        <w:rPr>
          <w:rFonts w:ascii="Times New Roman" w:hAnsi="Times New Roman" w:eastAsia="仿宋_GB2312" w:cs="Times New Roman"/>
          <w:color w:val="auto"/>
          <w:sz w:val="32"/>
          <w:szCs w:val="32"/>
        </w:rPr>
        <w:t>95%</w:t>
      </w:r>
      <w:r>
        <w:rPr>
          <w:rFonts w:hint="eastAsia" w:ascii="Times New Roman" w:hAnsi="Times New Roman" w:eastAsia="仿宋_GB2312" w:cs="Times New Roman"/>
          <w:color w:val="auto"/>
          <w:sz w:val="32"/>
          <w:szCs w:val="32"/>
        </w:rPr>
        <w:t>。</w:t>
      </w:r>
      <w:r>
        <w:rPr>
          <w:rFonts w:hint="eastAsia" w:ascii="仿宋_GB2312" w:hAnsi="仿宋_GB2312" w:eastAsia="仿宋_GB2312" w:cs="仿宋_GB2312"/>
          <w:color w:val="auto"/>
          <w:sz w:val="32"/>
          <w:szCs w:val="32"/>
        </w:rPr>
        <w:t>深化危险废物“五即”规范化建设，实现电子标签“一码贯通”全过程闭环监管，不断提升危险废物信息化监管水平。持续完善全区“危险废物小微收集平台”、“小型医疗机构医疗废物收运”体系建设，进一步提升全区危险废物收集处置能力。</w:t>
      </w:r>
    </w:p>
    <w:p w14:paraId="661BF769">
      <w:pPr>
        <w:spacing w:line="580" w:lineRule="exact"/>
        <w:ind w:firstLine="643" w:firstLineChars="200"/>
        <w:outlineLvl w:val="0"/>
        <w:rPr>
          <w:rFonts w:hint="eastAsia" w:ascii="Times New Roman" w:hAnsi="Times New Roman" w:eastAsia="黑体" w:cs="Times New Roman"/>
          <w:b/>
          <w:bCs/>
          <w:color w:val="auto"/>
          <w:sz w:val="32"/>
          <w:szCs w:val="32"/>
        </w:rPr>
      </w:pPr>
      <w:bookmarkStart w:id="53" w:name="_Toc18127"/>
      <w:r>
        <w:rPr>
          <w:rFonts w:hint="eastAsia" w:ascii="Times New Roman" w:hAnsi="Times New Roman" w:eastAsia="黑体" w:cs="Times New Roman"/>
          <w:b/>
          <w:bCs/>
          <w:color w:val="auto"/>
          <w:sz w:val="32"/>
          <w:szCs w:val="32"/>
        </w:rPr>
        <w:t>六、强化保护修复，不断提升生态宜居水平</w:t>
      </w:r>
      <w:bookmarkEnd w:id="53"/>
    </w:p>
    <w:bookmarkEnd w:id="49"/>
    <w:p w14:paraId="02922817">
      <w:pPr>
        <w:spacing w:line="580" w:lineRule="exact"/>
        <w:ind w:firstLine="643" w:firstLineChars="200"/>
        <w:outlineLvl w:val="1"/>
        <w:rPr>
          <w:rFonts w:hint="eastAsia" w:ascii="Times New Roman" w:hAnsi="Times New Roman" w:eastAsia="楷体_GB2312" w:cs="Times New Roman"/>
          <w:b/>
          <w:bCs/>
          <w:color w:val="auto"/>
          <w:sz w:val="32"/>
          <w:szCs w:val="32"/>
        </w:rPr>
      </w:pPr>
      <w:bookmarkStart w:id="54" w:name="_Toc23172"/>
      <w:r>
        <w:rPr>
          <w:rFonts w:hint="eastAsia" w:ascii="Times New Roman" w:hAnsi="Times New Roman" w:eastAsia="楷体_GB2312" w:cs="Times New Roman"/>
          <w:b/>
          <w:bCs/>
          <w:color w:val="auto"/>
          <w:sz w:val="32"/>
          <w:szCs w:val="32"/>
        </w:rPr>
        <w:t>（一）</w:t>
      </w:r>
      <w:bookmarkEnd w:id="1"/>
      <w:bookmarkEnd w:id="2"/>
      <w:r>
        <w:rPr>
          <w:rFonts w:hint="eastAsia" w:ascii="Times New Roman" w:hAnsi="Times New Roman" w:eastAsia="楷体_GB2312" w:cs="Times New Roman"/>
          <w:b/>
          <w:bCs/>
          <w:color w:val="auto"/>
          <w:sz w:val="32"/>
          <w:szCs w:val="32"/>
        </w:rPr>
        <w:t>加强生态系统保护与修复</w:t>
      </w:r>
      <w:bookmarkEnd w:id="54"/>
    </w:p>
    <w:p w14:paraId="38C62F4F">
      <w:pPr>
        <w:spacing w:line="580" w:lineRule="exact"/>
        <w:ind w:firstLine="643" w:firstLineChars="200"/>
        <w:rPr>
          <w:rFonts w:hint="eastAsia" w:ascii="仿宋_GB2312" w:hAnsi="仿宋_GB2312" w:eastAsia="仿宋_GB2312" w:cs="仿宋_GB2312"/>
          <w:color w:val="auto"/>
          <w:sz w:val="32"/>
          <w:szCs w:val="32"/>
        </w:rPr>
      </w:pPr>
      <w:r>
        <w:rPr>
          <w:rFonts w:hint="eastAsia" w:ascii="Times New Roman" w:hAnsi="Times New Roman" w:eastAsia="仿宋_GB2312" w:cs="Times New Roman"/>
          <w:b/>
          <w:bCs/>
          <w:color w:val="auto"/>
          <w:sz w:val="32"/>
          <w:szCs w:val="32"/>
        </w:rPr>
        <w:t>强化重要生态空间保护。</w:t>
      </w:r>
      <w:r>
        <w:rPr>
          <w:rFonts w:hint="eastAsia" w:ascii="仿宋_GB2312" w:hAnsi="仿宋_GB2312" w:eastAsia="仿宋_GB2312" w:cs="仿宋_GB2312"/>
          <w:color w:val="auto"/>
          <w:sz w:val="32"/>
          <w:szCs w:val="32"/>
        </w:rPr>
        <w:t>严格国土空间用途管制，严守耕地和永久基本农田、生态保护红线、城镇开发边界三条控制线，深化优化城镇开发边界和永久基本农田整体布局。确保生态功能不降低、永久基本农田面积不减少、开发边界不突破。严格河湖水域岸线空间管控，新增河湖面积完成市考核任务。</w:t>
      </w:r>
    </w:p>
    <w:p w14:paraId="685E2C13">
      <w:pPr>
        <w:spacing w:line="580" w:lineRule="exact"/>
        <w:ind w:firstLine="643" w:firstLineChars="200"/>
        <w:rPr>
          <w:rFonts w:hint="eastAsia" w:ascii="仿宋_GB2312" w:hAnsi="仿宋_GB2312" w:eastAsia="仿宋_GB2312" w:cs="仿宋_GB2312"/>
          <w:color w:val="auto"/>
          <w:sz w:val="32"/>
          <w:szCs w:val="32"/>
        </w:rPr>
      </w:pPr>
      <w:r>
        <w:rPr>
          <w:rFonts w:hint="eastAsia" w:ascii="Times New Roman" w:hAnsi="Times New Roman" w:eastAsia="仿宋_GB2312" w:cs="Times New Roman"/>
          <w:b/>
          <w:bCs/>
          <w:color w:val="auto"/>
          <w:sz w:val="32"/>
          <w:szCs w:val="32"/>
        </w:rPr>
        <w:t>夯实自然生态基底</w:t>
      </w:r>
      <w:r>
        <w:rPr>
          <w:rFonts w:hint="eastAsia" w:ascii="Times New Roman" w:hAnsi="Times New Roman" w:eastAsia="仿宋_GB2312" w:cs="Times New Roman"/>
          <w:color w:val="auto"/>
          <w:sz w:val="32"/>
          <w:szCs w:val="32"/>
        </w:rPr>
        <w:t>。</w:t>
      </w:r>
      <w:r>
        <w:rPr>
          <w:rFonts w:hint="eastAsia" w:ascii="仿宋_GB2312" w:hAnsi="仿宋_GB2312" w:eastAsia="仿宋_GB2312" w:cs="仿宋_GB2312"/>
          <w:color w:val="auto"/>
          <w:sz w:val="32"/>
          <w:szCs w:val="32"/>
        </w:rPr>
        <w:t>聚焦生态网络空间和生态复合单元等重点区域，推进植树造林，实施近郊绿环、市级生态走廊、生态间隔带等建设，实现生态系统碳汇能力巩固提升。加大森林抚育力度，积极推进低效林改造，持续提升森林品质。到2030年，初步建成品质化、精细化城市森林生态系统。加强湿地保护，聚焦城镇地区，营造具有生物多样性、雨洪调蓄功能的</w:t>
      </w:r>
      <w:r>
        <w:rPr>
          <w:rFonts w:ascii="仿宋_GB2312" w:hAnsi="仿宋_GB2312" w:eastAsia="仿宋_GB2312" w:cs="仿宋_GB2312"/>
          <w:color w:val="auto"/>
          <w:sz w:val="32"/>
          <w:szCs w:val="32"/>
        </w:rPr>
        <w:t>小微湿地</w:t>
      </w:r>
      <w:r>
        <w:rPr>
          <w:rFonts w:hint="eastAsia" w:ascii="仿宋_GB2312" w:hAnsi="仿宋_GB2312" w:eastAsia="仿宋_GB2312" w:cs="仿宋_GB2312"/>
          <w:color w:val="auto"/>
          <w:sz w:val="32"/>
          <w:szCs w:val="32"/>
        </w:rPr>
        <w:t>生境。</w:t>
      </w:r>
    </w:p>
    <w:p w14:paraId="14208BF0">
      <w:pPr>
        <w:spacing w:line="580" w:lineRule="exact"/>
        <w:ind w:firstLine="643"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rPr>
        <w:t>强化生态保护修复监管。</w:t>
      </w:r>
      <w:r>
        <w:rPr>
          <w:rFonts w:hint="eastAsia" w:ascii="Times New Roman" w:hAnsi="Times New Roman" w:eastAsia="仿宋_GB2312" w:cs="Times New Roman"/>
          <w:color w:val="auto"/>
          <w:sz w:val="32"/>
          <w:szCs w:val="32"/>
        </w:rPr>
        <w:t>实施“绿盾”行动，强化重要生态空间监督，依法查处各类生态破坏问题。配合开展生态状况变化调查、生态保护红线有关监督监测和保护成效评估。加强生态保护修复项目的监督管理，严防生态保护修复的形式主义。</w:t>
      </w:r>
    </w:p>
    <w:p w14:paraId="3F27D745">
      <w:pPr>
        <w:spacing w:line="580" w:lineRule="exact"/>
        <w:ind w:firstLine="643" w:firstLineChars="200"/>
        <w:outlineLvl w:val="2"/>
        <w:rPr>
          <w:rFonts w:ascii="Times New Roman" w:hAnsi="Times New Roman" w:eastAsia="仿宋_GB2312" w:cs="Times New Roman"/>
          <w:strike/>
          <w:color w:val="auto"/>
          <w:sz w:val="32"/>
          <w:szCs w:val="32"/>
        </w:rPr>
      </w:pPr>
      <w:r>
        <w:rPr>
          <w:rFonts w:ascii="Times New Roman" w:hAnsi="Times New Roman" w:eastAsia="仿宋_GB2312" w:cs="Times New Roman"/>
          <w:b/>
          <w:bCs/>
          <w:color w:val="auto"/>
          <w:sz w:val="32"/>
          <w:szCs w:val="32"/>
        </w:rPr>
        <w:t>加强生物多样性保护</w:t>
      </w:r>
      <w:r>
        <w:rPr>
          <w:rFonts w:hint="eastAsia" w:ascii="Times New Roman" w:hAnsi="Times New Roman" w:eastAsia="仿宋_GB2312" w:cs="Times New Roman"/>
          <w:b/>
          <w:bCs/>
          <w:color w:val="auto"/>
          <w:sz w:val="32"/>
          <w:szCs w:val="32"/>
        </w:rPr>
        <w:t>。</w:t>
      </w:r>
      <w:r>
        <w:rPr>
          <w:rFonts w:hint="eastAsia" w:ascii="Times New Roman" w:hAnsi="Times New Roman" w:eastAsia="仿宋_GB2312" w:cs="Times New Roman"/>
          <w:color w:val="auto"/>
          <w:sz w:val="32"/>
          <w:szCs w:val="32"/>
        </w:rPr>
        <w:t>完成</w:t>
      </w:r>
      <w:r>
        <w:rPr>
          <w:rFonts w:ascii="Times New Roman" w:hAnsi="Times New Roman" w:eastAsia="仿宋_GB2312" w:cs="Times New Roman"/>
          <w:color w:val="auto"/>
          <w:sz w:val="32"/>
          <w:szCs w:val="32"/>
        </w:rPr>
        <w:t>全区生物多样性调查评估</w:t>
      </w:r>
      <w:r>
        <w:rPr>
          <w:rFonts w:hint="eastAsia" w:ascii="Times New Roman" w:hAnsi="Times New Roman" w:eastAsia="仿宋_GB2312" w:cs="Times New Roman"/>
          <w:color w:val="auto"/>
          <w:sz w:val="32"/>
          <w:szCs w:val="32"/>
        </w:rPr>
        <w:t>，推进生物多样性监测体系建设，加强重点野生动植物保护。持续开展现有陆生野生动物栖息地资源监测与保护。强化执法监督，严厉打击珍稀濒危野生动植物走私、猎捕、采集、运输、交易等违法犯罪行为。</w:t>
      </w:r>
    </w:p>
    <w:p w14:paraId="21B1B82F">
      <w:pPr>
        <w:spacing w:line="580" w:lineRule="exact"/>
        <w:ind w:firstLine="643" w:firstLineChars="200"/>
        <w:outlineLvl w:val="1"/>
        <w:rPr>
          <w:rFonts w:hint="eastAsia" w:ascii="Times New Roman" w:hAnsi="Times New Roman" w:eastAsia="楷体_GB2312" w:cs="Times New Roman"/>
          <w:b/>
          <w:bCs/>
          <w:color w:val="auto"/>
          <w:sz w:val="32"/>
          <w:szCs w:val="32"/>
        </w:rPr>
      </w:pPr>
      <w:bookmarkStart w:id="55" w:name="_Toc26358"/>
      <w:r>
        <w:rPr>
          <w:rFonts w:hint="eastAsia" w:ascii="Times New Roman" w:hAnsi="Times New Roman" w:eastAsia="楷体_GB2312" w:cs="Times New Roman"/>
          <w:b/>
          <w:bCs/>
          <w:color w:val="auto"/>
          <w:sz w:val="32"/>
          <w:szCs w:val="32"/>
        </w:rPr>
        <w:t>（二）建设生态宜居家园</w:t>
      </w:r>
      <w:bookmarkEnd w:id="55"/>
    </w:p>
    <w:p w14:paraId="561C30C8">
      <w:pPr>
        <w:ind w:firstLine="643"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rPr>
        <w:t>深入</w:t>
      </w:r>
      <w:r>
        <w:rPr>
          <w:rFonts w:ascii="Times New Roman" w:hAnsi="Times New Roman" w:eastAsia="仿宋_GB2312" w:cs="Times New Roman"/>
          <w:b/>
          <w:bCs/>
          <w:color w:val="auto"/>
          <w:sz w:val="32"/>
          <w:szCs w:val="32"/>
        </w:rPr>
        <w:t>推进</w:t>
      </w:r>
      <w:r>
        <w:rPr>
          <w:rFonts w:hint="eastAsia" w:ascii="Times New Roman" w:hAnsi="Times New Roman" w:eastAsia="仿宋_GB2312" w:cs="Times New Roman"/>
          <w:b/>
          <w:bCs/>
          <w:color w:val="auto"/>
          <w:sz w:val="32"/>
          <w:szCs w:val="32"/>
        </w:rPr>
        <w:t>“</w:t>
      </w:r>
      <w:r>
        <w:rPr>
          <w:rFonts w:ascii="Times New Roman" w:hAnsi="Times New Roman" w:eastAsia="仿宋_GB2312" w:cs="Times New Roman"/>
          <w:b/>
          <w:bCs/>
          <w:color w:val="auto"/>
          <w:sz w:val="32"/>
          <w:szCs w:val="32"/>
        </w:rPr>
        <w:t>公园城市</w:t>
      </w:r>
      <w:r>
        <w:rPr>
          <w:rFonts w:hint="eastAsia" w:ascii="Times New Roman" w:hAnsi="Times New Roman" w:eastAsia="仿宋_GB2312" w:cs="Times New Roman"/>
          <w:b/>
          <w:bCs/>
          <w:color w:val="auto"/>
          <w:sz w:val="32"/>
          <w:szCs w:val="32"/>
        </w:rPr>
        <w:t>”</w:t>
      </w:r>
      <w:r>
        <w:rPr>
          <w:rFonts w:ascii="Times New Roman" w:hAnsi="Times New Roman" w:eastAsia="仿宋_GB2312" w:cs="Times New Roman"/>
          <w:b/>
          <w:bCs/>
          <w:color w:val="auto"/>
          <w:sz w:val="32"/>
          <w:szCs w:val="32"/>
        </w:rPr>
        <w:t>建设</w:t>
      </w:r>
      <w:r>
        <w:rPr>
          <w:rFonts w:hint="eastAsia" w:ascii="Times New Roman" w:hAnsi="Times New Roman" w:eastAsia="仿宋_GB2312" w:cs="Times New Roman"/>
          <w:b/>
          <w:bCs/>
          <w:color w:val="auto"/>
          <w:sz w:val="32"/>
          <w:szCs w:val="32"/>
        </w:rPr>
        <w:t>。</w:t>
      </w:r>
      <w:r>
        <w:rPr>
          <w:rFonts w:ascii="Times New Roman" w:hAnsi="Times New Roman" w:eastAsia="仿宋_GB2312" w:cs="Times New Roman"/>
          <w:color w:val="auto"/>
          <w:sz w:val="32"/>
          <w:szCs w:val="32"/>
        </w:rPr>
        <w:t>围</w:t>
      </w:r>
      <w:r>
        <w:rPr>
          <w:rFonts w:hint="eastAsia" w:ascii="Times New Roman" w:hAnsi="Times New Roman" w:eastAsia="仿宋_GB2312" w:cs="Times New Roman"/>
          <w:color w:val="auto"/>
          <w:sz w:val="32"/>
          <w:szCs w:val="32"/>
        </w:rPr>
        <w:t>绕全市新一轮“千座公园”建设</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建成一批高品质公园，</w:t>
      </w:r>
      <w:r>
        <w:rPr>
          <w:rFonts w:ascii="Times New Roman" w:hAnsi="Times New Roman" w:eastAsia="仿宋_GB2312" w:cs="Times New Roman"/>
          <w:color w:val="auto"/>
          <w:sz w:val="32"/>
          <w:szCs w:val="32"/>
        </w:rPr>
        <w:t>重点推进九星公园、晓烟湖公园等大型公园绿地建设</w:t>
      </w:r>
      <w:r>
        <w:rPr>
          <w:rFonts w:hint="eastAsia" w:ascii="Times New Roman" w:hAnsi="Times New Roman" w:eastAsia="仿宋_GB2312" w:cs="Times New Roman"/>
          <w:color w:val="auto"/>
          <w:sz w:val="32"/>
          <w:szCs w:val="32"/>
        </w:rPr>
        <w:t>。逐步推进外环绿道主脉贯通工程</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打造一批覆盖社区、</w:t>
      </w:r>
      <w:r>
        <w:rPr>
          <w:rFonts w:ascii="Times New Roman" w:hAnsi="Times New Roman" w:eastAsia="仿宋_GB2312" w:cs="Times New Roman"/>
          <w:color w:val="auto"/>
          <w:sz w:val="32"/>
          <w:szCs w:val="32"/>
        </w:rPr>
        <w:t xml:space="preserve"> 校园、 商圈和街区的生境花园</w:t>
      </w:r>
      <w:r>
        <w:rPr>
          <w:rFonts w:hint="eastAsia" w:ascii="Times New Roman" w:hAnsi="Times New Roman" w:eastAsia="仿宋_GB2312" w:cs="Times New Roman"/>
          <w:color w:val="auto"/>
          <w:sz w:val="32"/>
          <w:szCs w:val="32"/>
        </w:rPr>
        <w:t>，构建“生境＋”复合生</w:t>
      </w:r>
      <w:r>
        <w:rPr>
          <w:rFonts w:ascii="Times New Roman" w:hAnsi="Times New Roman" w:eastAsia="仿宋_GB2312" w:cs="Times New Roman"/>
          <w:color w:val="auto"/>
          <w:sz w:val="32"/>
          <w:szCs w:val="32"/>
        </w:rPr>
        <w:t>境系统</w:t>
      </w:r>
      <w:r>
        <w:rPr>
          <w:rFonts w:hint="eastAsia" w:ascii="Times New Roman" w:hAnsi="Times New Roman" w:eastAsia="仿宋_GB2312" w:cs="Times New Roman"/>
          <w:color w:val="auto"/>
          <w:sz w:val="32"/>
          <w:szCs w:val="32"/>
        </w:rPr>
        <w:t>。充分利用城市边角地、灰色基础设施等空间增加绿量。促进</w:t>
      </w:r>
      <w:r>
        <w:rPr>
          <w:rFonts w:ascii="Times New Roman" w:hAnsi="Times New Roman" w:eastAsia="仿宋_GB2312" w:cs="Times New Roman"/>
          <w:color w:val="auto"/>
          <w:sz w:val="32"/>
          <w:szCs w:val="32"/>
        </w:rPr>
        <w:t>公园和城市空间无界融合</w:t>
      </w:r>
      <w:r>
        <w:rPr>
          <w:rFonts w:hint="eastAsia" w:ascii="Times New Roman" w:hAnsi="Times New Roman" w:eastAsia="仿宋_GB2312" w:cs="Times New Roman"/>
          <w:color w:val="auto"/>
          <w:sz w:val="32"/>
          <w:szCs w:val="32"/>
        </w:rPr>
        <w:t>，丰富“公园</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 xml:space="preserve">”主体活动类型，进一步提升24小时开放公园比例，鼓励单位附属绿色空间开放共享。到 </w:t>
      </w:r>
      <w:r>
        <w:rPr>
          <w:rFonts w:ascii="Times New Roman" w:hAnsi="Times New Roman" w:eastAsia="仿宋_GB2312" w:cs="Times New Roman"/>
          <w:color w:val="auto"/>
          <w:sz w:val="32"/>
          <w:szCs w:val="32"/>
        </w:rPr>
        <w:t xml:space="preserve">2030 </w:t>
      </w:r>
      <w:r>
        <w:rPr>
          <w:rFonts w:hint="eastAsia" w:ascii="Times New Roman" w:hAnsi="Times New Roman" w:eastAsia="仿宋_GB2312" w:cs="Times New Roman"/>
          <w:color w:val="auto"/>
          <w:sz w:val="32"/>
          <w:szCs w:val="32"/>
        </w:rPr>
        <w:t>年初步建成“自然共生、城园共融、人民共享”的公园城市。</w:t>
      </w:r>
    </w:p>
    <w:p w14:paraId="4948249B">
      <w:pPr>
        <w:spacing w:line="580" w:lineRule="exact"/>
        <w:ind w:firstLine="643" w:firstLineChars="200"/>
        <w:outlineLvl w:val="2"/>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rPr>
        <w:t>提升城区人居环境品质。</w:t>
      </w:r>
      <w:r>
        <w:rPr>
          <w:rFonts w:hint="eastAsia" w:ascii="Times New Roman" w:hAnsi="Times New Roman" w:eastAsia="仿宋_GB2312" w:cs="Times New Roman"/>
          <w:color w:val="auto"/>
          <w:sz w:val="32"/>
          <w:szCs w:val="32"/>
        </w:rPr>
        <w:t>结合城市更新行动，开展市政基础设施数智化升级和绿色化转型。优化“十五分钟生活圈”要素配置和空间布局，提升社区居民生活方式、运营管理、楼宇建筑、基础设施等绿色低碳及生物多样性友好水平。</w:t>
      </w:r>
      <w:r>
        <w:rPr>
          <w:rFonts w:hint="eastAsia" w:ascii="仿宋_GB2312" w:hAnsi="仿宋_GB2312" w:eastAsia="仿宋_GB2312" w:cs="仿宋_GB2312"/>
          <w:color w:val="auto"/>
          <w:sz w:val="32"/>
          <w:szCs w:val="32"/>
        </w:rPr>
        <w:t>深入实施噪声污染防治专项行动，健全常态长效的治理机制，到2030年声环境功能区夜间达标率达到</w:t>
      </w:r>
      <w:r>
        <w:rPr>
          <w:rFonts w:hint="eastAsia" w:ascii="仿宋_GB2312" w:hAnsi="仿宋_GB2312" w:eastAsia="仿宋_GB2312" w:cs="仿宋_GB2312"/>
          <w:color w:val="auto"/>
          <w:sz w:val="32"/>
          <w:szCs w:val="32"/>
          <w:lang w:val="en-US" w:eastAsia="zh-CN"/>
        </w:rPr>
        <w:t>84</w:t>
      </w:r>
      <w:r>
        <w:rPr>
          <w:rFonts w:hint="eastAsia" w:ascii="仿宋_GB2312" w:hAnsi="仿宋_GB2312" w:eastAsia="仿宋_GB2312" w:cs="仿宋_GB2312"/>
          <w:color w:val="auto"/>
          <w:sz w:val="32"/>
          <w:szCs w:val="32"/>
        </w:rPr>
        <w:t>%。</w:t>
      </w:r>
      <w:r>
        <w:rPr>
          <w:rFonts w:hint="eastAsia" w:ascii="Times New Roman" w:hAnsi="Times New Roman" w:eastAsia="仿宋_GB2312" w:cs="Times New Roman"/>
          <w:color w:val="auto"/>
          <w:sz w:val="32"/>
          <w:szCs w:val="32"/>
        </w:rPr>
        <w:t>持续推进城市开发空间扩围提质行动，配合“一江一河”世界级滨水空间的功能提升和贯通提质，深入推进公共附属空间等区域开放。</w:t>
      </w:r>
    </w:p>
    <w:p w14:paraId="555D89D9">
      <w:pPr>
        <w:spacing w:line="580" w:lineRule="exact"/>
        <w:ind w:firstLine="643" w:firstLineChars="200"/>
        <w:rPr>
          <w:rFonts w:ascii="仿宋_GB2312" w:hAnsi="Times New Roman" w:eastAsia="仿宋_GB2312" w:cs="Times New Roman"/>
          <w:strike/>
          <w:color w:val="auto"/>
          <w:sz w:val="32"/>
          <w:szCs w:val="32"/>
        </w:rPr>
      </w:pPr>
      <w:r>
        <w:rPr>
          <w:rFonts w:hint="eastAsia" w:ascii="Times New Roman" w:hAnsi="Times New Roman" w:eastAsia="仿宋_GB2312" w:cs="Times New Roman"/>
          <w:b/>
          <w:bCs/>
          <w:color w:val="auto"/>
          <w:sz w:val="32"/>
          <w:szCs w:val="32"/>
        </w:rPr>
        <w:t>打造生态宜人美丽乡村</w:t>
      </w:r>
      <w:r>
        <w:rPr>
          <w:rFonts w:hint="eastAsia" w:ascii="仿宋_GB2312" w:hAnsi="Times New Roman" w:eastAsia="仿宋_GB2312" w:cs="Times New Roman"/>
          <w:b/>
          <w:bCs/>
          <w:color w:val="auto"/>
          <w:sz w:val="32"/>
          <w:szCs w:val="32"/>
        </w:rPr>
        <w:t>。</w:t>
      </w:r>
      <w:r>
        <w:rPr>
          <w:rFonts w:hint="eastAsia" w:ascii="仿宋_GB2312" w:hAnsi="Times New Roman" w:eastAsia="仿宋_GB2312" w:cs="Times New Roman"/>
          <w:color w:val="auto"/>
          <w:sz w:val="32"/>
          <w:szCs w:val="32"/>
        </w:rPr>
        <w:t>推进农村生活污水治理（管控）全覆盖，开展已建农村污水处理设施降本增效改造。完善农业面源污染监测评估体系，开展农业面源污染重点区域治理。推进现代设施农业生态绿色发展，建设“零碳排放零污染”试点。推进化肥农药科学使用增效以及农作物秸秆、农膜及农药包装等废弃物资源化利用。构建绿色健康的畜禽养殖和水产养殖模式，建成一批生态农场样板，规模化淡水水产养殖场尾水实现达标排放。</w:t>
      </w:r>
    </w:p>
    <w:p w14:paraId="31AC79C2">
      <w:pPr>
        <w:spacing w:line="580" w:lineRule="exact"/>
        <w:ind w:firstLine="643" w:firstLineChars="200"/>
        <w:outlineLvl w:val="0"/>
        <w:rPr>
          <w:rFonts w:hint="eastAsia" w:ascii="Times New Roman" w:hAnsi="Times New Roman" w:eastAsia="黑体" w:cs="Times New Roman"/>
          <w:b/>
          <w:bCs/>
          <w:color w:val="auto"/>
          <w:sz w:val="32"/>
          <w:szCs w:val="32"/>
        </w:rPr>
      </w:pPr>
      <w:bookmarkStart w:id="56" w:name="_Toc201845046"/>
      <w:bookmarkStart w:id="57" w:name="_Toc199405447"/>
      <w:bookmarkStart w:id="58" w:name="_Toc989"/>
      <w:r>
        <w:rPr>
          <w:rFonts w:hint="eastAsia" w:ascii="Times New Roman" w:hAnsi="Times New Roman" w:eastAsia="黑体" w:cs="Times New Roman"/>
          <w:b/>
          <w:bCs/>
          <w:color w:val="auto"/>
          <w:sz w:val="32"/>
          <w:szCs w:val="32"/>
        </w:rPr>
        <w:t>七、</w:t>
      </w:r>
      <w:bookmarkEnd w:id="56"/>
      <w:bookmarkEnd w:id="57"/>
      <w:r>
        <w:rPr>
          <w:rFonts w:hint="eastAsia" w:ascii="Times New Roman" w:hAnsi="Times New Roman" w:eastAsia="黑体" w:cs="Times New Roman"/>
          <w:b/>
          <w:bCs/>
          <w:color w:val="auto"/>
          <w:sz w:val="32"/>
          <w:szCs w:val="32"/>
        </w:rPr>
        <w:t>加强风险防控，</w:t>
      </w:r>
      <w:r>
        <w:rPr>
          <w:rFonts w:hint="eastAsia" w:ascii="Times New Roman" w:hAnsi="Times New Roman" w:eastAsia="黑体" w:cs="Times New Roman"/>
          <w:b/>
          <w:bCs/>
          <w:color w:val="auto"/>
          <w:sz w:val="32"/>
          <w:szCs w:val="32"/>
          <w:lang w:eastAsia="zh-CN"/>
        </w:rPr>
        <w:t>切实</w:t>
      </w:r>
      <w:r>
        <w:rPr>
          <w:rFonts w:hint="eastAsia" w:ascii="Times New Roman" w:hAnsi="Times New Roman" w:eastAsia="黑体" w:cs="Times New Roman"/>
          <w:b/>
          <w:bCs/>
          <w:color w:val="auto"/>
          <w:sz w:val="32"/>
          <w:szCs w:val="32"/>
        </w:rPr>
        <w:t>筑牢生态安全屏障</w:t>
      </w:r>
      <w:bookmarkEnd w:id="58"/>
    </w:p>
    <w:p w14:paraId="46A410F5">
      <w:pPr>
        <w:spacing w:line="58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牢固树立环境风险防控底线思维，完善环境风险常态化管理体系，强化危险废物、核与辐射、重金属等环境风险管控，加强新污杂物治理，健全环境应急体系，保障区域生态</w:t>
      </w:r>
      <w:r>
        <w:rPr>
          <w:rFonts w:ascii="Times New Roman" w:hAnsi="Times New Roman" w:eastAsia="仿宋_GB2312" w:cs="Times New Roman"/>
          <w:color w:val="auto"/>
          <w:sz w:val="32"/>
          <w:szCs w:val="32"/>
        </w:rPr>
        <w:t>环境安全。</w:t>
      </w:r>
    </w:p>
    <w:p w14:paraId="2C22B7B5">
      <w:pPr>
        <w:spacing w:line="580" w:lineRule="exact"/>
        <w:ind w:firstLine="643" w:firstLineChars="200"/>
        <w:outlineLvl w:val="2"/>
        <w:rPr>
          <w:rFonts w:hint="eastAsia" w:ascii="仿宋_GB2312" w:hAnsi="仿宋_GB2312" w:eastAsia="仿宋_GB2312" w:cs="仿宋_GB2312"/>
          <w:color w:val="auto"/>
          <w:sz w:val="32"/>
          <w:szCs w:val="32"/>
        </w:rPr>
      </w:pPr>
      <w:r>
        <w:rPr>
          <w:rFonts w:hint="eastAsia" w:ascii="Times New Roman" w:hAnsi="Times New Roman" w:eastAsia="楷体_GB2312" w:cs="Times New Roman"/>
          <w:b/>
          <w:bCs/>
          <w:color w:val="auto"/>
          <w:sz w:val="32"/>
          <w:szCs w:val="32"/>
        </w:rPr>
        <w:t>（一）严密防控生态环境风险。</w:t>
      </w:r>
      <w:r>
        <w:rPr>
          <w:rFonts w:hint="eastAsia" w:ascii="仿宋_GB2312" w:hAnsi="仿宋_GB2312" w:eastAsia="仿宋_GB2312" w:cs="仿宋_GB2312"/>
          <w:color w:val="auto"/>
          <w:sz w:val="32"/>
          <w:szCs w:val="32"/>
        </w:rPr>
        <w:t>坚持预防为主，加强环境风险常态化管理。加强集中式饮用水源地、重点产业园区、重点危废产生单位、辐射设施等敏感区域的环境风险隐患排查与整改治理。完善突发环境事件应急体系，提升生态安全风险研判评估、监测预警、应急响应和处置能力；强化部门间、区域间生态环境风险信息共享和协同处置，提升生态环境风险防控的信息化、智能化水平。</w:t>
      </w:r>
    </w:p>
    <w:p w14:paraId="549FBF51">
      <w:pPr>
        <w:spacing w:line="580" w:lineRule="exact"/>
        <w:ind w:firstLine="643" w:firstLineChars="200"/>
        <w:outlineLvl w:val="2"/>
        <w:rPr>
          <w:rFonts w:hint="eastAsia" w:ascii="仿宋_GB2312" w:hAnsi="仿宋_GB2312" w:eastAsia="仿宋_GB2312" w:cs="仿宋_GB2312"/>
          <w:color w:val="auto"/>
          <w:sz w:val="32"/>
          <w:szCs w:val="32"/>
        </w:rPr>
      </w:pPr>
      <w:r>
        <w:rPr>
          <w:rFonts w:hint="eastAsia" w:ascii="Times New Roman" w:hAnsi="Times New Roman" w:eastAsia="楷体_GB2312" w:cs="Times New Roman"/>
          <w:b/>
          <w:bCs/>
          <w:color w:val="auto"/>
          <w:sz w:val="32"/>
          <w:szCs w:val="32"/>
        </w:rPr>
        <w:t>（二）保障核与辐射安全。</w:t>
      </w:r>
      <w:r>
        <w:rPr>
          <w:rFonts w:hint="eastAsia" w:ascii="仿宋_GB2312" w:hAnsi="仿宋_GB2312" w:eastAsia="仿宋_GB2312" w:cs="仿宋_GB2312"/>
          <w:color w:val="auto"/>
          <w:sz w:val="32"/>
          <w:szCs w:val="32"/>
        </w:rPr>
        <w:t>推进落实核技术利用单位分级分类监督管理，对列入重点监管名单的单位实施全覆盖检查。加强辐射安全许可证核发及相关证后管理。通过高风险移动放射源在线监控系统，建立放射源信息化跟踪和智能化监管体系。实施放射性废物全链条安全监管。修订和完善放射源失控等辐射事故应急处理预案，形成辐射应急物资储备机制并完善应急装备配置，提高核与辐射应急处置水平。</w:t>
      </w:r>
    </w:p>
    <w:p w14:paraId="7EA98E94">
      <w:pPr>
        <w:spacing w:line="580" w:lineRule="exact"/>
        <w:ind w:firstLine="643" w:firstLineChars="200"/>
        <w:rPr>
          <w:rFonts w:hint="eastAsia" w:ascii="仿宋_GB2312" w:hAnsi="仿宋_GB2312" w:eastAsia="仿宋_GB2312" w:cs="仿宋_GB2312"/>
          <w:color w:val="auto"/>
          <w:sz w:val="32"/>
          <w:szCs w:val="32"/>
        </w:rPr>
      </w:pPr>
      <w:r>
        <w:rPr>
          <w:rFonts w:hint="eastAsia" w:ascii="Times New Roman" w:hAnsi="Times New Roman" w:eastAsia="楷体_GB2312" w:cs="Times New Roman"/>
          <w:b/>
          <w:bCs/>
          <w:color w:val="auto"/>
          <w:sz w:val="32"/>
          <w:szCs w:val="32"/>
        </w:rPr>
        <w:t>（三）深化新污染物治理。</w:t>
      </w:r>
      <w:r>
        <w:rPr>
          <w:rFonts w:hint="eastAsia" w:ascii="仿宋_GB2312" w:hAnsi="仿宋_GB2312" w:eastAsia="仿宋_GB2312" w:cs="仿宋_GB2312"/>
          <w:color w:val="auto"/>
          <w:sz w:val="32"/>
          <w:szCs w:val="32"/>
        </w:rPr>
        <w:t>加快推动新污染物协同治理和环境风险管控体系建设，严格新化学物质环境管理登记和涉新污染物建设项目环评审批。加快在用化学物质环境风险筛查评估。开展饮用水源地保护区、废水和固废处理设施等重点区域、重点行业中检出的典型新污染物溯源分析和管控。加强微塑料污染治理。</w:t>
      </w:r>
    </w:p>
    <w:p w14:paraId="36A52551">
      <w:pPr>
        <w:spacing w:line="580" w:lineRule="exact"/>
        <w:ind w:firstLine="643" w:firstLineChars="200"/>
        <w:outlineLvl w:val="2"/>
        <w:rPr>
          <w:rFonts w:hint="eastAsia" w:ascii="仿宋_GB2312" w:hAnsi="仿宋_GB2312" w:eastAsia="仿宋_GB2312" w:cs="仿宋_GB2312"/>
          <w:color w:val="auto"/>
          <w:sz w:val="32"/>
          <w:szCs w:val="32"/>
        </w:rPr>
      </w:pPr>
      <w:r>
        <w:rPr>
          <w:rFonts w:hint="eastAsia" w:ascii="Times New Roman" w:hAnsi="Times New Roman" w:eastAsia="楷体_GB2312" w:cs="Times New Roman"/>
          <w:b/>
          <w:bCs/>
          <w:color w:val="auto"/>
          <w:sz w:val="32"/>
          <w:szCs w:val="32"/>
        </w:rPr>
        <w:t>（四）主动适应气候变化。</w:t>
      </w:r>
      <w:r>
        <w:rPr>
          <w:rFonts w:hint="eastAsia" w:ascii="仿宋_GB2312" w:hAnsi="仿宋_GB2312" w:eastAsia="仿宋_GB2312" w:cs="仿宋_GB2312"/>
          <w:color w:val="auto"/>
          <w:sz w:val="32"/>
          <w:szCs w:val="32"/>
        </w:rPr>
        <w:t>系统化全域推进海绵城市建设，加快构建“蓝绿灰管”多措并举的防洪排涝和城镇排水格局，持续推进黄浦江中上游堤防提升、黄浦江河口闸等工程。到2030年气候适应型城区基本建成。</w:t>
      </w:r>
    </w:p>
    <w:p w14:paraId="030F8BCC">
      <w:pPr>
        <w:spacing w:line="580" w:lineRule="exact"/>
        <w:ind w:firstLine="643" w:firstLineChars="200"/>
        <w:outlineLvl w:val="0"/>
        <w:rPr>
          <w:rFonts w:hint="eastAsia" w:ascii="Times New Roman" w:hAnsi="Times New Roman" w:eastAsia="黑体" w:cs="Times New Roman"/>
          <w:b/>
          <w:bCs/>
          <w:color w:val="auto"/>
          <w:sz w:val="32"/>
          <w:szCs w:val="32"/>
        </w:rPr>
      </w:pPr>
      <w:bookmarkStart w:id="59" w:name="_Toc201845047"/>
      <w:bookmarkStart w:id="60" w:name="_Toc199405448"/>
      <w:bookmarkStart w:id="61" w:name="_Toc23460"/>
      <w:r>
        <w:rPr>
          <w:rFonts w:hint="eastAsia" w:ascii="Times New Roman" w:hAnsi="Times New Roman" w:eastAsia="黑体" w:cs="Times New Roman"/>
          <w:b/>
          <w:bCs/>
          <w:color w:val="auto"/>
          <w:sz w:val="32"/>
          <w:szCs w:val="32"/>
        </w:rPr>
        <w:t>八、</w:t>
      </w:r>
      <w:bookmarkEnd w:id="59"/>
      <w:bookmarkEnd w:id="60"/>
      <w:r>
        <w:rPr>
          <w:rFonts w:hint="eastAsia" w:ascii="Times New Roman" w:hAnsi="Times New Roman" w:eastAsia="黑体" w:cs="Times New Roman"/>
          <w:b/>
          <w:bCs/>
          <w:color w:val="auto"/>
          <w:sz w:val="32"/>
          <w:szCs w:val="32"/>
        </w:rPr>
        <w:t>深化改革创新，不断促进环境治理体系现代化</w:t>
      </w:r>
      <w:bookmarkEnd w:id="61"/>
    </w:p>
    <w:p w14:paraId="773053A3">
      <w:pPr>
        <w:spacing w:line="580" w:lineRule="exact"/>
        <w:ind w:firstLine="643" w:firstLineChars="200"/>
        <w:outlineLvl w:val="1"/>
        <w:rPr>
          <w:rFonts w:hint="eastAsia" w:ascii="Times New Roman" w:hAnsi="Times New Roman" w:eastAsia="楷体_GB2312" w:cs="Times New Roman"/>
          <w:b/>
          <w:bCs/>
          <w:color w:val="auto"/>
          <w:sz w:val="32"/>
          <w:szCs w:val="32"/>
        </w:rPr>
      </w:pPr>
      <w:bookmarkStart w:id="62" w:name="_Toc10567"/>
      <w:r>
        <w:rPr>
          <w:rFonts w:hint="eastAsia" w:ascii="Times New Roman" w:hAnsi="Times New Roman" w:eastAsia="楷体_GB2312" w:cs="Times New Roman"/>
          <w:b/>
          <w:bCs/>
          <w:color w:val="auto"/>
          <w:sz w:val="32"/>
          <w:szCs w:val="32"/>
        </w:rPr>
        <w:t>（一）完善体制机制和政策供给</w:t>
      </w:r>
      <w:bookmarkEnd w:id="62"/>
    </w:p>
    <w:p w14:paraId="29F20DD4">
      <w:pPr>
        <w:spacing w:line="580" w:lineRule="exact"/>
        <w:ind w:firstLine="643" w:firstLineChars="200"/>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健全生态环保责任体系。</w:t>
      </w:r>
      <w:r>
        <w:rPr>
          <w:rFonts w:hint="eastAsia" w:ascii="仿宋_GB2312" w:hAnsi="仿宋_GB2312" w:eastAsia="仿宋_GB2312" w:cs="仿宋_GB2312"/>
          <w:color w:val="auto"/>
          <w:sz w:val="32"/>
          <w:szCs w:val="32"/>
        </w:rPr>
        <w:t>落实地方党政领导干部生态环境保护责任制，严格执行“生态环境保护工作责任清单”，深化落实河湖长制、林长制，压实各级各部门生态环境保护责任。持续发挥生态环保督察利剑作用，严格落实中央及市级生态环保督察问题及生态环境警示片问题整改；推进实施领导干部自然资源资产离任审计，实施美丽建设进程评估。</w:t>
      </w:r>
    </w:p>
    <w:p w14:paraId="5A6E23A8">
      <w:pPr>
        <w:spacing w:line="58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强化</w:t>
      </w:r>
      <w:r>
        <w:rPr>
          <w:rFonts w:hint="eastAsia" w:ascii="仿宋_GB2312" w:hAnsi="仿宋_GB2312" w:eastAsia="仿宋_GB2312" w:cs="仿宋_GB2312"/>
          <w:b/>
          <w:bCs/>
          <w:color w:val="auto"/>
          <w:sz w:val="32"/>
          <w:szCs w:val="32"/>
          <w:lang w:eastAsia="zh-CN"/>
        </w:rPr>
        <w:t>生</w:t>
      </w:r>
      <w:r>
        <w:rPr>
          <w:rFonts w:hint="eastAsia" w:ascii="仿宋_GB2312" w:hAnsi="仿宋_GB2312" w:eastAsia="仿宋_GB2312" w:cs="仿宋_GB2312"/>
          <w:b/>
          <w:bCs/>
          <w:color w:val="auto"/>
          <w:sz w:val="32"/>
          <w:szCs w:val="32"/>
        </w:rPr>
        <w:t>态环境监管执法。</w:t>
      </w:r>
      <w:r>
        <w:rPr>
          <w:rFonts w:hint="eastAsia" w:ascii="仿宋_GB2312" w:hAnsi="仿宋_GB2312" w:eastAsia="仿宋_GB2312" w:cs="仿宋_GB2312"/>
          <w:color w:val="auto"/>
          <w:sz w:val="32"/>
          <w:szCs w:val="32"/>
        </w:rPr>
        <w:t>不断完善环境监管、监察、监测“三监联动”工作机制，强化“事前积极预防、事中审慎考量、事后引导整改”全过程执法服务，实施分级分类和“差异化”执法监管。落实“生态环境领域轻微违法行为依法不予行政处罚清单”要求，实施轻微免罚。创新监管执法方式，全面实行“检查码”制度。强化生态环境损害赔偿与行政执法、环境公益诉讼、环责险等制度衔接。</w:t>
      </w:r>
    </w:p>
    <w:p w14:paraId="177E7EC1">
      <w:pPr>
        <w:spacing w:line="580" w:lineRule="exact"/>
        <w:ind w:firstLine="643" w:firstLineChars="200"/>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完善多元化投入机制。</w:t>
      </w:r>
      <w:r>
        <w:rPr>
          <w:rFonts w:hint="eastAsia" w:ascii="仿宋_GB2312" w:hAnsi="仿宋_GB2312" w:eastAsia="仿宋_GB2312" w:cs="仿宋_GB2312"/>
          <w:color w:val="auto"/>
          <w:sz w:val="32"/>
          <w:szCs w:val="32"/>
        </w:rPr>
        <w:t>落实国家和上海市节能环保、新能源、生态建设等相关税收优惠政策和环境保护税征收制度，按照国家统一部署将</w:t>
      </w:r>
      <w:r>
        <w:rPr>
          <w:rFonts w:ascii="仿宋_GB2312" w:hAnsi="仿宋_GB2312" w:eastAsia="仿宋_GB2312" w:cs="仿宋_GB2312"/>
          <w:color w:val="auto"/>
          <w:sz w:val="32"/>
          <w:szCs w:val="32"/>
        </w:rPr>
        <w:t>VOCs</w:t>
      </w:r>
      <w:r>
        <w:rPr>
          <w:rFonts w:hint="eastAsia" w:ascii="仿宋_GB2312" w:hAnsi="仿宋_GB2312" w:eastAsia="仿宋_GB2312" w:cs="仿宋_GB2312"/>
          <w:color w:val="auto"/>
          <w:sz w:val="32"/>
          <w:szCs w:val="32"/>
        </w:rPr>
        <w:t>纳入环境保护税征收范围。引导和鼓励社会资本参与生态环境保护重大项目建设运营，稳妥推进生态环境导向的开发（</w:t>
      </w:r>
      <w:r>
        <w:rPr>
          <w:rFonts w:ascii="仿宋_GB2312" w:hAnsi="仿宋_GB2312" w:eastAsia="仿宋_GB2312" w:cs="仿宋_GB2312"/>
          <w:color w:val="auto"/>
          <w:sz w:val="32"/>
          <w:szCs w:val="32"/>
        </w:rPr>
        <w:t>EOD</w:t>
      </w:r>
      <w:r>
        <w:rPr>
          <w:rFonts w:hint="eastAsia" w:ascii="仿宋_GB2312" w:hAnsi="仿宋_GB2312" w:eastAsia="仿宋_GB2312" w:cs="仿宋_GB2312"/>
          <w:color w:val="auto"/>
          <w:sz w:val="32"/>
          <w:szCs w:val="32"/>
        </w:rPr>
        <w:t>）模式创新，拓宽</w:t>
      </w:r>
      <w:r>
        <w:rPr>
          <w:rFonts w:ascii="仿宋_GB2312" w:hAnsi="仿宋_GB2312" w:eastAsia="仿宋_GB2312" w:cs="仿宋_GB2312"/>
          <w:color w:val="auto"/>
          <w:sz w:val="32"/>
          <w:szCs w:val="32"/>
        </w:rPr>
        <w:t>EOD</w:t>
      </w:r>
      <w:r>
        <w:rPr>
          <w:rFonts w:hint="eastAsia" w:ascii="仿宋_GB2312" w:hAnsi="仿宋_GB2312" w:eastAsia="仿宋_GB2312" w:cs="仿宋_GB2312"/>
          <w:color w:val="auto"/>
          <w:sz w:val="32"/>
          <w:szCs w:val="32"/>
        </w:rPr>
        <w:t>项目融资渠道。</w:t>
      </w:r>
    </w:p>
    <w:p w14:paraId="661C96C1">
      <w:pPr>
        <w:spacing w:line="580" w:lineRule="exact"/>
        <w:ind w:firstLine="643" w:firstLineChars="200"/>
        <w:outlineLvl w:val="2"/>
        <w:rPr>
          <w:rFonts w:hint="eastAsia" w:ascii="仿宋_GB2312" w:hAnsi="仿宋_GB2312" w:eastAsia="仿宋_GB2312" w:cs="仿宋_GB2312"/>
          <w:strike/>
          <w:color w:val="auto"/>
          <w:sz w:val="32"/>
          <w:szCs w:val="32"/>
        </w:rPr>
      </w:pPr>
      <w:r>
        <w:rPr>
          <w:rFonts w:hint="eastAsia" w:ascii="仿宋_GB2312" w:hAnsi="仿宋_GB2312" w:eastAsia="仿宋_GB2312" w:cs="仿宋_GB2312"/>
          <w:b/>
          <w:bCs/>
          <w:color w:val="auto"/>
          <w:sz w:val="32"/>
          <w:szCs w:val="32"/>
        </w:rPr>
        <w:t>建立完善市场机制。</w:t>
      </w:r>
      <w:r>
        <w:rPr>
          <w:rFonts w:hint="eastAsia" w:ascii="仿宋_GB2312" w:hAnsi="仿宋_GB2312" w:eastAsia="仿宋_GB2312" w:cs="仿宋_GB2312"/>
          <w:color w:val="auto"/>
          <w:sz w:val="32"/>
          <w:szCs w:val="32"/>
        </w:rPr>
        <w:t>推进排污权有偿使用和交易，促进资源环境要素市场化配置，健全生态产品价值实现机制。鼓励引导金融机构稳妥开发绿色信贷、绿色保险、绿色债券等金融产品。加大对减污降碳协同创新、绿色建筑、节水等重点领域的金融支持力度。完善绿色金融产融合作部门协同机制，推动光伏</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绿色融资租赁和再制造</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绿色保险等绿色金融新模式应用。</w:t>
      </w:r>
    </w:p>
    <w:p w14:paraId="5F084752">
      <w:pPr>
        <w:spacing w:line="580" w:lineRule="exact"/>
        <w:ind w:firstLine="643" w:firstLineChars="200"/>
        <w:outlineLvl w:val="1"/>
        <w:rPr>
          <w:rFonts w:hint="eastAsia" w:ascii="Times New Roman" w:hAnsi="Times New Roman" w:eastAsia="楷体_GB2312" w:cs="Times New Roman"/>
          <w:b/>
          <w:bCs/>
          <w:color w:val="auto"/>
          <w:sz w:val="32"/>
          <w:szCs w:val="32"/>
        </w:rPr>
      </w:pPr>
      <w:bookmarkStart w:id="63" w:name="_Toc24616"/>
      <w:r>
        <w:rPr>
          <w:rFonts w:hint="eastAsia" w:ascii="Times New Roman" w:hAnsi="Times New Roman" w:eastAsia="楷体_GB2312" w:cs="Times New Roman"/>
          <w:b/>
          <w:bCs/>
          <w:color w:val="auto"/>
          <w:sz w:val="32"/>
          <w:szCs w:val="32"/>
        </w:rPr>
        <w:t>（</w:t>
      </w:r>
      <w:r>
        <w:rPr>
          <w:rFonts w:hint="eastAsia" w:ascii="Times New Roman" w:hAnsi="Times New Roman" w:eastAsia="楷体_GB2312" w:cs="Times New Roman"/>
          <w:b/>
          <w:bCs/>
          <w:color w:val="auto"/>
          <w:sz w:val="32"/>
          <w:szCs w:val="32"/>
          <w:lang w:eastAsia="zh-CN"/>
        </w:rPr>
        <w:t>二</w:t>
      </w:r>
      <w:r>
        <w:rPr>
          <w:rFonts w:hint="eastAsia" w:ascii="Times New Roman" w:hAnsi="Times New Roman" w:eastAsia="楷体_GB2312" w:cs="Times New Roman"/>
          <w:b/>
          <w:bCs/>
          <w:color w:val="auto"/>
          <w:sz w:val="32"/>
          <w:szCs w:val="32"/>
        </w:rPr>
        <w:t>）加强科技支撑和数字赋能</w:t>
      </w:r>
      <w:bookmarkEnd w:id="63"/>
    </w:p>
    <w:p w14:paraId="63B0ADA5">
      <w:pPr>
        <w:spacing w:line="580" w:lineRule="exact"/>
        <w:ind w:firstLine="643" w:firstLineChars="200"/>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推广绿色科技。</w:t>
      </w:r>
      <w:r>
        <w:rPr>
          <w:rFonts w:hint="eastAsia" w:ascii="仿宋_GB2312" w:hAnsi="仿宋_GB2312" w:eastAsia="仿宋_GB2312" w:cs="仿宋_GB2312"/>
          <w:color w:val="auto"/>
          <w:sz w:val="32"/>
          <w:szCs w:val="32"/>
        </w:rPr>
        <w:t>支持推动环境、能源、产业、建筑、交通等重点领域绿色低碳技术和污染防治装备研发。促进生态环境保护产学研结合，充分发挥高校、科研机构优势，加强生态环境科技创新能力培养。强化企业创新主体地位，支持企业承担各级绿色低碳重大科技项目，鼓励企业牵头组建创新联合体，构建市场导向的绿色技术创新体系。</w:t>
      </w:r>
    </w:p>
    <w:p w14:paraId="212C46EA">
      <w:pPr>
        <w:spacing w:line="58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强化人才队伍建设。</w:t>
      </w:r>
      <w:r>
        <w:rPr>
          <w:rFonts w:hint="eastAsia" w:ascii="仿宋_GB2312" w:hAnsi="仿宋_GB2312" w:eastAsia="仿宋_GB2312" w:cs="仿宋_GB2312"/>
          <w:color w:val="auto"/>
          <w:sz w:val="32"/>
          <w:szCs w:val="32"/>
        </w:rPr>
        <w:t>完善创先争优、考核评价、人才奖励等评价激励机制。加强环境监测、生态修复、污染物治理、智慧环保等关键领域领军人才和青年骨干人才队伍建设，构建与生态环境监管需求相适应的高素质执法队伍，通过系统化教育培训、多元化实践锻炼、科学化选拔任用，培养一批政治过硬、依法行政能力强、业务知识复合、具有战略眼光的生态环境管理人才。</w:t>
      </w:r>
    </w:p>
    <w:p w14:paraId="1C591811">
      <w:pPr>
        <w:spacing w:line="580" w:lineRule="exact"/>
        <w:ind w:firstLine="643" w:firstLineChars="200"/>
        <w:outlineLvl w:val="2"/>
        <w:rPr>
          <w:rFonts w:hint="eastAsia" w:ascii="仿宋_GB2312" w:hAnsi="仿宋_GB2312" w:eastAsia="仿宋_GB2312" w:cs="仿宋_GB2312"/>
          <w:strike/>
          <w:color w:val="auto"/>
          <w:sz w:val="32"/>
          <w:szCs w:val="32"/>
        </w:rPr>
      </w:pPr>
      <w:r>
        <w:rPr>
          <w:rFonts w:hint="eastAsia" w:ascii="仿宋_GB2312" w:hAnsi="仿宋_GB2312" w:eastAsia="仿宋_GB2312" w:cs="仿宋_GB2312"/>
          <w:b/>
          <w:bCs/>
          <w:color w:val="auto"/>
          <w:sz w:val="32"/>
          <w:szCs w:val="32"/>
        </w:rPr>
        <w:t>健全现代化生态环境监测体系。</w:t>
      </w:r>
      <w:r>
        <w:rPr>
          <w:rFonts w:hint="eastAsia" w:ascii="仿宋_GB2312" w:hAnsi="仿宋_GB2312" w:eastAsia="仿宋_GB2312" w:cs="仿宋_GB2312"/>
          <w:color w:val="auto"/>
          <w:sz w:val="32"/>
          <w:szCs w:val="32"/>
        </w:rPr>
        <w:t>构建天空地立体化生态环境监测网络体系，完善大气环境网格微站布局，推动空气自动站、小微站和无人机融合组网，织密大气环境质量评估与溯源监测网络。推进重点入河排污口、水质易反复断面等高精度在线监测网络建设，区级生物多样性特色观测站建设等。逐步推动监测技术、装备数智化转型，拓展新污染物、生物多样性等新监测领，加强挥发性有机物、辐射源、移动源、应急监测等领域的监测技术及装备能力。依托大数据集成分析，推动生态环境数据的深度分析和综合应用，推进“产数、管数、用数”全过程数智化转型。强化高效能监测管理，聚焦闵行制造业大区特点，加强对污染源点位的实时远程监控，夯实排污单位自行监测主体责任，引导企业发挥积极作用。</w:t>
      </w:r>
    </w:p>
    <w:p w14:paraId="67CF02EA">
      <w:pPr>
        <w:spacing w:line="58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提升“美丽闵行”数字治理能力。</w:t>
      </w:r>
      <w:r>
        <w:rPr>
          <w:rFonts w:hint="eastAsia" w:ascii="仿宋_GB2312" w:hAnsi="仿宋_GB2312" w:eastAsia="仿宋_GB2312" w:cs="仿宋_GB2312"/>
          <w:color w:val="auto"/>
          <w:sz w:val="32"/>
          <w:szCs w:val="32"/>
        </w:rPr>
        <w:t>构建生态环境保护“态势感知—预警研判—科学决策—协同处置”的智慧化治理体系。完善跨部门、跨层级、跨区域的环境问题闭环处置机制，提升任务协同调度、精准施策和高效管控水平。加强人工智能、大模型、区块链等技术在环境监管、污染防治、生态修复等领域的深度应用，开发生态环境数值化应用场景。应用智能化分析精准发现生态环境问题线索，大力推行远程非现场执法监管，不断提高监管智能以及生态环境业务数字化水平。</w:t>
      </w:r>
    </w:p>
    <w:p w14:paraId="45091B75">
      <w:pPr>
        <w:spacing w:line="580" w:lineRule="exact"/>
        <w:ind w:firstLine="643" w:firstLineChars="200"/>
        <w:outlineLvl w:val="1"/>
        <w:rPr>
          <w:rFonts w:hint="eastAsia" w:ascii="Times New Roman" w:hAnsi="Times New Roman" w:eastAsia="楷体_GB2312" w:cs="Times New Roman"/>
          <w:b/>
          <w:bCs/>
          <w:color w:val="auto"/>
          <w:sz w:val="32"/>
          <w:szCs w:val="32"/>
        </w:rPr>
      </w:pPr>
      <w:bookmarkStart w:id="64" w:name="_Toc16413"/>
      <w:r>
        <w:rPr>
          <w:rFonts w:hint="eastAsia" w:ascii="Times New Roman" w:hAnsi="Times New Roman" w:eastAsia="楷体_GB2312" w:cs="Times New Roman"/>
          <w:b/>
          <w:bCs/>
          <w:color w:val="auto"/>
          <w:sz w:val="32"/>
          <w:szCs w:val="32"/>
        </w:rPr>
        <w:t>（三）完善社会共治体系</w:t>
      </w:r>
      <w:bookmarkEnd w:id="64"/>
    </w:p>
    <w:p w14:paraId="23B623C5">
      <w:pPr>
        <w:spacing w:line="580" w:lineRule="exact"/>
        <w:ind w:firstLine="643" w:firstLineChars="200"/>
        <w:outlineLvl w:val="2"/>
        <w:rPr>
          <w:rFonts w:ascii="Times New Roman" w:hAnsi="Times New Roman" w:eastAsia="仿宋_GB2312" w:cs="Times New Roman"/>
          <w:color w:val="auto"/>
          <w:sz w:val="32"/>
          <w:szCs w:val="32"/>
        </w:rPr>
      </w:pPr>
      <w:r>
        <w:rPr>
          <w:rFonts w:hint="eastAsia" w:ascii="仿宋_GB2312" w:hAnsi="仿宋_GB2312" w:eastAsia="仿宋_GB2312" w:cs="仿宋_GB2312"/>
          <w:b/>
          <w:bCs/>
          <w:color w:val="auto"/>
          <w:sz w:val="32"/>
          <w:szCs w:val="32"/>
        </w:rPr>
        <w:t>加强生态文化建设。</w:t>
      </w:r>
      <w:r>
        <w:rPr>
          <w:rFonts w:hint="eastAsia" w:ascii="仿宋_GB2312" w:hAnsi="仿宋_GB2312" w:eastAsia="仿宋_GB2312" w:cs="仿宋_GB2312"/>
          <w:color w:val="auto"/>
          <w:sz w:val="32"/>
          <w:szCs w:val="32"/>
        </w:rPr>
        <w:t>统筹协调各方资源，搭建生态环境宣传教育平台，持续开展六五环境日、“美丽中国，我是行动者”系列活动。加强环保共治绿色平台建设，提升绿色议事活动的社会参与度和影响力，发挥企业在社会治理体系中的重要作用。推进生态环境志愿服务体系建设，加大对环保社会组织的引导、支持和培育力度，推动环保社会组织与群团组织开展合作，充分发挥行业协会商会桥梁纽带作用和群团组织广泛动员作用。完善公众、媒体等生态环境监督和举报反馈机制，深化环保设施向社会公众开放，扩大公众参与渠道和覆盖面，保障公众知情、参与和监督权</w:t>
      </w:r>
      <w:r>
        <w:rPr>
          <w:rFonts w:hint="eastAsia" w:ascii="Times New Roman" w:hAnsi="Times New Roman" w:eastAsia="仿宋_GB2312" w:cs="Times New Roman"/>
          <w:color w:val="auto"/>
          <w:sz w:val="32"/>
          <w:szCs w:val="32"/>
        </w:rPr>
        <w:t>。</w:t>
      </w:r>
    </w:p>
    <w:p w14:paraId="1860BE14">
      <w:pPr>
        <w:spacing w:line="580" w:lineRule="exact"/>
        <w:ind w:firstLine="643" w:firstLineChars="200"/>
        <w:outlineLvl w:val="2"/>
        <w:rPr>
          <w:rFonts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rPr>
        <w:t>完善环境治理信用体系。</w:t>
      </w:r>
      <w:r>
        <w:rPr>
          <w:rFonts w:hint="eastAsia" w:ascii="Times New Roman" w:hAnsi="Times New Roman" w:eastAsia="仿宋_GB2312" w:cs="Times New Roman"/>
          <w:color w:val="auto"/>
          <w:sz w:val="32"/>
          <w:szCs w:val="32"/>
        </w:rPr>
        <w:t>健全企业环境信用评价制度，推行“信用</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风险”分级分类监管，建立“无感监管”对象清单与“无事不扰”事项清单。</w:t>
      </w:r>
      <w:r>
        <w:rPr>
          <w:rFonts w:hint="eastAsia" w:ascii="Times New Roman" w:hAnsi="Times New Roman" w:eastAsia="仿宋_GB2312" w:cs="Times New Roman"/>
          <w:color w:val="auto"/>
          <w:sz w:val="32"/>
          <w:szCs w:val="32"/>
          <w:lang w:eastAsia="zh-CN"/>
        </w:rPr>
        <w:t>配合</w:t>
      </w:r>
      <w:r>
        <w:rPr>
          <w:rFonts w:hint="eastAsia" w:ascii="Times New Roman" w:hAnsi="Times New Roman" w:eastAsia="仿宋_GB2312" w:cs="Times New Roman"/>
          <w:color w:val="auto"/>
          <w:sz w:val="32"/>
          <w:szCs w:val="32"/>
        </w:rPr>
        <w:t>推进企业环境信用管理平台建设，健全企业环境信用信息共享和联合惩戒制度，推行企业环境信用与政府采购、财政补贴等政策挂钩机制。深化环境信息依法披露制度改革，持续推动中小企业环境信息披露扩面提质。鼓励企业开展环境、社会和公司治理（</w:t>
      </w:r>
      <w:r>
        <w:rPr>
          <w:rFonts w:ascii="Times New Roman" w:hAnsi="Times New Roman" w:eastAsia="仿宋_GB2312" w:cs="Times New Roman"/>
          <w:color w:val="auto"/>
          <w:sz w:val="32"/>
          <w:szCs w:val="32"/>
        </w:rPr>
        <w:t>ESG</w:t>
      </w:r>
      <w:r>
        <w:rPr>
          <w:rFonts w:hint="eastAsia" w:ascii="Times New Roman" w:hAnsi="Times New Roman" w:eastAsia="仿宋_GB2312" w:cs="Times New Roman"/>
          <w:color w:val="auto"/>
          <w:sz w:val="32"/>
          <w:szCs w:val="32"/>
        </w:rPr>
        <w:t>）评价。</w:t>
      </w:r>
    </w:p>
    <w:p w14:paraId="69D24354">
      <w:pPr>
        <w:spacing w:line="580" w:lineRule="exact"/>
        <w:ind w:firstLine="643" w:firstLineChars="200"/>
        <w:outlineLvl w:val="2"/>
        <w:rPr>
          <w:rFonts w:hint="eastAsia" w:ascii="黑体" w:hAnsi="黑体" w:eastAsia="黑体" w:cs="Times New Roman"/>
          <w:b/>
          <w:bCs/>
          <w:color w:val="auto"/>
          <w:sz w:val="32"/>
          <w:szCs w:val="32"/>
        </w:rPr>
      </w:pPr>
      <w:r>
        <w:rPr>
          <w:rFonts w:hint="eastAsia" w:ascii="Times New Roman" w:hAnsi="Times New Roman" w:eastAsia="仿宋_GB2312" w:cs="Times New Roman"/>
          <w:b/>
          <w:bCs/>
          <w:color w:val="auto"/>
          <w:sz w:val="32"/>
          <w:szCs w:val="32"/>
        </w:rPr>
        <w:t>践行</w:t>
      </w:r>
      <w:r>
        <w:rPr>
          <w:rFonts w:ascii="Times New Roman" w:hAnsi="Times New Roman" w:eastAsia="仿宋_GB2312" w:cs="Times New Roman"/>
          <w:b/>
          <w:bCs/>
          <w:color w:val="auto"/>
          <w:sz w:val="32"/>
          <w:szCs w:val="32"/>
        </w:rPr>
        <w:t>绿色低碳生活</w:t>
      </w:r>
      <w:r>
        <w:rPr>
          <w:rFonts w:hint="eastAsia" w:ascii="Times New Roman" w:hAnsi="Times New Roman" w:eastAsia="仿宋_GB2312" w:cs="Times New Roman"/>
          <w:b/>
          <w:bCs/>
          <w:color w:val="auto"/>
          <w:sz w:val="32"/>
          <w:szCs w:val="32"/>
        </w:rPr>
        <w:t>方式。</w:t>
      </w:r>
      <w:r>
        <w:rPr>
          <w:rFonts w:hint="eastAsia" w:ascii="Times New Roman" w:hAnsi="Times New Roman" w:eastAsia="仿宋_GB2312" w:cs="Times New Roman"/>
          <w:color w:val="auto"/>
          <w:sz w:val="32"/>
          <w:szCs w:val="32"/>
        </w:rPr>
        <w:t>倡导简约适度、绿色低碳、文明健康的生活方式和消费模式。持续开展节水型社会（城市）建设， 开展重点用水领域水效提升行动。持续推进“光盘行动”，坚决 遏制餐饮浪费。推广节能低碳生活用品，依法禁止、限制使用一次性塑料制品，扎实推进快递包装减量化和循环共用。促进绿色消费，鼓励汽车、家电、耐用消费品以旧换新。鼓励绿色低碳出行，构建沿河、沿绿、沿路连续贯通的慢行网络，</w:t>
      </w:r>
      <w:r>
        <w:rPr>
          <w:rFonts w:ascii="Times New Roman" w:hAnsi="Times New Roman" w:eastAsia="仿宋_GB2312" w:cs="Times New Roman"/>
          <w:color w:val="auto"/>
          <w:sz w:val="32"/>
          <w:szCs w:val="32"/>
          <w14:ligatures w14:val="none"/>
        </w:rPr>
        <w:t>鼓励绿色低碳出行、共享出行</w:t>
      </w:r>
      <w:r>
        <w:rPr>
          <w:rFonts w:hint="eastAsia" w:ascii="Times New Roman" w:hAnsi="Times New Roman" w:eastAsia="仿宋_GB2312" w:cs="Times New Roman"/>
          <w:color w:val="auto"/>
          <w:sz w:val="32"/>
          <w:szCs w:val="32"/>
          <w14:ligatures w14:val="none"/>
        </w:rPr>
        <w:t>。</w:t>
      </w:r>
    </w:p>
    <w:p w14:paraId="2AE31552">
      <w:pPr>
        <w:spacing w:line="580" w:lineRule="exact"/>
        <w:ind w:firstLine="643" w:firstLineChars="200"/>
        <w:outlineLvl w:val="0"/>
        <w:rPr>
          <w:rFonts w:hint="eastAsia" w:ascii="Times New Roman" w:hAnsi="Times New Roman" w:eastAsia="黑体" w:cs="Times New Roman"/>
          <w:b/>
          <w:bCs/>
          <w:color w:val="auto"/>
          <w:sz w:val="32"/>
          <w:szCs w:val="32"/>
        </w:rPr>
      </w:pPr>
      <w:bookmarkStart w:id="65" w:name="_Toc9896"/>
      <w:r>
        <w:rPr>
          <w:rFonts w:hint="eastAsia" w:ascii="Times New Roman" w:hAnsi="Times New Roman" w:eastAsia="黑体" w:cs="Times New Roman"/>
          <w:b/>
          <w:bCs/>
          <w:color w:val="auto"/>
          <w:sz w:val="32"/>
          <w:szCs w:val="32"/>
          <w:lang w:eastAsia="zh-CN"/>
        </w:rPr>
        <w:t>九</w:t>
      </w:r>
      <w:r>
        <w:rPr>
          <w:rFonts w:hint="eastAsia" w:ascii="Times New Roman" w:hAnsi="Times New Roman" w:eastAsia="黑体" w:cs="Times New Roman"/>
          <w:b/>
          <w:bCs/>
          <w:color w:val="auto"/>
          <w:sz w:val="32"/>
          <w:szCs w:val="32"/>
        </w:rPr>
        <w:t>、保障措施</w:t>
      </w:r>
      <w:bookmarkEnd w:id="65"/>
      <w:r>
        <w:rPr>
          <w:rFonts w:hint="eastAsia" w:ascii="Times New Roman" w:hAnsi="Times New Roman" w:eastAsia="黑体" w:cs="Times New Roman"/>
          <w:b/>
          <w:bCs/>
          <w:color w:val="auto"/>
          <w:sz w:val="32"/>
          <w:szCs w:val="32"/>
        </w:rPr>
        <w:t xml:space="preserve"> </w:t>
      </w:r>
    </w:p>
    <w:p w14:paraId="4F722991">
      <w:pPr>
        <w:spacing w:line="58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由区生态文明建设工作小组全面领导和统筹推进全区生态环境保护工作，各成员单位要按照职责分工，细化落实相关目标任务，强化部门协作、条块联动、定期沟通研究规划实施过程中遇到的重大问题。强化宣传引导，广泛凝聚共识，充分调动全社会参与美丽闵行建设的积极性；加大规划的宣传力度，定期公布生态环境质量、项目建设等规划实施信息；建立规划实施公众反馈和监督机制。加强规划实施评估，区生态环境局会同相关部门围绕本规划目标指标、重点任务、重大工程进展情况在 </w:t>
      </w:r>
      <w:r>
        <w:rPr>
          <w:rFonts w:ascii="Times New Roman" w:hAnsi="Times New Roman" w:eastAsia="仿宋_GB2312" w:cs="Times New Roman"/>
          <w:color w:val="auto"/>
          <w:sz w:val="32"/>
          <w:szCs w:val="32"/>
        </w:rPr>
        <w:t xml:space="preserve">2028 </w:t>
      </w:r>
      <w:r>
        <w:rPr>
          <w:rFonts w:hint="eastAsia" w:ascii="Times New Roman" w:hAnsi="Times New Roman" w:eastAsia="仿宋_GB2312" w:cs="Times New Roman"/>
          <w:color w:val="auto"/>
          <w:sz w:val="32"/>
          <w:szCs w:val="32"/>
        </w:rPr>
        <w:t>年、</w:t>
      </w:r>
      <w:r>
        <w:rPr>
          <w:rFonts w:ascii="Times New Roman" w:hAnsi="Times New Roman" w:eastAsia="仿宋_GB2312" w:cs="Times New Roman"/>
          <w:color w:val="auto"/>
          <w:sz w:val="32"/>
          <w:szCs w:val="32"/>
        </w:rPr>
        <w:t xml:space="preserve">2030 </w:t>
      </w:r>
      <w:r>
        <w:rPr>
          <w:rFonts w:hint="eastAsia" w:ascii="Times New Roman" w:hAnsi="Times New Roman" w:eastAsia="仿宋_GB2312" w:cs="Times New Roman"/>
          <w:color w:val="auto"/>
          <w:sz w:val="32"/>
          <w:szCs w:val="32"/>
        </w:rPr>
        <w:t>年度分别进行中期评估和总结评估，强化对规划中约束性指标完成情况的评价考核，确保规划各项目标和任务全面完成。</w:t>
      </w:r>
    </w:p>
    <w:p w14:paraId="67A23F53">
      <w:pPr>
        <w:widowControl/>
        <w:jc w:val="left"/>
        <w:rPr>
          <w:rFonts w:ascii="Times New Roman" w:hAnsi="Times New Roman" w:eastAsia="仿宋_GB2312" w:cs="Times New Roman"/>
          <w:color w:val="auto"/>
          <w:sz w:val="30"/>
          <w:szCs w:val="30"/>
        </w:rPr>
        <w:sectPr>
          <w:footerReference r:id="rId6" w:type="default"/>
          <w:pgSz w:w="11906" w:h="16838"/>
          <w:pgMar w:top="1440" w:right="1800" w:bottom="1440" w:left="1800" w:header="851" w:footer="992" w:gutter="0"/>
          <w:pgNumType w:start="1"/>
          <w:cols w:space="425" w:num="1"/>
          <w:docGrid w:type="lines" w:linePitch="312" w:charSpace="0"/>
        </w:sectPr>
      </w:pPr>
      <w:r>
        <w:rPr>
          <w:rFonts w:ascii="Times New Roman" w:hAnsi="Times New Roman" w:eastAsia="仿宋_GB2312" w:cs="Times New Roman"/>
          <w:color w:val="auto"/>
          <w:sz w:val="30"/>
          <w:szCs w:val="30"/>
        </w:rPr>
        <w:br w:type="page"/>
      </w:r>
    </w:p>
    <w:p w14:paraId="5790232F">
      <w:pPr>
        <w:jc w:val="center"/>
        <w:outlineLvl w:val="0"/>
        <w:rPr>
          <w:rFonts w:ascii="Times New Roman" w:hAnsi="Times New Roman" w:eastAsia="黑体" w:cs="Times New Roman"/>
          <w:b/>
          <w:bCs/>
          <w:color w:val="auto"/>
          <w:sz w:val="30"/>
          <w:szCs w:val="30"/>
        </w:rPr>
      </w:pPr>
    </w:p>
    <w:p w14:paraId="45655F53">
      <w:pPr>
        <w:jc w:val="center"/>
        <w:outlineLvl w:val="0"/>
        <w:rPr>
          <w:rFonts w:hint="eastAsia" w:ascii="黑体" w:hAnsi="黑体" w:eastAsia="黑体" w:cs="黑体"/>
          <w:b/>
          <w:bCs/>
          <w:color w:val="auto"/>
          <w:sz w:val="32"/>
          <w:szCs w:val="32"/>
        </w:rPr>
      </w:pPr>
      <w:bookmarkStart w:id="66" w:name="_Toc25400"/>
      <w:r>
        <w:rPr>
          <w:rFonts w:hint="eastAsia" w:ascii="黑体" w:hAnsi="黑体" w:eastAsia="黑体" w:cs="黑体"/>
          <w:b/>
          <w:bCs/>
          <w:color w:val="auto"/>
          <w:sz w:val="32"/>
          <w:szCs w:val="32"/>
        </w:rPr>
        <w:t>附件：指标解释</w:t>
      </w:r>
      <w:bookmarkEnd w:id="66"/>
    </w:p>
    <w:p w14:paraId="58554E2D">
      <w:pPr>
        <w:numPr>
          <w:ilvl w:val="0"/>
          <w:numId w:val="0"/>
        </w:numPr>
        <w:spacing w:line="58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细颗粒物年平均浓度（微克/立方米）：</w:t>
      </w:r>
      <w:r>
        <w:rPr>
          <w:rFonts w:hint="eastAsia" w:ascii="仿宋_GB2312" w:hAnsi="仿宋_GB2312" w:eastAsia="仿宋_GB2312" w:cs="仿宋_GB2312"/>
          <w:color w:val="auto"/>
          <w:sz w:val="32"/>
          <w:szCs w:val="32"/>
        </w:rPr>
        <w:t>每立方米空气中空气动力学直径小于或等于2.5微米的颗粒物含量的年平均值。具体计算方法参照《环境空气质量评价技术规范》（HJ663-2026）。</w:t>
      </w:r>
    </w:p>
    <w:p w14:paraId="6C59A4B0">
      <w:pPr>
        <w:numPr>
          <w:ilvl w:val="0"/>
          <w:numId w:val="0"/>
        </w:numPr>
        <w:spacing w:line="58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空气质量优良天数比率（%）：</w:t>
      </w:r>
      <w:r>
        <w:rPr>
          <w:rFonts w:hint="eastAsia" w:ascii="仿宋_GB2312" w:hAnsi="仿宋_GB2312" w:eastAsia="仿宋_GB2312" w:cs="仿宋_GB2312"/>
          <w:color w:val="auto"/>
          <w:sz w:val="32"/>
          <w:szCs w:val="32"/>
        </w:rPr>
        <w:t>全年环境空气质量指数（AQI）达到二级和优于二级的天数占全年天数的百分比。污染物监测指标为二氧化硫（SO</w:t>
      </w:r>
      <w:r>
        <w:rPr>
          <w:rFonts w:hint="eastAsia" w:ascii="仿宋_GB2312" w:hAnsi="仿宋_GB2312" w:eastAsia="仿宋_GB2312" w:cs="仿宋_GB2312"/>
          <w:color w:val="auto"/>
          <w:sz w:val="32"/>
          <w:szCs w:val="32"/>
          <w:vertAlign w:val="subscript"/>
        </w:rPr>
        <w:t>2</w:t>
      </w:r>
      <w:r>
        <w:rPr>
          <w:rFonts w:hint="eastAsia" w:ascii="仿宋_GB2312" w:hAnsi="仿宋_GB2312" w:eastAsia="仿宋_GB2312" w:cs="仿宋_GB2312"/>
          <w:color w:val="auto"/>
          <w:sz w:val="32"/>
          <w:szCs w:val="32"/>
        </w:rPr>
        <w:t>）、二氧化氮（NO</w:t>
      </w:r>
      <w:r>
        <w:rPr>
          <w:rFonts w:hint="eastAsia" w:ascii="仿宋_GB2312" w:hAnsi="仿宋_GB2312" w:eastAsia="仿宋_GB2312" w:cs="仿宋_GB2312"/>
          <w:color w:val="auto"/>
          <w:sz w:val="32"/>
          <w:szCs w:val="32"/>
          <w:vertAlign w:val="subscript"/>
        </w:rPr>
        <w:t>2</w:t>
      </w:r>
      <w:r>
        <w:rPr>
          <w:rFonts w:hint="eastAsia" w:ascii="仿宋_GB2312" w:hAnsi="仿宋_GB2312" w:eastAsia="仿宋_GB2312" w:cs="仿宋_GB2312"/>
          <w:color w:val="auto"/>
          <w:sz w:val="32"/>
          <w:szCs w:val="32"/>
        </w:rPr>
        <w:t>）、可吸入颗粒物（PM</w:t>
      </w:r>
      <w:r>
        <w:rPr>
          <w:rFonts w:hint="eastAsia" w:ascii="仿宋_GB2312" w:hAnsi="仿宋_GB2312" w:eastAsia="仿宋_GB2312" w:cs="仿宋_GB2312"/>
          <w:color w:val="auto"/>
          <w:sz w:val="32"/>
          <w:szCs w:val="32"/>
          <w:vertAlign w:val="subscript"/>
        </w:rPr>
        <w:t>10</w:t>
      </w:r>
      <w:r>
        <w:rPr>
          <w:rFonts w:hint="eastAsia" w:ascii="仿宋_GB2312" w:hAnsi="仿宋_GB2312" w:eastAsia="仿宋_GB2312" w:cs="仿宋_GB2312"/>
          <w:color w:val="auto"/>
          <w:sz w:val="32"/>
          <w:szCs w:val="32"/>
        </w:rPr>
        <w:t>）、细颗粒物（PM</w:t>
      </w:r>
      <w:r>
        <w:rPr>
          <w:rFonts w:hint="eastAsia" w:ascii="仿宋_GB2312" w:hAnsi="仿宋_GB2312" w:eastAsia="仿宋_GB2312" w:cs="仿宋_GB2312"/>
          <w:color w:val="auto"/>
          <w:sz w:val="32"/>
          <w:szCs w:val="32"/>
          <w:vertAlign w:val="subscript"/>
        </w:rPr>
        <w:t>2.5</w:t>
      </w:r>
      <w:r>
        <w:rPr>
          <w:rFonts w:hint="eastAsia" w:ascii="仿宋_GB2312" w:hAnsi="仿宋_GB2312" w:eastAsia="仿宋_GB2312" w:cs="仿宋_GB2312"/>
          <w:color w:val="auto"/>
          <w:sz w:val="32"/>
          <w:szCs w:val="32"/>
        </w:rPr>
        <w:t>）、一氧化碳（CO）和臭氧（O</w:t>
      </w:r>
      <w:r>
        <w:rPr>
          <w:rFonts w:hint="eastAsia" w:ascii="仿宋_GB2312" w:hAnsi="仿宋_GB2312" w:eastAsia="仿宋_GB2312" w:cs="仿宋_GB2312"/>
          <w:color w:val="auto"/>
          <w:sz w:val="32"/>
          <w:szCs w:val="32"/>
          <w:vertAlign w:val="subscript"/>
        </w:rPr>
        <w:t>3</w:t>
      </w:r>
      <w:r>
        <w:rPr>
          <w:rFonts w:hint="eastAsia" w:ascii="仿宋_GB2312" w:hAnsi="仿宋_GB2312" w:eastAsia="仿宋_GB2312" w:cs="仿宋_GB2312"/>
          <w:color w:val="auto"/>
          <w:sz w:val="32"/>
          <w:szCs w:val="32"/>
        </w:rPr>
        <w:t>）6项。执行《环境空气质量标准》（GB3095-2026）和《环境空气质量指数（AQI）技术规定》（HJ633-2026）。</w:t>
      </w:r>
    </w:p>
    <w:p w14:paraId="0920C8D3">
      <w:pPr>
        <w:numPr>
          <w:ilvl w:val="0"/>
          <w:numId w:val="0"/>
        </w:numPr>
        <w:spacing w:line="580" w:lineRule="exact"/>
        <w:ind w:left="0" w:leftChars="0"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2"/>
          <w:sz w:val="32"/>
          <w:szCs w:val="32"/>
          <w:lang w:val="en-US" w:eastAsia="zh-CN" w:bidi="ar-SA"/>
          <w14:ligatures w14:val="standardContextual"/>
        </w:rPr>
        <w:t>3.</w:t>
      </w:r>
      <w:r>
        <w:rPr>
          <w:rFonts w:hint="eastAsia" w:ascii="仿宋_GB2312" w:hAnsi="仿宋_GB2312" w:eastAsia="仿宋_GB2312" w:cs="仿宋_GB2312"/>
          <w:b/>
          <w:bCs/>
          <w:color w:val="auto"/>
          <w:sz w:val="32"/>
          <w:szCs w:val="32"/>
        </w:rPr>
        <w:t>重度及以上污染天数比例（%）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一年内空气污染达到重度污染或者以上（空气质量指数达到201 及以上）天数所占比例。</w:t>
      </w:r>
    </w:p>
    <w:p w14:paraId="36AAAF87">
      <w:pPr>
        <w:numPr>
          <w:ilvl w:val="0"/>
          <w:numId w:val="0"/>
        </w:numPr>
        <w:spacing w:line="580" w:lineRule="exact"/>
        <w:ind w:left="0" w:leftChars="0"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2"/>
          <w:sz w:val="32"/>
          <w:szCs w:val="32"/>
          <w:lang w:val="en-US" w:eastAsia="zh-CN" w:bidi="ar-SA"/>
          <w14:ligatures w14:val="standardContextual"/>
        </w:rPr>
        <w:t>4.</w:t>
      </w:r>
      <w:r>
        <w:rPr>
          <w:rFonts w:hint="eastAsia" w:ascii="仿宋_GB2312" w:hAnsi="仿宋_GB2312" w:eastAsia="仿宋_GB2312" w:cs="仿宋_GB2312"/>
          <w:b/>
          <w:bCs/>
          <w:color w:val="auto"/>
          <w:sz w:val="32"/>
          <w:szCs w:val="32"/>
        </w:rPr>
        <w:t>地表水优良水体比例（%）</w:t>
      </w:r>
      <w:r>
        <w:rPr>
          <w:rFonts w:hint="eastAsia" w:ascii="仿宋_GB2312" w:hAnsi="仿宋_GB2312" w:eastAsia="仿宋_GB2312" w:cs="仿宋_GB2312"/>
          <w:color w:val="auto"/>
          <w:sz w:val="32"/>
          <w:szCs w:val="32"/>
        </w:rPr>
        <w:t>：在水质类别的基础上，叠加水生态指标（河流选取底栖动物状况，湖库选取综合营养状态），综合确定水生态环境达到“优秀”和“良好”状况的水体占全部水体的比例。具体评价方法参照《地表水优良水体评估技术规定（试行）》。</w:t>
      </w:r>
    </w:p>
    <w:p w14:paraId="4A40CBD6">
      <w:pPr>
        <w:numPr>
          <w:ilvl w:val="0"/>
          <w:numId w:val="0"/>
        </w:numPr>
        <w:spacing w:line="580" w:lineRule="exact"/>
        <w:ind w:left="0" w:leftChars="0"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2"/>
          <w:sz w:val="32"/>
          <w:szCs w:val="32"/>
          <w:lang w:val="en-US" w:eastAsia="zh-CN" w:bidi="ar-SA"/>
          <w14:ligatures w14:val="standardContextual"/>
        </w:rPr>
        <w:t>5.</w:t>
      </w:r>
      <w:r>
        <w:rPr>
          <w:rFonts w:hint="eastAsia" w:ascii="仿宋_GB2312" w:hAnsi="仿宋_GB2312" w:eastAsia="仿宋_GB2312" w:cs="仿宋_GB2312"/>
          <w:b/>
          <w:bCs/>
          <w:color w:val="auto"/>
          <w:sz w:val="32"/>
          <w:szCs w:val="32"/>
        </w:rPr>
        <w:t>地表水</w:t>
      </w:r>
      <w:r>
        <w:rPr>
          <w:rFonts w:hint="eastAsia" w:ascii="仿宋_GB2312" w:hAnsi="仿宋_GB2312" w:eastAsia="仿宋_GB2312" w:cs="仿宋_GB2312"/>
          <w:b/>
          <w:bCs/>
          <w:color w:val="auto"/>
          <w:sz w:val="32"/>
          <w:szCs w:val="32"/>
          <w:lang w:eastAsia="zh-CN"/>
        </w:rPr>
        <w:t>（国控、市控断面）</w:t>
      </w:r>
      <w:r>
        <w:rPr>
          <w:rFonts w:hint="eastAsia" w:ascii="仿宋_GB2312" w:hAnsi="仿宋_GB2312" w:eastAsia="仿宋_GB2312" w:cs="仿宋_GB2312"/>
          <w:b/>
          <w:bCs/>
          <w:color w:val="auto"/>
          <w:sz w:val="32"/>
          <w:szCs w:val="32"/>
        </w:rPr>
        <w:t>达到或好于Ⅲ类水体比例（%）</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eastAsia="zh-CN"/>
        </w:rPr>
        <w:t>地表水（国控、市控断面）水质断面状况</w:t>
      </w:r>
      <w:r>
        <w:rPr>
          <w:rFonts w:hint="eastAsia" w:ascii="仿宋_GB2312" w:hAnsi="仿宋_GB2312" w:eastAsia="仿宋_GB2312" w:cs="仿宋_GB2312"/>
          <w:color w:val="auto"/>
          <w:sz w:val="32"/>
          <w:szCs w:val="32"/>
        </w:rPr>
        <w:t>状况计算得出的断面达到或好于《地表水环境质量标准》（GB3838-2002）中Ⅲ类水质的比例。</w:t>
      </w:r>
    </w:p>
    <w:p w14:paraId="4DBB2521">
      <w:pPr>
        <w:numPr>
          <w:ilvl w:val="0"/>
          <w:numId w:val="0"/>
        </w:numPr>
        <w:spacing w:line="580" w:lineRule="exact"/>
        <w:ind w:left="0" w:leftChars="0"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2"/>
          <w:sz w:val="32"/>
          <w:szCs w:val="32"/>
          <w:lang w:val="en-US" w:eastAsia="zh-CN" w:bidi="ar-SA"/>
          <w14:ligatures w14:val="standardContextual"/>
        </w:rPr>
        <w:t>6.</w:t>
      </w:r>
      <w:r>
        <w:rPr>
          <w:rFonts w:hint="eastAsia" w:ascii="仿宋_GB2312" w:hAnsi="仿宋_GB2312" w:eastAsia="仿宋_GB2312" w:cs="仿宋_GB2312"/>
          <w:b/>
          <w:bCs/>
          <w:color w:val="auto"/>
          <w:sz w:val="32"/>
          <w:szCs w:val="32"/>
        </w:rPr>
        <w:t>地下水国控点位Ⅰ-Ⅳ类水比例（%）：</w:t>
      </w:r>
      <w:r>
        <w:rPr>
          <w:rFonts w:hint="eastAsia" w:ascii="仿宋_GB2312" w:hAnsi="仿宋_GB2312" w:eastAsia="仿宋_GB2312" w:cs="仿宋_GB2312"/>
          <w:color w:val="auto"/>
          <w:sz w:val="32"/>
          <w:szCs w:val="32"/>
        </w:rPr>
        <w:t>地下水环境质量国考点位达到或好于IV类水点位个数占点位总个数的比例。</w:t>
      </w:r>
    </w:p>
    <w:p w14:paraId="32E67201">
      <w:pPr>
        <w:numPr>
          <w:ilvl w:val="0"/>
          <w:numId w:val="0"/>
        </w:numPr>
        <w:spacing w:line="580" w:lineRule="exact"/>
        <w:ind w:left="0" w:leftChars="0"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2"/>
          <w:sz w:val="32"/>
          <w:szCs w:val="32"/>
          <w:lang w:val="en-US" w:eastAsia="zh-CN" w:bidi="ar-SA"/>
          <w14:ligatures w14:val="standardContextual"/>
        </w:rPr>
        <w:t>7.</w:t>
      </w:r>
      <w:r>
        <w:rPr>
          <w:rFonts w:hint="eastAsia" w:ascii="仿宋_GB2312" w:hAnsi="仿宋_GB2312" w:eastAsia="仿宋_GB2312" w:cs="仿宋_GB2312"/>
          <w:b/>
          <w:bCs/>
          <w:color w:val="auto"/>
          <w:sz w:val="32"/>
          <w:szCs w:val="32"/>
        </w:rPr>
        <w:t>声环境功能区夜间达标率（%）</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行政区域内夜间声环境质量达到或优于声环境功能区限值要求的监测点次占夜间声环境功能区监测总点次的比例。</w:t>
      </w:r>
    </w:p>
    <w:p w14:paraId="2D3241B4">
      <w:pPr>
        <w:numPr>
          <w:ilvl w:val="0"/>
          <w:numId w:val="0"/>
        </w:numPr>
        <w:spacing w:line="580" w:lineRule="exact"/>
        <w:ind w:left="0" w:leftChars="0"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2"/>
          <w:sz w:val="32"/>
          <w:szCs w:val="32"/>
          <w:lang w:val="en-US" w:eastAsia="zh-CN" w:bidi="ar-SA"/>
          <w14:ligatures w14:val="standardContextual"/>
        </w:rPr>
        <w:t>8.</w:t>
      </w:r>
      <w:r>
        <w:rPr>
          <w:rFonts w:hint="eastAsia" w:ascii="仿宋_GB2312" w:hAnsi="仿宋_GB2312" w:eastAsia="仿宋_GB2312" w:cs="仿宋_GB2312"/>
          <w:b/>
          <w:bCs/>
          <w:color w:val="auto"/>
          <w:sz w:val="32"/>
          <w:szCs w:val="32"/>
        </w:rPr>
        <w:t>单位国内生产总值二氧化碳排放降低率（%）</w:t>
      </w:r>
      <w:r>
        <w:rPr>
          <w:rFonts w:hint="eastAsia" w:ascii="仿宋_GB2312" w:hAnsi="仿宋_GB2312" w:eastAsia="仿宋_GB2312" w:cs="仿宋_GB2312"/>
          <w:color w:val="auto"/>
          <w:sz w:val="32"/>
          <w:szCs w:val="32"/>
        </w:rPr>
        <w:t>：“十五五”期间单位生产总值所排放的二氧化碳量与基期单位生产总值二氧化碳量相比的降低幅度。</w:t>
      </w:r>
    </w:p>
    <w:p w14:paraId="563A9ECF">
      <w:pPr>
        <w:numPr>
          <w:ilvl w:val="0"/>
          <w:numId w:val="0"/>
        </w:numPr>
        <w:spacing w:line="580" w:lineRule="exact"/>
        <w:ind w:left="0" w:leftChars="0"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2"/>
          <w:sz w:val="32"/>
          <w:szCs w:val="32"/>
          <w:lang w:val="en-US" w:eastAsia="zh-CN" w:bidi="ar-SA"/>
          <w14:ligatures w14:val="standardContextual"/>
        </w:rPr>
        <w:t>9.</w:t>
      </w:r>
      <w:r>
        <w:rPr>
          <w:rFonts w:hint="eastAsia" w:ascii="仿宋_GB2312" w:hAnsi="仿宋_GB2312" w:eastAsia="仿宋_GB2312" w:cs="仿宋_GB2312"/>
          <w:b/>
          <w:bCs/>
          <w:color w:val="auto"/>
          <w:sz w:val="32"/>
          <w:szCs w:val="32"/>
        </w:rPr>
        <w:t>氮氧化物、挥发性有机物（VOCs）、化学需氧量、总磷重点工程减排量（吨）</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“十五五”期间经生态环境部核定的氮氧化物、挥发性有机物、化学需氧量、总磷四项主要污染物重点工程减排量目标完成情况。</w:t>
      </w:r>
    </w:p>
    <w:p w14:paraId="2D1E5A1D">
      <w:pPr>
        <w:numPr>
          <w:ilvl w:val="0"/>
          <w:numId w:val="0"/>
        </w:numPr>
        <w:spacing w:line="580" w:lineRule="exact"/>
        <w:ind w:left="0" w:leftChars="0" w:firstLine="643" w:firstLineChars="200"/>
        <w:rPr>
          <w:rFonts w:hint="eastAsia" w:ascii="仿宋_GB2312" w:hAnsi="仿宋_GB2312" w:eastAsia="仿宋_GB2312" w:cs="仿宋_GB2312"/>
          <w:color w:val="auto"/>
          <w:sz w:val="32"/>
          <w:szCs w:val="32"/>
        </w:rPr>
      </w:pPr>
      <w:r>
        <w:rPr>
          <w:rFonts w:hint="default" w:ascii="仿宋_GB2312" w:hAnsi="仿宋_GB2312" w:eastAsia="仿宋_GB2312" w:cs="仿宋_GB2312"/>
          <w:b/>
          <w:bCs/>
          <w:color w:val="auto"/>
          <w:kern w:val="2"/>
          <w:sz w:val="32"/>
          <w:szCs w:val="32"/>
          <w:lang w:val="en-US" w:eastAsia="zh-CN" w:bidi="ar-SA"/>
          <w14:ligatures w14:val="standardContextual"/>
        </w:rPr>
        <w:t>1</w:t>
      </w:r>
      <w:r>
        <w:rPr>
          <w:rFonts w:hint="eastAsia" w:ascii="仿宋_GB2312" w:hAnsi="仿宋_GB2312" w:eastAsia="仿宋_GB2312" w:cs="仿宋_GB2312"/>
          <w:b/>
          <w:bCs/>
          <w:color w:val="auto"/>
          <w:kern w:val="2"/>
          <w:sz w:val="32"/>
          <w:szCs w:val="32"/>
          <w:lang w:val="en-US" w:eastAsia="zh-CN" w:bidi="ar-SA"/>
          <w14:ligatures w14:val="standardContextual"/>
        </w:rPr>
        <w:t>0.</w:t>
      </w:r>
      <w:r>
        <w:rPr>
          <w:rFonts w:hint="eastAsia" w:ascii="仿宋_GB2312" w:hAnsi="仿宋_GB2312" w:eastAsia="仿宋_GB2312" w:cs="仿宋_GB2312"/>
          <w:b/>
          <w:bCs/>
          <w:color w:val="auto"/>
          <w:sz w:val="32"/>
          <w:szCs w:val="32"/>
        </w:rPr>
        <w:t>重点建设用地和受污染耕地安全利用率（%）</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重点建设用地安全利用率是指依据《土壤法》落实土壤污染风险管控和修复措施的地块占用途变更为住宅、公共管理与公共服务用地的总地块数量的比例。受污染耕地安全利用率是指行政区域内受污染耕地安全利用面积占受污染耕地面积的比例。</w:t>
      </w:r>
    </w:p>
    <w:p w14:paraId="455BCEBE">
      <w:pPr>
        <w:numPr>
          <w:ilvl w:val="0"/>
          <w:numId w:val="0"/>
        </w:numPr>
        <w:spacing w:line="580" w:lineRule="exact"/>
        <w:ind w:left="0" w:leftChars="0" w:firstLine="643" w:firstLineChars="200"/>
        <w:rPr>
          <w:rFonts w:hint="eastAsia" w:ascii="仿宋_GB2312" w:hAnsi="仿宋_GB2312" w:eastAsia="仿宋_GB2312" w:cs="仿宋_GB2312"/>
          <w:color w:val="auto"/>
          <w:sz w:val="32"/>
          <w:szCs w:val="32"/>
        </w:rPr>
      </w:pPr>
      <w:r>
        <w:rPr>
          <w:rFonts w:hint="default" w:ascii="仿宋_GB2312" w:hAnsi="仿宋_GB2312" w:eastAsia="仿宋_GB2312" w:cs="仿宋_GB2312"/>
          <w:b/>
          <w:bCs/>
          <w:color w:val="auto"/>
          <w:kern w:val="2"/>
          <w:sz w:val="32"/>
          <w:szCs w:val="32"/>
          <w:lang w:val="en-US" w:eastAsia="zh-CN" w:bidi="ar-SA"/>
          <w14:ligatures w14:val="standardContextual"/>
        </w:rPr>
        <w:t>1</w:t>
      </w:r>
      <w:r>
        <w:rPr>
          <w:rFonts w:hint="eastAsia" w:ascii="仿宋_GB2312" w:hAnsi="仿宋_GB2312" w:eastAsia="仿宋_GB2312" w:cs="仿宋_GB2312"/>
          <w:b/>
          <w:bCs/>
          <w:color w:val="auto"/>
          <w:kern w:val="2"/>
          <w:sz w:val="32"/>
          <w:szCs w:val="32"/>
          <w:lang w:val="en-US" w:eastAsia="zh-CN" w:bidi="ar-SA"/>
          <w14:ligatures w14:val="standardContextual"/>
        </w:rPr>
        <w:t>1.</w:t>
      </w:r>
      <w:r>
        <w:rPr>
          <w:rFonts w:hint="eastAsia" w:ascii="仿宋_GB2312" w:hAnsi="仿宋_GB2312" w:eastAsia="仿宋_GB2312" w:cs="仿宋_GB2312"/>
          <w:b/>
          <w:bCs/>
          <w:color w:val="auto"/>
          <w:sz w:val="32"/>
          <w:szCs w:val="32"/>
        </w:rPr>
        <w:t>无废指数</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用于衡量固体废物优先减量化、充分资源化、全程无害化和治理现代化等方面成效，表征无废城市建设进程水平。</w:t>
      </w:r>
    </w:p>
    <w:p w14:paraId="4CCB3FC7">
      <w:pPr>
        <w:numPr>
          <w:ilvl w:val="0"/>
          <w:numId w:val="0"/>
        </w:numPr>
        <w:spacing w:line="580" w:lineRule="exact"/>
        <w:ind w:left="0" w:leftChars="0" w:firstLine="643" w:firstLineChars="200"/>
        <w:rPr>
          <w:rFonts w:hint="eastAsia" w:ascii="仿宋_GB2312" w:hAnsi="仿宋_GB2312" w:eastAsia="仿宋_GB2312" w:cs="仿宋_GB2312"/>
          <w:color w:val="auto"/>
          <w:sz w:val="32"/>
          <w:szCs w:val="32"/>
        </w:rPr>
      </w:pPr>
      <w:r>
        <w:rPr>
          <w:rFonts w:hint="default" w:ascii="仿宋_GB2312" w:hAnsi="仿宋_GB2312" w:eastAsia="仿宋_GB2312" w:cs="仿宋_GB2312"/>
          <w:b/>
          <w:bCs/>
          <w:color w:val="auto"/>
          <w:kern w:val="2"/>
          <w:sz w:val="32"/>
          <w:szCs w:val="32"/>
          <w:lang w:val="en-US" w:eastAsia="zh-CN" w:bidi="ar-SA"/>
          <w14:ligatures w14:val="standardContextual"/>
        </w:rPr>
        <w:t>1</w:t>
      </w:r>
      <w:r>
        <w:rPr>
          <w:rFonts w:hint="eastAsia" w:ascii="仿宋_GB2312" w:hAnsi="仿宋_GB2312" w:eastAsia="仿宋_GB2312" w:cs="仿宋_GB2312"/>
          <w:b/>
          <w:bCs/>
          <w:color w:val="auto"/>
          <w:kern w:val="2"/>
          <w:sz w:val="32"/>
          <w:szCs w:val="32"/>
          <w:lang w:val="en-US" w:eastAsia="zh-CN" w:bidi="ar-SA"/>
          <w14:ligatures w14:val="standardContextual"/>
        </w:rPr>
        <w:t>2.</w:t>
      </w:r>
      <w:r>
        <w:rPr>
          <w:rFonts w:hint="eastAsia" w:ascii="仿宋_GB2312" w:hAnsi="仿宋_GB2312" w:eastAsia="仿宋_GB2312" w:cs="仿宋_GB2312"/>
          <w:b/>
          <w:bCs/>
          <w:color w:val="auto"/>
          <w:sz w:val="32"/>
          <w:szCs w:val="32"/>
        </w:rPr>
        <w:t>生活垃圾回收利用率（%）</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未进入生活垃圾焚烧和填埋设施进行处理的可回收物、易腐垃圾的数量占生活垃圾总量的比例。</w:t>
      </w:r>
    </w:p>
    <w:p w14:paraId="0CF983C3">
      <w:pPr>
        <w:numPr>
          <w:ilvl w:val="0"/>
          <w:numId w:val="0"/>
        </w:numPr>
        <w:spacing w:line="580" w:lineRule="exact"/>
        <w:ind w:left="0" w:leftChars="0" w:firstLine="643" w:firstLineChars="200"/>
        <w:rPr>
          <w:rFonts w:hint="eastAsia" w:ascii="仿宋_GB2312" w:hAnsi="仿宋_GB2312" w:eastAsia="仿宋_GB2312" w:cs="仿宋_GB2312"/>
          <w:color w:val="auto"/>
          <w:sz w:val="32"/>
          <w:szCs w:val="32"/>
        </w:rPr>
      </w:pPr>
      <w:r>
        <w:rPr>
          <w:rFonts w:hint="default" w:ascii="仿宋_GB2312" w:hAnsi="仿宋_GB2312" w:eastAsia="仿宋_GB2312" w:cs="仿宋_GB2312"/>
          <w:b/>
          <w:bCs/>
          <w:color w:val="auto"/>
          <w:kern w:val="2"/>
          <w:sz w:val="32"/>
          <w:szCs w:val="32"/>
          <w:lang w:val="en-US" w:eastAsia="zh-CN" w:bidi="ar-SA"/>
          <w14:ligatures w14:val="standardContextual"/>
        </w:rPr>
        <w:t>1</w:t>
      </w:r>
      <w:r>
        <w:rPr>
          <w:rFonts w:hint="eastAsia" w:ascii="仿宋_GB2312" w:hAnsi="仿宋_GB2312" w:eastAsia="仿宋_GB2312" w:cs="仿宋_GB2312"/>
          <w:b/>
          <w:bCs/>
          <w:color w:val="auto"/>
          <w:kern w:val="2"/>
          <w:sz w:val="32"/>
          <w:szCs w:val="32"/>
          <w:lang w:val="en-US" w:eastAsia="zh-CN" w:bidi="ar-SA"/>
          <w14:ligatures w14:val="standardContextual"/>
        </w:rPr>
        <w:t>3.</w:t>
      </w:r>
      <w:r>
        <w:rPr>
          <w:rFonts w:hint="eastAsia" w:ascii="仿宋_GB2312" w:hAnsi="仿宋_GB2312" w:eastAsia="仿宋_GB2312" w:cs="仿宋_GB2312"/>
          <w:b/>
          <w:bCs/>
          <w:color w:val="auto"/>
          <w:sz w:val="32"/>
          <w:szCs w:val="32"/>
        </w:rPr>
        <w:t>美丽幸福河湖建成率（%）</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按《上海市幸福河湖评估办法》评估，得分达到85分以上的镇管及以上河湖数量占比。</w:t>
      </w:r>
    </w:p>
    <w:p w14:paraId="2FD0D333">
      <w:pPr>
        <w:numPr>
          <w:ilvl w:val="0"/>
          <w:numId w:val="0"/>
        </w:numPr>
        <w:spacing w:line="580" w:lineRule="exact"/>
        <w:ind w:left="0" w:leftChars="0" w:firstLine="602" w:firstLineChars="200"/>
        <w:rPr>
          <w:rFonts w:ascii="Times New Roman" w:hAnsi="Times New Roman" w:eastAsia="仿宋_GB2312" w:cs="Times New Roman"/>
          <w:color w:val="auto"/>
          <w:sz w:val="30"/>
          <w:szCs w:val="30"/>
        </w:rPr>
      </w:pPr>
      <w:r>
        <w:rPr>
          <w:rFonts w:hint="default" w:ascii="Times New Roman" w:hAnsi="Times New Roman" w:eastAsia="仿宋_GB2312" w:cs="Times New Roman"/>
          <w:b/>
          <w:bCs/>
          <w:color w:val="auto"/>
          <w:kern w:val="2"/>
          <w:sz w:val="30"/>
          <w:szCs w:val="30"/>
          <w:lang w:val="en-US" w:eastAsia="zh-CN" w:bidi="ar-SA"/>
          <w14:ligatures w14:val="standardContextual"/>
        </w:rPr>
        <w:t>1</w:t>
      </w:r>
      <w:r>
        <w:rPr>
          <w:rFonts w:hint="eastAsia" w:ascii="Times New Roman" w:hAnsi="Times New Roman" w:eastAsia="仿宋_GB2312" w:cs="Times New Roman"/>
          <w:b/>
          <w:bCs/>
          <w:color w:val="auto"/>
          <w:kern w:val="2"/>
          <w:sz w:val="30"/>
          <w:szCs w:val="30"/>
          <w:lang w:val="en-US" w:eastAsia="zh-CN" w:bidi="ar-SA"/>
          <w14:ligatures w14:val="standardContextual"/>
        </w:rPr>
        <w:t>4.</w:t>
      </w:r>
      <w:r>
        <w:rPr>
          <w:rFonts w:hint="eastAsia" w:ascii="仿宋_GB2312" w:hAnsi="仿宋_GB2312" w:eastAsia="仿宋_GB2312" w:cs="仿宋_GB2312"/>
          <w:b/>
          <w:bCs/>
          <w:color w:val="auto"/>
          <w:sz w:val="32"/>
          <w:szCs w:val="32"/>
        </w:rPr>
        <w:t>人均公园绿地面积（平方米/人）</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指报告期末城区内平均每人拥有的公园绿地面积。</w:t>
      </w:r>
    </w:p>
    <w:p w14:paraId="2139B604">
      <w:pPr>
        <w:numPr>
          <w:ilvl w:val="0"/>
          <w:numId w:val="0"/>
        </w:numPr>
        <w:spacing w:line="580" w:lineRule="exact"/>
        <w:ind w:left="0" w:leftChars="0" w:firstLine="602" w:firstLineChars="200"/>
        <w:rPr>
          <w:rFonts w:ascii="Times New Roman" w:hAnsi="Times New Roman" w:eastAsia="仿宋_GB2312" w:cs="Times New Roman"/>
          <w:color w:val="auto"/>
          <w:sz w:val="30"/>
          <w:szCs w:val="30"/>
        </w:rPr>
      </w:pPr>
      <w:r>
        <w:rPr>
          <w:rFonts w:hint="default" w:ascii="Times New Roman" w:hAnsi="Times New Roman" w:eastAsia="仿宋_GB2312" w:cs="Times New Roman"/>
          <w:b/>
          <w:bCs/>
          <w:color w:val="auto"/>
          <w:kern w:val="2"/>
          <w:sz w:val="30"/>
          <w:szCs w:val="30"/>
          <w:lang w:val="en-US" w:eastAsia="zh-CN" w:bidi="ar-SA"/>
          <w14:ligatures w14:val="standardContextual"/>
        </w:rPr>
        <w:t>1</w:t>
      </w:r>
      <w:r>
        <w:rPr>
          <w:rFonts w:hint="eastAsia" w:ascii="Times New Roman" w:hAnsi="Times New Roman" w:eastAsia="仿宋_GB2312" w:cs="Times New Roman"/>
          <w:b/>
          <w:bCs/>
          <w:color w:val="auto"/>
          <w:kern w:val="2"/>
          <w:sz w:val="30"/>
          <w:szCs w:val="30"/>
          <w:lang w:val="en-US" w:eastAsia="zh-CN" w:bidi="ar-SA"/>
          <w14:ligatures w14:val="standardContextual"/>
        </w:rPr>
        <w:t>5.</w:t>
      </w:r>
      <w:r>
        <w:rPr>
          <w:rFonts w:hint="eastAsia" w:ascii="仿宋_GB2312" w:hAnsi="仿宋_GB2312" w:eastAsia="仿宋_GB2312" w:cs="仿宋_GB2312"/>
          <w:b/>
          <w:bCs/>
          <w:color w:val="auto"/>
          <w:sz w:val="32"/>
          <w:szCs w:val="32"/>
        </w:rPr>
        <w:t>生态质量指数（EQI）</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表征行政区域内生态格局、生态功能、生物多样性、生态胁迫等生态质量状况。以市级生态环保部门公布数据为准</w:t>
      </w:r>
      <w:r>
        <w:rPr>
          <w:rFonts w:hint="eastAsia" w:ascii="仿宋_GB2312" w:hAnsi="仿宋_GB2312" w:eastAsia="仿宋_GB2312" w:cs="仿宋_GB2312"/>
          <w:color w:val="auto"/>
          <w:sz w:val="32"/>
          <w:szCs w:val="32"/>
          <w:lang w:eastAsia="zh-CN"/>
        </w:rPr>
        <w:t>。</w:t>
      </w:r>
    </w:p>
    <w:p w14:paraId="43449D8F">
      <w:pPr>
        <w:widowControl/>
        <w:jc w:val="left"/>
        <w:rPr>
          <w:rFonts w:ascii="Times New Roman" w:hAnsi="Times New Roman" w:eastAsia="仿宋_GB2312" w:cs="Times New Roman"/>
          <w:color w:val="auto"/>
          <w:sz w:val="30"/>
          <w:szCs w:val="30"/>
        </w:rPr>
      </w:pPr>
    </w:p>
    <w:p w14:paraId="5CEC60A7">
      <w:pPr>
        <w:widowControl/>
        <w:jc w:val="left"/>
        <w:rPr>
          <w:rFonts w:ascii="Times New Roman" w:hAnsi="Times New Roman" w:eastAsia="仿宋_GB2312" w:cs="Times New Roman"/>
          <w:color w:val="auto"/>
          <w:sz w:val="30"/>
          <w:szCs w:val="30"/>
        </w:rPr>
      </w:pPr>
    </w:p>
    <w:p w14:paraId="7969B132">
      <w:pPr>
        <w:widowControl/>
        <w:jc w:val="left"/>
        <w:rPr>
          <w:rFonts w:ascii="Times New Roman" w:hAnsi="Times New Roman" w:eastAsia="仿宋_GB2312" w:cs="Times New Roman"/>
          <w:color w:val="auto"/>
          <w:sz w:val="30"/>
          <w:szCs w:val="30"/>
        </w:rPr>
      </w:pPr>
    </w:p>
    <w:p w14:paraId="468AE13D">
      <w:pPr>
        <w:widowControl/>
        <w:jc w:val="left"/>
        <w:rPr>
          <w:rFonts w:ascii="Times New Roman" w:hAnsi="Times New Roman" w:eastAsia="仿宋_GB2312" w:cs="Times New Roman"/>
          <w:color w:val="auto"/>
          <w:sz w:val="30"/>
          <w:szCs w:val="30"/>
        </w:rPr>
      </w:pPr>
    </w:p>
    <w:p w14:paraId="738EFE26">
      <w:pPr>
        <w:widowControl/>
        <w:jc w:val="left"/>
        <w:rPr>
          <w:rFonts w:ascii="Times New Roman" w:hAnsi="Times New Roman" w:eastAsia="仿宋_GB2312" w:cs="Times New Roman"/>
          <w:color w:val="auto"/>
          <w:sz w:val="30"/>
          <w:szCs w:val="30"/>
        </w:rPr>
      </w:pPr>
    </w:p>
    <w:p w14:paraId="7D454A87">
      <w:pPr>
        <w:widowControl/>
        <w:jc w:val="left"/>
        <w:rPr>
          <w:rFonts w:ascii="Times New Roman" w:hAnsi="Times New Roman" w:eastAsia="仿宋_GB2312" w:cs="Times New Roman"/>
          <w:color w:val="auto"/>
          <w:sz w:val="30"/>
          <w:szCs w:val="30"/>
        </w:rPr>
      </w:pPr>
    </w:p>
    <w:p w14:paraId="39E36E6A">
      <w:pPr>
        <w:widowControl/>
        <w:jc w:val="left"/>
        <w:rPr>
          <w:rFonts w:ascii="Times New Roman" w:hAnsi="Times New Roman" w:eastAsia="仿宋_GB2312" w:cs="Times New Roman"/>
          <w:color w:val="auto"/>
          <w:sz w:val="30"/>
          <w:szCs w:val="30"/>
        </w:rPr>
      </w:pPr>
    </w:p>
    <w:p w14:paraId="3C3356E9">
      <w:pPr>
        <w:widowControl/>
        <w:jc w:val="left"/>
        <w:rPr>
          <w:rFonts w:ascii="Times New Roman" w:hAnsi="Times New Roman" w:eastAsia="仿宋_GB2312" w:cs="Times New Roman"/>
          <w:color w:val="auto"/>
          <w:sz w:val="30"/>
          <w:szCs w:val="30"/>
        </w:rPr>
      </w:pPr>
    </w:p>
    <w:p w14:paraId="463DC3D8">
      <w:pPr>
        <w:widowControl/>
        <w:jc w:val="left"/>
        <w:rPr>
          <w:rFonts w:ascii="Times New Roman" w:hAnsi="Times New Roman" w:eastAsia="仿宋_GB2312" w:cs="Times New Roman"/>
          <w:color w:val="auto"/>
          <w:sz w:val="30"/>
          <w:szCs w:val="30"/>
        </w:rPr>
      </w:pPr>
    </w:p>
    <w:p w14:paraId="7449CAAD">
      <w:pPr>
        <w:widowControl/>
        <w:jc w:val="left"/>
        <w:rPr>
          <w:rFonts w:ascii="Times New Roman" w:hAnsi="Times New Roman" w:eastAsia="仿宋_GB2312" w:cs="Times New Roman"/>
          <w:color w:val="auto"/>
          <w:sz w:val="30"/>
          <w:szCs w:val="30"/>
        </w:rPr>
      </w:pPr>
    </w:p>
    <w:p w14:paraId="07564E70">
      <w:pPr>
        <w:widowControl/>
        <w:jc w:val="left"/>
        <w:rPr>
          <w:rFonts w:ascii="Times New Roman" w:hAnsi="Times New Roman" w:eastAsia="仿宋_GB2312" w:cs="Times New Roman"/>
          <w:color w:val="auto"/>
          <w:sz w:val="30"/>
          <w:szCs w:val="30"/>
        </w:rPr>
      </w:pPr>
    </w:p>
    <w:p w14:paraId="4CDC98C8">
      <w:pPr>
        <w:rPr>
          <w:rFonts w:ascii="Times New Roman" w:hAnsi="Times New Roman" w:eastAsia="仿宋_GB2312" w:cs="Times New Roman"/>
          <w:color w:val="auto"/>
          <w:sz w:val="30"/>
          <w:szCs w:val="30"/>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DA77D">
    <w:pPr>
      <w:pStyle w:val="14"/>
      <w:jc w:val="center"/>
      <w:rPr>
        <w:rFonts w:hint="eastAsia"/>
      </w:rPr>
    </w:pPr>
  </w:p>
  <w:p w14:paraId="20AF1937">
    <w:pPr>
      <w:pStyle w:val="14"/>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70EB7">
    <w:pPr>
      <w:pStyle w:val="14"/>
      <w:jc w:val="center"/>
      <w:rPr>
        <w:rFonts w:hint="eastAsia"/>
      </w:rPr>
    </w:pPr>
  </w:p>
  <w:p w14:paraId="09F572A7">
    <w:pPr>
      <w:pStyle w:val="14"/>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C4336">
    <w:pPr>
      <w:pStyle w:val="14"/>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E0C11">
    <w:pPr>
      <w:pStyle w:val="14"/>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5146"/>
                          </w:sdtPr>
                          <w:sdtContent>
                            <w:p w14:paraId="7147126F">
                              <w:pPr>
                                <w:pStyle w:val="14"/>
                                <w:jc w:val="center"/>
                              </w:pPr>
                              <w:r>
                                <w:fldChar w:fldCharType="begin"/>
                              </w:r>
                              <w:r>
                                <w:instrText xml:space="preserve">PAGE   \* MERGEFORMAT</w:instrText>
                              </w:r>
                              <w:r>
                                <w:fldChar w:fldCharType="separate"/>
                              </w:r>
                              <w:r>
                                <w:rPr>
                                  <w:lang w:val="zh-CN"/>
                                </w:rPr>
                                <w:t>2</w:t>
                              </w:r>
                              <w:r>
                                <w:fldChar w:fldCharType="end"/>
                              </w:r>
                            </w:p>
                          </w:sdtContent>
                        </w:sdt>
                        <w:p w14:paraId="3D4E57DE"/>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147465146"/>
                    </w:sdtPr>
                    <w:sdtContent>
                      <w:p w14:paraId="7147126F">
                        <w:pPr>
                          <w:pStyle w:val="14"/>
                          <w:jc w:val="center"/>
                        </w:pPr>
                        <w:r>
                          <w:fldChar w:fldCharType="begin"/>
                        </w:r>
                        <w:r>
                          <w:instrText xml:space="preserve">PAGE   \* MERGEFORMAT</w:instrText>
                        </w:r>
                        <w:r>
                          <w:fldChar w:fldCharType="separate"/>
                        </w:r>
                        <w:r>
                          <w:rPr>
                            <w:lang w:val="zh-CN"/>
                          </w:rPr>
                          <w:t>2</w:t>
                        </w:r>
                        <w:r>
                          <w:fldChar w:fldCharType="end"/>
                        </w:r>
                      </w:p>
                    </w:sdtContent>
                  </w:sdt>
                  <w:p w14:paraId="3D4E57DE"/>
                </w:txbxContent>
              </v:textbox>
            </v:shape>
          </w:pict>
        </mc:Fallback>
      </mc:AlternateContent>
    </w:r>
  </w:p>
  <w:p w14:paraId="756EC4F5">
    <w:pPr>
      <w:pStyle w:val="14"/>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F92"/>
    <w:rsid w:val="00005BAB"/>
    <w:rsid w:val="00005D41"/>
    <w:rsid w:val="000068B5"/>
    <w:rsid w:val="0001061E"/>
    <w:rsid w:val="00011912"/>
    <w:rsid w:val="0001237D"/>
    <w:rsid w:val="000152E1"/>
    <w:rsid w:val="000165B1"/>
    <w:rsid w:val="00031C15"/>
    <w:rsid w:val="0003479C"/>
    <w:rsid w:val="000378C0"/>
    <w:rsid w:val="00041312"/>
    <w:rsid w:val="000434AF"/>
    <w:rsid w:val="00043516"/>
    <w:rsid w:val="00043B00"/>
    <w:rsid w:val="000464FE"/>
    <w:rsid w:val="00046E75"/>
    <w:rsid w:val="0004705E"/>
    <w:rsid w:val="000475C5"/>
    <w:rsid w:val="000477EB"/>
    <w:rsid w:val="000554F2"/>
    <w:rsid w:val="000562AD"/>
    <w:rsid w:val="00056D0E"/>
    <w:rsid w:val="00057B02"/>
    <w:rsid w:val="00060053"/>
    <w:rsid w:val="00061AAE"/>
    <w:rsid w:val="000645B5"/>
    <w:rsid w:val="00065038"/>
    <w:rsid w:val="00065D03"/>
    <w:rsid w:val="00073DFB"/>
    <w:rsid w:val="00074DD0"/>
    <w:rsid w:val="00075FB5"/>
    <w:rsid w:val="00086E20"/>
    <w:rsid w:val="000A24FC"/>
    <w:rsid w:val="000A3BD9"/>
    <w:rsid w:val="000A641C"/>
    <w:rsid w:val="000B0B1E"/>
    <w:rsid w:val="000B416A"/>
    <w:rsid w:val="000B4A2F"/>
    <w:rsid w:val="000B513D"/>
    <w:rsid w:val="000B5F45"/>
    <w:rsid w:val="000B6119"/>
    <w:rsid w:val="000C2A9D"/>
    <w:rsid w:val="000C61ED"/>
    <w:rsid w:val="000C67C6"/>
    <w:rsid w:val="000C7FD4"/>
    <w:rsid w:val="000D0472"/>
    <w:rsid w:val="000D16F4"/>
    <w:rsid w:val="000D3871"/>
    <w:rsid w:val="000D50F8"/>
    <w:rsid w:val="000E2D20"/>
    <w:rsid w:val="000E4210"/>
    <w:rsid w:val="000E4DBA"/>
    <w:rsid w:val="000E5D3C"/>
    <w:rsid w:val="000F391F"/>
    <w:rsid w:val="000F5610"/>
    <w:rsid w:val="000F78DB"/>
    <w:rsid w:val="0010086F"/>
    <w:rsid w:val="00111481"/>
    <w:rsid w:val="001134E4"/>
    <w:rsid w:val="001146C3"/>
    <w:rsid w:val="00120155"/>
    <w:rsid w:val="00121A05"/>
    <w:rsid w:val="0012748D"/>
    <w:rsid w:val="00127641"/>
    <w:rsid w:val="00131BDB"/>
    <w:rsid w:val="00136C89"/>
    <w:rsid w:val="00137508"/>
    <w:rsid w:val="00137F92"/>
    <w:rsid w:val="0014048E"/>
    <w:rsid w:val="00142D30"/>
    <w:rsid w:val="00143479"/>
    <w:rsid w:val="00145B4A"/>
    <w:rsid w:val="00155EA6"/>
    <w:rsid w:val="00157BBE"/>
    <w:rsid w:val="001608CE"/>
    <w:rsid w:val="001615FF"/>
    <w:rsid w:val="00162AD1"/>
    <w:rsid w:val="0017324A"/>
    <w:rsid w:val="00177717"/>
    <w:rsid w:val="00181322"/>
    <w:rsid w:val="00181DC8"/>
    <w:rsid w:val="00182176"/>
    <w:rsid w:val="0018266C"/>
    <w:rsid w:val="0018410C"/>
    <w:rsid w:val="001936D9"/>
    <w:rsid w:val="00197B0E"/>
    <w:rsid w:val="001A0BCC"/>
    <w:rsid w:val="001A1E31"/>
    <w:rsid w:val="001A2210"/>
    <w:rsid w:val="001A2C37"/>
    <w:rsid w:val="001B629B"/>
    <w:rsid w:val="001C0375"/>
    <w:rsid w:val="001D3949"/>
    <w:rsid w:val="001D440D"/>
    <w:rsid w:val="001D4CF3"/>
    <w:rsid w:val="001E1EB8"/>
    <w:rsid w:val="001E6677"/>
    <w:rsid w:val="001F11CB"/>
    <w:rsid w:val="001F4115"/>
    <w:rsid w:val="00210662"/>
    <w:rsid w:val="00210A0A"/>
    <w:rsid w:val="00210DB6"/>
    <w:rsid w:val="00211D5D"/>
    <w:rsid w:val="00214326"/>
    <w:rsid w:val="0022086D"/>
    <w:rsid w:val="00220E50"/>
    <w:rsid w:val="00223FE7"/>
    <w:rsid w:val="00224557"/>
    <w:rsid w:val="002245E6"/>
    <w:rsid w:val="002277E7"/>
    <w:rsid w:val="00227B65"/>
    <w:rsid w:val="00230AA3"/>
    <w:rsid w:val="00237A82"/>
    <w:rsid w:val="00242B4D"/>
    <w:rsid w:val="00245C3B"/>
    <w:rsid w:val="00246479"/>
    <w:rsid w:val="00250C81"/>
    <w:rsid w:val="0025472C"/>
    <w:rsid w:val="00254C93"/>
    <w:rsid w:val="00254E17"/>
    <w:rsid w:val="00255089"/>
    <w:rsid w:val="00257E87"/>
    <w:rsid w:val="00260DB1"/>
    <w:rsid w:val="002628D2"/>
    <w:rsid w:val="00265AC8"/>
    <w:rsid w:val="00271FEA"/>
    <w:rsid w:val="0027360C"/>
    <w:rsid w:val="00274444"/>
    <w:rsid w:val="0027591E"/>
    <w:rsid w:val="00276DDD"/>
    <w:rsid w:val="00277701"/>
    <w:rsid w:val="0028231F"/>
    <w:rsid w:val="002835A5"/>
    <w:rsid w:val="00283823"/>
    <w:rsid w:val="0029149D"/>
    <w:rsid w:val="00293DC9"/>
    <w:rsid w:val="002A676B"/>
    <w:rsid w:val="002B0FBC"/>
    <w:rsid w:val="002B1EB3"/>
    <w:rsid w:val="002B4511"/>
    <w:rsid w:val="002C0ED5"/>
    <w:rsid w:val="002C1A8B"/>
    <w:rsid w:val="002C1B03"/>
    <w:rsid w:val="002C7149"/>
    <w:rsid w:val="002D0CF7"/>
    <w:rsid w:val="002D623E"/>
    <w:rsid w:val="002D68B8"/>
    <w:rsid w:val="002E11C5"/>
    <w:rsid w:val="002E376D"/>
    <w:rsid w:val="002E5657"/>
    <w:rsid w:val="002E59A5"/>
    <w:rsid w:val="002E6D6C"/>
    <w:rsid w:val="002F026D"/>
    <w:rsid w:val="003029D1"/>
    <w:rsid w:val="003034AC"/>
    <w:rsid w:val="0030463C"/>
    <w:rsid w:val="00307070"/>
    <w:rsid w:val="003076FD"/>
    <w:rsid w:val="00310D87"/>
    <w:rsid w:val="00311660"/>
    <w:rsid w:val="00311D74"/>
    <w:rsid w:val="00313C4C"/>
    <w:rsid w:val="003158F6"/>
    <w:rsid w:val="0031712A"/>
    <w:rsid w:val="0032201F"/>
    <w:rsid w:val="003303EF"/>
    <w:rsid w:val="00330F47"/>
    <w:rsid w:val="0033360E"/>
    <w:rsid w:val="00334E94"/>
    <w:rsid w:val="003363D7"/>
    <w:rsid w:val="00336A2C"/>
    <w:rsid w:val="003435BF"/>
    <w:rsid w:val="00345737"/>
    <w:rsid w:val="00345E6B"/>
    <w:rsid w:val="003479A8"/>
    <w:rsid w:val="00353AE2"/>
    <w:rsid w:val="00354407"/>
    <w:rsid w:val="00354851"/>
    <w:rsid w:val="0036309C"/>
    <w:rsid w:val="0036472F"/>
    <w:rsid w:val="00366565"/>
    <w:rsid w:val="00370389"/>
    <w:rsid w:val="00373F2B"/>
    <w:rsid w:val="003769A0"/>
    <w:rsid w:val="003840BB"/>
    <w:rsid w:val="00387526"/>
    <w:rsid w:val="00393626"/>
    <w:rsid w:val="00395123"/>
    <w:rsid w:val="003975C0"/>
    <w:rsid w:val="003B1928"/>
    <w:rsid w:val="003B1E48"/>
    <w:rsid w:val="003B34E9"/>
    <w:rsid w:val="003B49FB"/>
    <w:rsid w:val="003B6188"/>
    <w:rsid w:val="003B6720"/>
    <w:rsid w:val="003C1121"/>
    <w:rsid w:val="003C2D25"/>
    <w:rsid w:val="003C34E9"/>
    <w:rsid w:val="003C37C7"/>
    <w:rsid w:val="003C50C9"/>
    <w:rsid w:val="003C54AF"/>
    <w:rsid w:val="003C628A"/>
    <w:rsid w:val="003C6781"/>
    <w:rsid w:val="003C6B1E"/>
    <w:rsid w:val="003D60AE"/>
    <w:rsid w:val="003E232D"/>
    <w:rsid w:val="003E2582"/>
    <w:rsid w:val="003E77B8"/>
    <w:rsid w:val="003F1759"/>
    <w:rsid w:val="003F2E1E"/>
    <w:rsid w:val="003F398B"/>
    <w:rsid w:val="003F6030"/>
    <w:rsid w:val="00407656"/>
    <w:rsid w:val="00410486"/>
    <w:rsid w:val="0041064C"/>
    <w:rsid w:val="0041198D"/>
    <w:rsid w:val="00411F85"/>
    <w:rsid w:val="004121FA"/>
    <w:rsid w:val="00412F8C"/>
    <w:rsid w:val="00415F58"/>
    <w:rsid w:val="00420FC2"/>
    <w:rsid w:val="00421B9B"/>
    <w:rsid w:val="00421C50"/>
    <w:rsid w:val="0042290D"/>
    <w:rsid w:val="00423F27"/>
    <w:rsid w:val="0042437F"/>
    <w:rsid w:val="00430C59"/>
    <w:rsid w:val="004316F7"/>
    <w:rsid w:val="00432A0E"/>
    <w:rsid w:val="00434207"/>
    <w:rsid w:val="0043435C"/>
    <w:rsid w:val="004376C9"/>
    <w:rsid w:val="00437740"/>
    <w:rsid w:val="0044322F"/>
    <w:rsid w:val="0044344F"/>
    <w:rsid w:val="00444EC9"/>
    <w:rsid w:val="00444EFE"/>
    <w:rsid w:val="0044590E"/>
    <w:rsid w:val="00445D2F"/>
    <w:rsid w:val="00452A96"/>
    <w:rsid w:val="00452C09"/>
    <w:rsid w:val="00457777"/>
    <w:rsid w:val="004605E5"/>
    <w:rsid w:val="00463D77"/>
    <w:rsid w:val="004709B2"/>
    <w:rsid w:val="0047101B"/>
    <w:rsid w:val="004721FF"/>
    <w:rsid w:val="00473977"/>
    <w:rsid w:val="0047497B"/>
    <w:rsid w:val="00476323"/>
    <w:rsid w:val="00481547"/>
    <w:rsid w:val="00483AD3"/>
    <w:rsid w:val="00483DA0"/>
    <w:rsid w:val="00484ECB"/>
    <w:rsid w:val="00484F9E"/>
    <w:rsid w:val="004874AE"/>
    <w:rsid w:val="00491376"/>
    <w:rsid w:val="0049412B"/>
    <w:rsid w:val="00494870"/>
    <w:rsid w:val="00494F19"/>
    <w:rsid w:val="004A2C50"/>
    <w:rsid w:val="004A3D12"/>
    <w:rsid w:val="004A40DC"/>
    <w:rsid w:val="004A601A"/>
    <w:rsid w:val="004A6C03"/>
    <w:rsid w:val="004B0EA2"/>
    <w:rsid w:val="004B1EFD"/>
    <w:rsid w:val="004B4133"/>
    <w:rsid w:val="004B6A34"/>
    <w:rsid w:val="004B7FF9"/>
    <w:rsid w:val="004C02D4"/>
    <w:rsid w:val="004C07F1"/>
    <w:rsid w:val="004C2E64"/>
    <w:rsid w:val="004C316A"/>
    <w:rsid w:val="004C3181"/>
    <w:rsid w:val="004C77EF"/>
    <w:rsid w:val="004D3566"/>
    <w:rsid w:val="004D393B"/>
    <w:rsid w:val="004D4429"/>
    <w:rsid w:val="004E35F0"/>
    <w:rsid w:val="004E4C4C"/>
    <w:rsid w:val="004E6124"/>
    <w:rsid w:val="004F0FE8"/>
    <w:rsid w:val="004F282A"/>
    <w:rsid w:val="004F2FE0"/>
    <w:rsid w:val="004F57C5"/>
    <w:rsid w:val="005006D9"/>
    <w:rsid w:val="005015B1"/>
    <w:rsid w:val="0050492D"/>
    <w:rsid w:val="005063AC"/>
    <w:rsid w:val="00510DD9"/>
    <w:rsid w:val="005110CD"/>
    <w:rsid w:val="00512073"/>
    <w:rsid w:val="0051349F"/>
    <w:rsid w:val="00516629"/>
    <w:rsid w:val="00520518"/>
    <w:rsid w:val="005247B4"/>
    <w:rsid w:val="00527EA4"/>
    <w:rsid w:val="0053522C"/>
    <w:rsid w:val="00535399"/>
    <w:rsid w:val="0053646E"/>
    <w:rsid w:val="005425C5"/>
    <w:rsid w:val="00544756"/>
    <w:rsid w:val="0054597A"/>
    <w:rsid w:val="00547C0F"/>
    <w:rsid w:val="00551977"/>
    <w:rsid w:val="00556EE7"/>
    <w:rsid w:val="005621F5"/>
    <w:rsid w:val="00563CAA"/>
    <w:rsid w:val="00564C23"/>
    <w:rsid w:val="0057217E"/>
    <w:rsid w:val="00572327"/>
    <w:rsid w:val="00573841"/>
    <w:rsid w:val="00573EBE"/>
    <w:rsid w:val="00575475"/>
    <w:rsid w:val="005773B8"/>
    <w:rsid w:val="00582B2F"/>
    <w:rsid w:val="005830D1"/>
    <w:rsid w:val="005940B4"/>
    <w:rsid w:val="005940BE"/>
    <w:rsid w:val="005950D6"/>
    <w:rsid w:val="0059714F"/>
    <w:rsid w:val="005A3123"/>
    <w:rsid w:val="005A32ED"/>
    <w:rsid w:val="005A37C4"/>
    <w:rsid w:val="005B03D9"/>
    <w:rsid w:val="005B4233"/>
    <w:rsid w:val="005B5559"/>
    <w:rsid w:val="005B61BC"/>
    <w:rsid w:val="005C44F4"/>
    <w:rsid w:val="005C4A0B"/>
    <w:rsid w:val="005C73DC"/>
    <w:rsid w:val="005D00AA"/>
    <w:rsid w:val="005D063E"/>
    <w:rsid w:val="005D2538"/>
    <w:rsid w:val="005D2C8D"/>
    <w:rsid w:val="005D32F7"/>
    <w:rsid w:val="005D36E1"/>
    <w:rsid w:val="005D393D"/>
    <w:rsid w:val="005D59B7"/>
    <w:rsid w:val="005E0D92"/>
    <w:rsid w:val="005E3F97"/>
    <w:rsid w:val="005E48C1"/>
    <w:rsid w:val="005E61F0"/>
    <w:rsid w:val="005E7AE7"/>
    <w:rsid w:val="005F4338"/>
    <w:rsid w:val="005F54B8"/>
    <w:rsid w:val="005F58E9"/>
    <w:rsid w:val="006003C0"/>
    <w:rsid w:val="0060072C"/>
    <w:rsid w:val="00601C13"/>
    <w:rsid w:val="006041C8"/>
    <w:rsid w:val="00606E29"/>
    <w:rsid w:val="0060785C"/>
    <w:rsid w:val="0060795F"/>
    <w:rsid w:val="0061088D"/>
    <w:rsid w:val="00612655"/>
    <w:rsid w:val="0061331E"/>
    <w:rsid w:val="00616E2C"/>
    <w:rsid w:val="00620A5A"/>
    <w:rsid w:val="006213F8"/>
    <w:rsid w:val="006226FE"/>
    <w:rsid w:val="00630D80"/>
    <w:rsid w:val="0063417A"/>
    <w:rsid w:val="00635C82"/>
    <w:rsid w:val="006360F9"/>
    <w:rsid w:val="00640F5B"/>
    <w:rsid w:val="006415C5"/>
    <w:rsid w:val="006431A0"/>
    <w:rsid w:val="0064541D"/>
    <w:rsid w:val="006466E9"/>
    <w:rsid w:val="006527AC"/>
    <w:rsid w:val="00654019"/>
    <w:rsid w:val="00654F8E"/>
    <w:rsid w:val="006575A3"/>
    <w:rsid w:val="00657CB6"/>
    <w:rsid w:val="00660046"/>
    <w:rsid w:val="00664612"/>
    <w:rsid w:val="00670A40"/>
    <w:rsid w:val="00671E3A"/>
    <w:rsid w:val="00673C29"/>
    <w:rsid w:val="00674640"/>
    <w:rsid w:val="00676FA6"/>
    <w:rsid w:val="00686D3A"/>
    <w:rsid w:val="00687EF2"/>
    <w:rsid w:val="00695446"/>
    <w:rsid w:val="006973C0"/>
    <w:rsid w:val="006A753E"/>
    <w:rsid w:val="006B224C"/>
    <w:rsid w:val="006B4C2C"/>
    <w:rsid w:val="006B5E2C"/>
    <w:rsid w:val="006B6953"/>
    <w:rsid w:val="006C059B"/>
    <w:rsid w:val="006C5427"/>
    <w:rsid w:val="006C6C33"/>
    <w:rsid w:val="006D0A41"/>
    <w:rsid w:val="006D589E"/>
    <w:rsid w:val="006D655F"/>
    <w:rsid w:val="006E0CA5"/>
    <w:rsid w:val="006E19DF"/>
    <w:rsid w:val="006E2B08"/>
    <w:rsid w:val="006E5285"/>
    <w:rsid w:val="006F6CCE"/>
    <w:rsid w:val="006F7091"/>
    <w:rsid w:val="0071104F"/>
    <w:rsid w:val="00717C39"/>
    <w:rsid w:val="007203FB"/>
    <w:rsid w:val="007259DE"/>
    <w:rsid w:val="007266E8"/>
    <w:rsid w:val="007267BA"/>
    <w:rsid w:val="00731550"/>
    <w:rsid w:val="00731C91"/>
    <w:rsid w:val="00740581"/>
    <w:rsid w:val="007406DA"/>
    <w:rsid w:val="00740890"/>
    <w:rsid w:val="00744BBF"/>
    <w:rsid w:val="00745096"/>
    <w:rsid w:val="007506C9"/>
    <w:rsid w:val="00762CF7"/>
    <w:rsid w:val="00763CA5"/>
    <w:rsid w:val="00764A7F"/>
    <w:rsid w:val="00767068"/>
    <w:rsid w:val="0076725D"/>
    <w:rsid w:val="007676E3"/>
    <w:rsid w:val="00771433"/>
    <w:rsid w:val="0077546A"/>
    <w:rsid w:val="00777CB0"/>
    <w:rsid w:val="00777F30"/>
    <w:rsid w:val="0078575C"/>
    <w:rsid w:val="007912A7"/>
    <w:rsid w:val="00793FFA"/>
    <w:rsid w:val="00794E2F"/>
    <w:rsid w:val="007A086B"/>
    <w:rsid w:val="007A1D6E"/>
    <w:rsid w:val="007A234C"/>
    <w:rsid w:val="007A70AE"/>
    <w:rsid w:val="007B0D39"/>
    <w:rsid w:val="007B12FA"/>
    <w:rsid w:val="007B1E9D"/>
    <w:rsid w:val="007B3555"/>
    <w:rsid w:val="007B49A5"/>
    <w:rsid w:val="007B7B7E"/>
    <w:rsid w:val="007C260B"/>
    <w:rsid w:val="007C31E6"/>
    <w:rsid w:val="007C430A"/>
    <w:rsid w:val="007C574E"/>
    <w:rsid w:val="007D07E8"/>
    <w:rsid w:val="007D0860"/>
    <w:rsid w:val="007D24DA"/>
    <w:rsid w:val="007D3CA6"/>
    <w:rsid w:val="007D404B"/>
    <w:rsid w:val="007E00DB"/>
    <w:rsid w:val="007E13CB"/>
    <w:rsid w:val="007E4AC5"/>
    <w:rsid w:val="007E5BDE"/>
    <w:rsid w:val="007F1EA3"/>
    <w:rsid w:val="007F5C96"/>
    <w:rsid w:val="007F6921"/>
    <w:rsid w:val="008003EC"/>
    <w:rsid w:val="00804F92"/>
    <w:rsid w:val="00812017"/>
    <w:rsid w:val="00812BE9"/>
    <w:rsid w:val="00813864"/>
    <w:rsid w:val="00813DCA"/>
    <w:rsid w:val="008154A6"/>
    <w:rsid w:val="00815750"/>
    <w:rsid w:val="008175C1"/>
    <w:rsid w:val="00820D31"/>
    <w:rsid w:val="0082119E"/>
    <w:rsid w:val="00821323"/>
    <w:rsid w:val="00821A25"/>
    <w:rsid w:val="00823A20"/>
    <w:rsid w:val="00823D4E"/>
    <w:rsid w:val="00825C96"/>
    <w:rsid w:val="00833137"/>
    <w:rsid w:val="008357A7"/>
    <w:rsid w:val="00836254"/>
    <w:rsid w:val="0083629D"/>
    <w:rsid w:val="00844D22"/>
    <w:rsid w:val="00846FCC"/>
    <w:rsid w:val="008522A2"/>
    <w:rsid w:val="0085450A"/>
    <w:rsid w:val="00855899"/>
    <w:rsid w:val="00855AD4"/>
    <w:rsid w:val="0085654A"/>
    <w:rsid w:val="00856E62"/>
    <w:rsid w:val="00857223"/>
    <w:rsid w:val="008629FC"/>
    <w:rsid w:val="00864C1B"/>
    <w:rsid w:val="008722CE"/>
    <w:rsid w:val="008726BE"/>
    <w:rsid w:val="00876D86"/>
    <w:rsid w:val="00880FA3"/>
    <w:rsid w:val="00882716"/>
    <w:rsid w:val="00885732"/>
    <w:rsid w:val="00885753"/>
    <w:rsid w:val="008868DE"/>
    <w:rsid w:val="008872E0"/>
    <w:rsid w:val="00890E41"/>
    <w:rsid w:val="00892300"/>
    <w:rsid w:val="00892A90"/>
    <w:rsid w:val="008938B0"/>
    <w:rsid w:val="0089505A"/>
    <w:rsid w:val="0089652B"/>
    <w:rsid w:val="00896BED"/>
    <w:rsid w:val="0089789C"/>
    <w:rsid w:val="008A3B8B"/>
    <w:rsid w:val="008B04B8"/>
    <w:rsid w:val="008B15CD"/>
    <w:rsid w:val="008B3BF8"/>
    <w:rsid w:val="008B658C"/>
    <w:rsid w:val="008C05E0"/>
    <w:rsid w:val="008C1F1A"/>
    <w:rsid w:val="008C327B"/>
    <w:rsid w:val="008C44F7"/>
    <w:rsid w:val="008D602B"/>
    <w:rsid w:val="008D638C"/>
    <w:rsid w:val="008D7BA8"/>
    <w:rsid w:val="008E005E"/>
    <w:rsid w:val="008E02CC"/>
    <w:rsid w:val="008E054B"/>
    <w:rsid w:val="008E090B"/>
    <w:rsid w:val="008E1A66"/>
    <w:rsid w:val="008E23EC"/>
    <w:rsid w:val="008E559A"/>
    <w:rsid w:val="008F4310"/>
    <w:rsid w:val="008F5CFA"/>
    <w:rsid w:val="009021C5"/>
    <w:rsid w:val="00907BB0"/>
    <w:rsid w:val="0091006E"/>
    <w:rsid w:val="00912F6A"/>
    <w:rsid w:val="009132AB"/>
    <w:rsid w:val="00914272"/>
    <w:rsid w:val="009166B3"/>
    <w:rsid w:val="009210AB"/>
    <w:rsid w:val="00922F0F"/>
    <w:rsid w:val="009249C3"/>
    <w:rsid w:val="00930A57"/>
    <w:rsid w:val="009401BC"/>
    <w:rsid w:val="009422CC"/>
    <w:rsid w:val="00943C2B"/>
    <w:rsid w:val="0094566C"/>
    <w:rsid w:val="009476B0"/>
    <w:rsid w:val="0095025D"/>
    <w:rsid w:val="00950687"/>
    <w:rsid w:val="00970188"/>
    <w:rsid w:val="00970811"/>
    <w:rsid w:val="00970DC6"/>
    <w:rsid w:val="00972289"/>
    <w:rsid w:val="00981031"/>
    <w:rsid w:val="00981071"/>
    <w:rsid w:val="00981CC6"/>
    <w:rsid w:val="00987043"/>
    <w:rsid w:val="00992E67"/>
    <w:rsid w:val="009940E9"/>
    <w:rsid w:val="00995B49"/>
    <w:rsid w:val="00995EBD"/>
    <w:rsid w:val="00996C75"/>
    <w:rsid w:val="009A001F"/>
    <w:rsid w:val="009A0DD4"/>
    <w:rsid w:val="009A19D4"/>
    <w:rsid w:val="009A45AB"/>
    <w:rsid w:val="009A4776"/>
    <w:rsid w:val="009B0811"/>
    <w:rsid w:val="009B0B0C"/>
    <w:rsid w:val="009B40CC"/>
    <w:rsid w:val="009B4495"/>
    <w:rsid w:val="009C09DF"/>
    <w:rsid w:val="009C1E6F"/>
    <w:rsid w:val="009C4744"/>
    <w:rsid w:val="009D4DE3"/>
    <w:rsid w:val="009D6790"/>
    <w:rsid w:val="009E0199"/>
    <w:rsid w:val="009E4692"/>
    <w:rsid w:val="009E6B7C"/>
    <w:rsid w:val="009E77F9"/>
    <w:rsid w:val="009E7EF3"/>
    <w:rsid w:val="009F1F39"/>
    <w:rsid w:val="009F24E4"/>
    <w:rsid w:val="009F3E7B"/>
    <w:rsid w:val="009F509F"/>
    <w:rsid w:val="009F5CC7"/>
    <w:rsid w:val="009F7712"/>
    <w:rsid w:val="00A0052C"/>
    <w:rsid w:val="00A04000"/>
    <w:rsid w:val="00A21E43"/>
    <w:rsid w:val="00A22D4F"/>
    <w:rsid w:val="00A22DF6"/>
    <w:rsid w:val="00A22E02"/>
    <w:rsid w:val="00A259A0"/>
    <w:rsid w:val="00A26E2D"/>
    <w:rsid w:val="00A27BEB"/>
    <w:rsid w:val="00A30141"/>
    <w:rsid w:val="00A30A88"/>
    <w:rsid w:val="00A30F71"/>
    <w:rsid w:val="00A37842"/>
    <w:rsid w:val="00A41829"/>
    <w:rsid w:val="00A418EB"/>
    <w:rsid w:val="00A50388"/>
    <w:rsid w:val="00A53B19"/>
    <w:rsid w:val="00A542FA"/>
    <w:rsid w:val="00A54487"/>
    <w:rsid w:val="00A5463E"/>
    <w:rsid w:val="00A61627"/>
    <w:rsid w:val="00A63A10"/>
    <w:rsid w:val="00A63E86"/>
    <w:rsid w:val="00A655A6"/>
    <w:rsid w:val="00A65C93"/>
    <w:rsid w:val="00A70521"/>
    <w:rsid w:val="00A760A2"/>
    <w:rsid w:val="00A80193"/>
    <w:rsid w:val="00A847F6"/>
    <w:rsid w:val="00A91BC0"/>
    <w:rsid w:val="00A960ED"/>
    <w:rsid w:val="00AA2390"/>
    <w:rsid w:val="00AA2816"/>
    <w:rsid w:val="00AA3100"/>
    <w:rsid w:val="00AA3B0C"/>
    <w:rsid w:val="00AA4F8E"/>
    <w:rsid w:val="00AE45B8"/>
    <w:rsid w:val="00AF45DF"/>
    <w:rsid w:val="00AF46FB"/>
    <w:rsid w:val="00AF4F93"/>
    <w:rsid w:val="00AF7DDB"/>
    <w:rsid w:val="00B0268C"/>
    <w:rsid w:val="00B03DC0"/>
    <w:rsid w:val="00B03F6A"/>
    <w:rsid w:val="00B072C6"/>
    <w:rsid w:val="00B15413"/>
    <w:rsid w:val="00B17664"/>
    <w:rsid w:val="00B20EC2"/>
    <w:rsid w:val="00B21974"/>
    <w:rsid w:val="00B21B99"/>
    <w:rsid w:val="00B21C43"/>
    <w:rsid w:val="00B22A3E"/>
    <w:rsid w:val="00B23C70"/>
    <w:rsid w:val="00B263B5"/>
    <w:rsid w:val="00B266F8"/>
    <w:rsid w:val="00B26DD8"/>
    <w:rsid w:val="00B3071B"/>
    <w:rsid w:val="00B30FB7"/>
    <w:rsid w:val="00B37009"/>
    <w:rsid w:val="00B422E8"/>
    <w:rsid w:val="00B4630C"/>
    <w:rsid w:val="00B470EB"/>
    <w:rsid w:val="00B500E7"/>
    <w:rsid w:val="00B52E25"/>
    <w:rsid w:val="00B57210"/>
    <w:rsid w:val="00B578E0"/>
    <w:rsid w:val="00B644EF"/>
    <w:rsid w:val="00B651A6"/>
    <w:rsid w:val="00B6716F"/>
    <w:rsid w:val="00B716D0"/>
    <w:rsid w:val="00B72DF7"/>
    <w:rsid w:val="00B73AFB"/>
    <w:rsid w:val="00B8379F"/>
    <w:rsid w:val="00B855D0"/>
    <w:rsid w:val="00B85795"/>
    <w:rsid w:val="00B87780"/>
    <w:rsid w:val="00B940FE"/>
    <w:rsid w:val="00B94B61"/>
    <w:rsid w:val="00B95D01"/>
    <w:rsid w:val="00B97EA5"/>
    <w:rsid w:val="00BA062E"/>
    <w:rsid w:val="00BA1FA9"/>
    <w:rsid w:val="00BA54B1"/>
    <w:rsid w:val="00BA5CCF"/>
    <w:rsid w:val="00BB007B"/>
    <w:rsid w:val="00BB6618"/>
    <w:rsid w:val="00BB6D97"/>
    <w:rsid w:val="00BC1CF7"/>
    <w:rsid w:val="00BC4F97"/>
    <w:rsid w:val="00BC53BA"/>
    <w:rsid w:val="00BD0044"/>
    <w:rsid w:val="00BD7FE8"/>
    <w:rsid w:val="00BE38A9"/>
    <w:rsid w:val="00BE4E23"/>
    <w:rsid w:val="00BF122C"/>
    <w:rsid w:val="00BF1AB7"/>
    <w:rsid w:val="00C053A4"/>
    <w:rsid w:val="00C05C64"/>
    <w:rsid w:val="00C07B7A"/>
    <w:rsid w:val="00C07F50"/>
    <w:rsid w:val="00C11750"/>
    <w:rsid w:val="00C128B0"/>
    <w:rsid w:val="00C149CB"/>
    <w:rsid w:val="00C1532F"/>
    <w:rsid w:val="00C26BA5"/>
    <w:rsid w:val="00C301B5"/>
    <w:rsid w:val="00C30429"/>
    <w:rsid w:val="00C35A16"/>
    <w:rsid w:val="00C40D1E"/>
    <w:rsid w:val="00C42A35"/>
    <w:rsid w:val="00C43F69"/>
    <w:rsid w:val="00C479F6"/>
    <w:rsid w:val="00C50523"/>
    <w:rsid w:val="00C51FD7"/>
    <w:rsid w:val="00C63A69"/>
    <w:rsid w:val="00C71A06"/>
    <w:rsid w:val="00C72933"/>
    <w:rsid w:val="00C82537"/>
    <w:rsid w:val="00C84E6F"/>
    <w:rsid w:val="00C903D3"/>
    <w:rsid w:val="00C9089A"/>
    <w:rsid w:val="00C91905"/>
    <w:rsid w:val="00C95572"/>
    <w:rsid w:val="00C96E95"/>
    <w:rsid w:val="00C97830"/>
    <w:rsid w:val="00CA094D"/>
    <w:rsid w:val="00CA2CA4"/>
    <w:rsid w:val="00CA2D26"/>
    <w:rsid w:val="00CA302A"/>
    <w:rsid w:val="00CA3543"/>
    <w:rsid w:val="00CA3CDD"/>
    <w:rsid w:val="00CA3D23"/>
    <w:rsid w:val="00CA5EAC"/>
    <w:rsid w:val="00CB15CE"/>
    <w:rsid w:val="00CB2708"/>
    <w:rsid w:val="00CB2FB0"/>
    <w:rsid w:val="00CB379F"/>
    <w:rsid w:val="00CB4752"/>
    <w:rsid w:val="00CB5D63"/>
    <w:rsid w:val="00CC0536"/>
    <w:rsid w:val="00CC2E50"/>
    <w:rsid w:val="00CC429F"/>
    <w:rsid w:val="00CC613D"/>
    <w:rsid w:val="00CC7692"/>
    <w:rsid w:val="00CD3BFE"/>
    <w:rsid w:val="00CF0565"/>
    <w:rsid w:val="00CF7955"/>
    <w:rsid w:val="00CF7E9F"/>
    <w:rsid w:val="00D01351"/>
    <w:rsid w:val="00D034FD"/>
    <w:rsid w:val="00D043D5"/>
    <w:rsid w:val="00D05505"/>
    <w:rsid w:val="00D066D2"/>
    <w:rsid w:val="00D11F0F"/>
    <w:rsid w:val="00D15B40"/>
    <w:rsid w:val="00D15C65"/>
    <w:rsid w:val="00D17D23"/>
    <w:rsid w:val="00D239FB"/>
    <w:rsid w:val="00D2478C"/>
    <w:rsid w:val="00D24CD9"/>
    <w:rsid w:val="00D2530E"/>
    <w:rsid w:val="00D254ED"/>
    <w:rsid w:val="00D33EAE"/>
    <w:rsid w:val="00D34882"/>
    <w:rsid w:val="00D35EF3"/>
    <w:rsid w:val="00D3683A"/>
    <w:rsid w:val="00D40660"/>
    <w:rsid w:val="00D45762"/>
    <w:rsid w:val="00D457E0"/>
    <w:rsid w:val="00D61655"/>
    <w:rsid w:val="00D719AA"/>
    <w:rsid w:val="00D77195"/>
    <w:rsid w:val="00D80676"/>
    <w:rsid w:val="00D81575"/>
    <w:rsid w:val="00D8233D"/>
    <w:rsid w:val="00D83526"/>
    <w:rsid w:val="00D8514D"/>
    <w:rsid w:val="00D85A63"/>
    <w:rsid w:val="00D92DC8"/>
    <w:rsid w:val="00D942B6"/>
    <w:rsid w:val="00DA04D8"/>
    <w:rsid w:val="00DA139C"/>
    <w:rsid w:val="00DA2B26"/>
    <w:rsid w:val="00DA45D7"/>
    <w:rsid w:val="00DA6C2D"/>
    <w:rsid w:val="00DA6E7E"/>
    <w:rsid w:val="00DB0823"/>
    <w:rsid w:val="00DB4B48"/>
    <w:rsid w:val="00DB6072"/>
    <w:rsid w:val="00DB7C81"/>
    <w:rsid w:val="00DC48E2"/>
    <w:rsid w:val="00DC5B1F"/>
    <w:rsid w:val="00DD270E"/>
    <w:rsid w:val="00DD6E9B"/>
    <w:rsid w:val="00DE65CB"/>
    <w:rsid w:val="00DF07F0"/>
    <w:rsid w:val="00DF3EFD"/>
    <w:rsid w:val="00DF5699"/>
    <w:rsid w:val="00DF62DE"/>
    <w:rsid w:val="00E0080B"/>
    <w:rsid w:val="00E021A8"/>
    <w:rsid w:val="00E13091"/>
    <w:rsid w:val="00E16728"/>
    <w:rsid w:val="00E207B9"/>
    <w:rsid w:val="00E21DE8"/>
    <w:rsid w:val="00E22369"/>
    <w:rsid w:val="00E2308E"/>
    <w:rsid w:val="00E3021B"/>
    <w:rsid w:val="00E30551"/>
    <w:rsid w:val="00E315CA"/>
    <w:rsid w:val="00E336E4"/>
    <w:rsid w:val="00E37F99"/>
    <w:rsid w:val="00E460CB"/>
    <w:rsid w:val="00E46680"/>
    <w:rsid w:val="00E46C5C"/>
    <w:rsid w:val="00E578DC"/>
    <w:rsid w:val="00E62FAC"/>
    <w:rsid w:val="00E644FC"/>
    <w:rsid w:val="00E6503F"/>
    <w:rsid w:val="00E667EF"/>
    <w:rsid w:val="00E66FD2"/>
    <w:rsid w:val="00E70774"/>
    <w:rsid w:val="00E7129E"/>
    <w:rsid w:val="00E739EB"/>
    <w:rsid w:val="00E77759"/>
    <w:rsid w:val="00E800FB"/>
    <w:rsid w:val="00E80FDF"/>
    <w:rsid w:val="00E82394"/>
    <w:rsid w:val="00E85EBC"/>
    <w:rsid w:val="00E87566"/>
    <w:rsid w:val="00E91DF6"/>
    <w:rsid w:val="00E92C9F"/>
    <w:rsid w:val="00E9368E"/>
    <w:rsid w:val="00E95F01"/>
    <w:rsid w:val="00EA1D79"/>
    <w:rsid w:val="00EA561D"/>
    <w:rsid w:val="00EB3C01"/>
    <w:rsid w:val="00EB5CB2"/>
    <w:rsid w:val="00EC1093"/>
    <w:rsid w:val="00EC230F"/>
    <w:rsid w:val="00EC2D86"/>
    <w:rsid w:val="00EC3FF9"/>
    <w:rsid w:val="00EC568D"/>
    <w:rsid w:val="00ED73C7"/>
    <w:rsid w:val="00EE10D2"/>
    <w:rsid w:val="00EE1BB6"/>
    <w:rsid w:val="00EE5DE3"/>
    <w:rsid w:val="00EE6641"/>
    <w:rsid w:val="00EE7920"/>
    <w:rsid w:val="00F00D48"/>
    <w:rsid w:val="00F028D5"/>
    <w:rsid w:val="00F06DC3"/>
    <w:rsid w:val="00F1040F"/>
    <w:rsid w:val="00F1478C"/>
    <w:rsid w:val="00F15446"/>
    <w:rsid w:val="00F1686B"/>
    <w:rsid w:val="00F175F0"/>
    <w:rsid w:val="00F17E28"/>
    <w:rsid w:val="00F21992"/>
    <w:rsid w:val="00F239B7"/>
    <w:rsid w:val="00F27F86"/>
    <w:rsid w:val="00F31CAD"/>
    <w:rsid w:val="00F3411B"/>
    <w:rsid w:val="00F3456D"/>
    <w:rsid w:val="00F35CCA"/>
    <w:rsid w:val="00F374E4"/>
    <w:rsid w:val="00F41098"/>
    <w:rsid w:val="00F4342B"/>
    <w:rsid w:val="00F436EF"/>
    <w:rsid w:val="00F47300"/>
    <w:rsid w:val="00F53554"/>
    <w:rsid w:val="00F56E98"/>
    <w:rsid w:val="00F570A0"/>
    <w:rsid w:val="00F619A5"/>
    <w:rsid w:val="00F72F5F"/>
    <w:rsid w:val="00F748DC"/>
    <w:rsid w:val="00F80FA4"/>
    <w:rsid w:val="00F842AE"/>
    <w:rsid w:val="00F86989"/>
    <w:rsid w:val="00F911EC"/>
    <w:rsid w:val="00F93168"/>
    <w:rsid w:val="00F9560B"/>
    <w:rsid w:val="00F965C0"/>
    <w:rsid w:val="00F97C0D"/>
    <w:rsid w:val="00FA08F3"/>
    <w:rsid w:val="00FA3812"/>
    <w:rsid w:val="00FA3C3F"/>
    <w:rsid w:val="00FA70A6"/>
    <w:rsid w:val="00FB361F"/>
    <w:rsid w:val="00FB4037"/>
    <w:rsid w:val="00FC117E"/>
    <w:rsid w:val="00FC1508"/>
    <w:rsid w:val="00FC1FB5"/>
    <w:rsid w:val="00FC1FC4"/>
    <w:rsid w:val="00FC3D1A"/>
    <w:rsid w:val="00FC3FA9"/>
    <w:rsid w:val="00FC4689"/>
    <w:rsid w:val="00FD007A"/>
    <w:rsid w:val="00FD162E"/>
    <w:rsid w:val="00FD2A8B"/>
    <w:rsid w:val="00FD439C"/>
    <w:rsid w:val="00FD6730"/>
    <w:rsid w:val="00FE2D9E"/>
    <w:rsid w:val="00FE3073"/>
    <w:rsid w:val="00FE4A8E"/>
    <w:rsid w:val="00FE5221"/>
    <w:rsid w:val="00FF003F"/>
    <w:rsid w:val="00FF0AD0"/>
    <w:rsid w:val="00FF5E22"/>
    <w:rsid w:val="026D0473"/>
    <w:rsid w:val="040F7C6B"/>
    <w:rsid w:val="07797F74"/>
    <w:rsid w:val="0A55428A"/>
    <w:rsid w:val="0B237538"/>
    <w:rsid w:val="0B902A1C"/>
    <w:rsid w:val="0CFF0F1B"/>
    <w:rsid w:val="0F930041"/>
    <w:rsid w:val="0FD3668F"/>
    <w:rsid w:val="124473D0"/>
    <w:rsid w:val="12C329EB"/>
    <w:rsid w:val="14EC0E8D"/>
    <w:rsid w:val="15150120"/>
    <w:rsid w:val="166636FC"/>
    <w:rsid w:val="16772178"/>
    <w:rsid w:val="16E82A20"/>
    <w:rsid w:val="193F1427"/>
    <w:rsid w:val="194B7296"/>
    <w:rsid w:val="19AF3CC9"/>
    <w:rsid w:val="1B163A7E"/>
    <w:rsid w:val="1BF06032"/>
    <w:rsid w:val="1D1B6E43"/>
    <w:rsid w:val="1EEC32CA"/>
    <w:rsid w:val="1F184ED8"/>
    <w:rsid w:val="22474F3F"/>
    <w:rsid w:val="23922691"/>
    <w:rsid w:val="25AC1AA8"/>
    <w:rsid w:val="25BF5294"/>
    <w:rsid w:val="27170840"/>
    <w:rsid w:val="2AB078A1"/>
    <w:rsid w:val="2AC84BEB"/>
    <w:rsid w:val="2AD66FBC"/>
    <w:rsid w:val="2CC57DB9"/>
    <w:rsid w:val="2D947006"/>
    <w:rsid w:val="2F8B4A44"/>
    <w:rsid w:val="304C1E1A"/>
    <w:rsid w:val="3075660F"/>
    <w:rsid w:val="30E902F4"/>
    <w:rsid w:val="318455FC"/>
    <w:rsid w:val="32F11300"/>
    <w:rsid w:val="3422536C"/>
    <w:rsid w:val="34A044E2"/>
    <w:rsid w:val="34DC2FF8"/>
    <w:rsid w:val="34EC7728"/>
    <w:rsid w:val="3AB10B58"/>
    <w:rsid w:val="3AEF3ACE"/>
    <w:rsid w:val="3FBD5D22"/>
    <w:rsid w:val="44BA6EFA"/>
    <w:rsid w:val="454F3D5E"/>
    <w:rsid w:val="46472A10"/>
    <w:rsid w:val="47656FAD"/>
    <w:rsid w:val="47881532"/>
    <w:rsid w:val="47A94598"/>
    <w:rsid w:val="4A6643F9"/>
    <w:rsid w:val="4AB970CC"/>
    <w:rsid w:val="4B007631"/>
    <w:rsid w:val="4B7E1D99"/>
    <w:rsid w:val="4CC254E6"/>
    <w:rsid w:val="4E313C7C"/>
    <w:rsid w:val="4EFD50D2"/>
    <w:rsid w:val="4FDF015D"/>
    <w:rsid w:val="52B7716F"/>
    <w:rsid w:val="53D8114B"/>
    <w:rsid w:val="55101514"/>
    <w:rsid w:val="5934151A"/>
    <w:rsid w:val="596F757E"/>
    <w:rsid w:val="5BDF202D"/>
    <w:rsid w:val="5DC32E6C"/>
    <w:rsid w:val="5EC727A1"/>
    <w:rsid w:val="60377FF6"/>
    <w:rsid w:val="60C27FDE"/>
    <w:rsid w:val="61E95D15"/>
    <w:rsid w:val="627668F2"/>
    <w:rsid w:val="63F97162"/>
    <w:rsid w:val="675A65EF"/>
    <w:rsid w:val="69747710"/>
    <w:rsid w:val="69DD3507"/>
    <w:rsid w:val="6C517745"/>
    <w:rsid w:val="6DE46F5D"/>
    <w:rsid w:val="72563E87"/>
    <w:rsid w:val="73500624"/>
    <w:rsid w:val="74003AFC"/>
    <w:rsid w:val="743957DE"/>
    <w:rsid w:val="76410B7F"/>
    <w:rsid w:val="790B6163"/>
    <w:rsid w:val="793B5B55"/>
    <w:rsid w:val="7D965A4F"/>
    <w:rsid w:val="7EE82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2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9"/>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3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3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32"/>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33"/>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3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50"/>
    <w:unhideWhenUsed/>
    <w:qFormat/>
    <w:uiPriority w:val="99"/>
    <w:pPr>
      <w:jc w:val="left"/>
    </w:pPr>
  </w:style>
  <w:style w:type="paragraph" w:styleId="12">
    <w:name w:val="toc 3"/>
    <w:basedOn w:val="1"/>
    <w:next w:val="1"/>
    <w:autoRedefine/>
    <w:unhideWhenUsed/>
    <w:qFormat/>
    <w:uiPriority w:val="39"/>
    <w:pPr>
      <w:ind w:left="840" w:leftChars="400"/>
    </w:pPr>
  </w:style>
  <w:style w:type="paragraph" w:styleId="13">
    <w:name w:val="Date"/>
    <w:basedOn w:val="1"/>
    <w:next w:val="1"/>
    <w:link w:val="51"/>
    <w:semiHidden/>
    <w:unhideWhenUsed/>
    <w:qFormat/>
    <w:uiPriority w:val="99"/>
    <w:pPr>
      <w:ind w:left="100" w:leftChars="2500"/>
    </w:pPr>
  </w:style>
  <w:style w:type="paragraph" w:styleId="14">
    <w:name w:val="footer"/>
    <w:basedOn w:val="1"/>
    <w:link w:val="47"/>
    <w:unhideWhenUsed/>
    <w:qFormat/>
    <w:uiPriority w:val="99"/>
    <w:pPr>
      <w:tabs>
        <w:tab w:val="center" w:pos="4153"/>
        <w:tab w:val="right" w:pos="8306"/>
      </w:tabs>
      <w:snapToGrid w:val="0"/>
      <w:jc w:val="left"/>
    </w:pPr>
    <w:rPr>
      <w:sz w:val="18"/>
      <w:szCs w:val="18"/>
    </w:rPr>
  </w:style>
  <w:style w:type="paragraph" w:styleId="15">
    <w:name w:val="header"/>
    <w:basedOn w:val="1"/>
    <w:link w:val="46"/>
    <w:unhideWhenUsed/>
    <w:qFormat/>
    <w:uiPriority w:val="99"/>
    <w:pPr>
      <w:tabs>
        <w:tab w:val="center" w:pos="4153"/>
        <w:tab w:val="right" w:pos="8306"/>
      </w:tabs>
      <w:snapToGrid w:val="0"/>
      <w:jc w:val="center"/>
    </w:pPr>
    <w:rPr>
      <w:sz w:val="18"/>
      <w:szCs w:val="18"/>
    </w:rPr>
  </w:style>
  <w:style w:type="paragraph" w:styleId="16">
    <w:name w:val="toc 1"/>
    <w:basedOn w:val="1"/>
    <w:next w:val="1"/>
    <w:autoRedefine/>
    <w:unhideWhenUsed/>
    <w:qFormat/>
    <w:uiPriority w:val="39"/>
  </w:style>
  <w:style w:type="paragraph" w:styleId="17">
    <w:name w:val="Subtitle"/>
    <w:basedOn w:val="1"/>
    <w:next w:val="1"/>
    <w:link w:val="3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footnote text"/>
    <w:basedOn w:val="1"/>
    <w:link w:val="53"/>
    <w:semiHidden/>
    <w:unhideWhenUsed/>
    <w:qFormat/>
    <w:uiPriority w:val="99"/>
    <w:pPr>
      <w:snapToGrid w:val="0"/>
      <w:jc w:val="left"/>
    </w:pPr>
    <w:rPr>
      <w:sz w:val="18"/>
      <w:szCs w:val="18"/>
    </w:rPr>
  </w:style>
  <w:style w:type="paragraph" w:styleId="19">
    <w:name w:val="toc 2"/>
    <w:basedOn w:val="1"/>
    <w:next w:val="1"/>
    <w:autoRedefine/>
    <w:unhideWhenUsed/>
    <w:qFormat/>
    <w:uiPriority w:val="39"/>
    <w:pPr>
      <w:tabs>
        <w:tab w:val="right" w:leader="dot" w:pos="8306"/>
      </w:tabs>
      <w:spacing w:line="580" w:lineRule="exact"/>
      <w:ind w:left="420" w:leftChars="200"/>
    </w:pPr>
    <w:rPr>
      <w:rFonts w:ascii="仿宋_GB2312" w:hAnsi="仿宋_GB2312" w:eastAsia="仿宋_GB2312" w:cs="仿宋_GB2312"/>
      <w:bCs/>
      <w:color w:val="843C0B" w:themeColor="accent2" w:themeShade="80"/>
      <w:sz w:val="32"/>
      <w:szCs w:val="32"/>
    </w:rPr>
  </w:style>
  <w:style w:type="paragraph" w:styleId="20">
    <w:name w:val="Normal (Web)"/>
    <w:basedOn w:val="1"/>
    <w:unhideWhenUsed/>
    <w:qFormat/>
    <w:uiPriority w:val="99"/>
    <w:pPr>
      <w:overflowPunct w:val="0"/>
      <w:topLinePunct/>
      <w:adjustRightInd w:val="0"/>
      <w:snapToGrid w:val="0"/>
      <w:spacing w:line="560" w:lineRule="exact"/>
      <w:ind w:firstLine="602" w:firstLineChars="200"/>
    </w:pPr>
    <w:rPr>
      <w:rFonts w:hint="eastAsia" w:ascii="仿宋_GB2312" w:hAnsi="仿宋_GB2312" w:eastAsia="仿宋_GB2312" w:cs="Times New Roman"/>
      <w:spacing w:val="-6"/>
      <w:sz w:val="24"/>
      <w:szCs w:val="30"/>
      <w14:ligatures w14:val="none"/>
    </w:rPr>
  </w:style>
  <w:style w:type="paragraph" w:styleId="21">
    <w:name w:val="Title"/>
    <w:basedOn w:val="1"/>
    <w:next w:val="1"/>
    <w:link w:val="37"/>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22">
    <w:name w:val="annotation subject"/>
    <w:basedOn w:val="11"/>
    <w:next w:val="11"/>
    <w:link w:val="55"/>
    <w:semiHidden/>
    <w:unhideWhenUsed/>
    <w:qFormat/>
    <w:uiPriority w:val="99"/>
    <w:rPr>
      <w:b/>
      <w:bCs/>
    </w:rPr>
  </w:style>
  <w:style w:type="character" w:styleId="25">
    <w:name w:val="Hyperlink"/>
    <w:basedOn w:val="24"/>
    <w:unhideWhenUsed/>
    <w:qFormat/>
    <w:uiPriority w:val="99"/>
    <w:rPr>
      <w:color w:val="0563C1" w:themeColor="hyperlink"/>
      <w:u w:val="single"/>
      <w14:textFill>
        <w14:solidFill>
          <w14:schemeClr w14:val="hlink"/>
        </w14:solidFill>
      </w14:textFill>
    </w:rPr>
  </w:style>
  <w:style w:type="character" w:styleId="26">
    <w:name w:val="annotation reference"/>
    <w:basedOn w:val="24"/>
    <w:semiHidden/>
    <w:unhideWhenUsed/>
    <w:qFormat/>
    <w:uiPriority w:val="99"/>
    <w:rPr>
      <w:sz w:val="21"/>
      <w:szCs w:val="21"/>
    </w:rPr>
  </w:style>
  <w:style w:type="character" w:styleId="27">
    <w:name w:val="footnote reference"/>
    <w:basedOn w:val="24"/>
    <w:semiHidden/>
    <w:unhideWhenUsed/>
    <w:qFormat/>
    <w:uiPriority w:val="99"/>
    <w:rPr>
      <w:vertAlign w:val="superscript"/>
    </w:rPr>
  </w:style>
  <w:style w:type="character" w:customStyle="1" w:styleId="28">
    <w:name w:val="标题 1 字符"/>
    <w:basedOn w:val="24"/>
    <w:link w:val="2"/>
    <w:qFormat/>
    <w:uiPriority w:val="9"/>
    <w:rPr>
      <w:rFonts w:asciiTheme="majorHAnsi" w:hAnsiTheme="majorHAnsi" w:eastAsiaTheme="majorEastAsia" w:cstheme="majorBidi"/>
      <w:color w:val="2F5597" w:themeColor="accent1" w:themeShade="BF"/>
      <w:sz w:val="48"/>
      <w:szCs w:val="48"/>
    </w:rPr>
  </w:style>
  <w:style w:type="character" w:customStyle="1" w:styleId="29">
    <w:name w:val="标题 2 字符"/>
    <w:basedOn w:val="24"/>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30">
    <w:name w:val="标题 3 字符"/>
    <w:basedOn w:val="24"/>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31">
    <w:name w:val="标题 4 字符"/>
    <w:basedOn w:val="24"/>
    <w:link w:val="5"/>
    <w:semiHidden/>
    <w:qFormat/>
    <w:uiPriority w:val="9"/>
    <w:rPr>
      <w:rFonts w:cstheme="majorBidi"/>
      <w:color w:val="2F5597" w:themeColor="accent1" w:themeShade="BF"/>
      <w:sz w:val="28"/>
      <w:szCs w:val="28"/>
    </w:rPr>
  </w:style>
  <w:style w:type="character" w:customStyle="1" w:styleId="32">
    <w:name w:val="标题 5 字符"/>
    <w:basedOn w:val="24"/>
    <w:link w:val="6"/>
    <w:semiHidden/>
    <w:qFormat/>
    <w:uiPriority w:val="9"/>
    <w:rPr>
      <w:rFonts w:cstheme="majorBidi"/>
      <w:color w:val="2F5597" w:themeColor="accent1" w:themeShade="BF"/>
      <w:sz w:val="24"/>
      <w:szCs w:val="24"/>
    </w:rPr>
  </w:style>
  <w:style w:type="character" w:customStyle="1" w:styleId="33">
    <w:name w:val="标题 6 字符"/>
    <w:basedOn w:val="24"/>
    <w:link w:val="7"/>
    <w:semiHidden/>
    <w:qFormat/>
    <w:uiPriority w:val="9"/>
    <w:rPr>
      <w:rFonts w:cstheme="majorBidi"/>
      <w:b/>
      <w:bCs/>
      <w:color w:val="2F5597" w:themeColor="accent1" w:themeShade="BF"/>
    </w:rPr>
  </w:style>
  <w:style w:type="character" w:customStyle="1" w:styleId="34">
    <w:name w:val="标题 7 字符"/>
    <w:basedOn w:val="2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5">
    <w:name w:val="标题 8 字符"/>
    <w:basedOn w:val="2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6">
    <w:name w:val="标题 9 字符"/>
    <w:basedOn w:val="2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7">
    <w:name w:val="标题 字符"/>
    <w:basedOn w:val="24"/>
    <w:link w:val="21"/>
    <w:qFormat/>
    <w:uiPriority w:val="10"/>
    <w:rPr>
      <w:rFonts w:asciiTheme="majorHAnsi" w:hAnsiTheme="majorHAnsi" w:eastAsiaTheme="majorEastAsia" w:cstheme="majorBidi"/>
      <w:spacing w:val="-10"/>
      <w:kern w:val="28"/>
      <w:sz w:val="56"/>
      <w:szCs w:val="56"/>
    </w:rPr>
  </w:style>
  <w:style w:type="character" w:customStyle="1" w:styleId="38">
    <w:name w:val="副标题 字符"/>
    <w:basedOn w:val="24"/>
    <w:link w:val="17"/>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9">
    <w:name w:val="Quote"/>
    <w:basedOn w:val="1"/>
    <w:next w:val="1"/>
    <w:link w:val="4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40">
    <w:name w:val="引用 字符"/>
    <w:basedOn w:val="24"/>
    <w:link w:val="39"/>
    <w:qFormat/>
    <w:uiPriority w:val="29"/>
    <w:rPr>
      <w:i/>
      <w:iCs/>
      <w:color w:val="404040" w:themeColor="text1" w:themeTint="BF"/>
      <w14:textFill>
        <w14:solidFill>
          <w14:schemeClr w14:val="tx1">
            <w14:lumMod w14:val="75000"/>
            <w14:lumOff w14:val="25000"/>
          </w14:schemeClr>
        </w14:solidFill>
      </w14:textFill>
    </w:rPr>
  </w:style>
  <w:style w:type="paragraph" w:styleId="41">
    <w:name w:val="List Paragraph"/>
    <w:basedOn w:val="1"/>
    <w:qFormat/>
    <w:uiPriority w:val="34"/>
    <w:pPr>
      <w:ind w:left="720"/>
      <w:contextualSpacing/>
    </w:pPr>
  </w:style>
  <w:style w:type="character" w:customStyle="1" w:styleId="42">
    <w:name w:val="明显强调1"/>
    <w:basedOn w:val="24"/>
    <w:qFormat/>
    <w:uiPriority w:val="21"/>
    <w:rPr>
      <w:i/>
      <w:iCs/>
      <w:color w:val="2F5597" w:themeColor="accent1" w:themeShade="BF"/>
    </w:rPr>
  </w:style>
  <w:style w:type="paragraph" w:styleId="43">
    <w:name w:val="Intense Quote"/>
    <w:basedOn w:val="1"/>
    <w:next w:val="1"/>
    <w:link w:val="4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4">
    <w:name w:val="明显引用 字符"/>
    <w:basedOn w:val="24"/>
    <w:link w:val="43"/>
    <w:qFormat/>
    <w:uiPriority w:val="30"/>
    <w:rPr>
      <w:i/>
      <w:iCs/>
      <w:color w:val="2F5597" w:themeColor="accent1" w:themeShade="BF"/>
    </w:rPr>
  </w:style>
  <w:style w:type="character" w:customStyle="1" w:styleId="45">
    <w:name w:val="明显参考1"/>
    <w:basedOn w:val="24"/>
    <w:qFormat/>
    <w:uiPriority w:val="32"/>
    <w:rPr>
      <w:b/>
      <w:bCs/>
      <w:smallCaps/>
      <w:color w:val="2F5597" w:themeColor="accent1" w:themeShade="BF"/>
      <w:spacing w:val="5"/>
    </w:rPr>
  </w:style>
  <w:style w:type="character" w:customStyle="1" w:styleId="46">
    <w:name w:val="页眉 字符"/>
    <w:basedOn w:val="24"/>
    <w:link w:val="15"/>
    <w:qFormat/>
    <w:uiPriority w:val="99"/>
    <w:rPr>
      <w:sz w:val="18"/>
      <w:szCs w:val="18"/>
    </w:rPr>
  </w:style>
  <w:style w:type="character" w:customStyle="1" w:styleId="47">
    <w:name w:val="页脚 字符"/>
    <w:basedOn w:val="24"/>
    <w:link w:val="14"/>
    <w:qFormat/>
    <w:uiPriority w:val="99"/>
    <w:rPr>
      <w:sz w:val="18"/>
      <w:szCs w:val="18"/>
    </w:rPr>
  </w:style>
  <w:style w:type="character" w:customStyle="1" w:styleId="48">
    <w:name w:val="fontstyle01"/>
    <w:basedOn w:val="24"/>
    <w:qFormat/>
    <w:uiPriority w:val="0"/>
    <w:rPr>
      <w:rFonts w:hint="eastAsia" w:ascii="仿宋_GB2312" w:eastAsia="仿宋_GB2312"/>
      <w:color w:val="000000"/>
      <w:sz w:val="30"/>
      <w:szCs w:val="30"/>
    </w:rPr>
  </w:style>
  <w:style w:type="paragraph" w:customStyle="1" w:styleId="49">
    <w:name w:val="汇报正文"/>
    <w:basedOn w:val="1"/>
    <w:qFormat/>
    <w:uiPriority w:val="0"/>
    <w:pPr>
      <w:widowControl/>
      <w:ind w:firstLine="200" w:firstLineChars="200"/>
      <w:jc w:val="left"/>
    </w:pPr>
    <w:rPr>
      <w:rFonts w:ascii="Times New Roman" w:hAnsi="Times New Roman" w:eastAsia="仿宋_GB2312" w:cs="Times New Roman"/>
      <w:kern w:val="0"/>
      <w:sz w:val="32"/>
      <w:szCs w:val="32"/>
    </w:rPr>
  </w:style>
  <w:style w:type="character" w:customStyle="1" w:styleId="50">
    <w:name w:val="批注文字 字符"/>
    <w:basedOn w:val="24"/>
    <w:link w:val="11"/>
    <w:qFormat/>
    <w:uiPriority w:val="99"/>
  </w:style>
  <w:style w:type="character" w:customStyle="1" w:styleId="51">
    <w:name w:val="日期 字符"/>
    <w:basedOn w:val="24"/>
    <w:link w:val="13"/>
    <w:semiHidden/>
    <w:qFormat/>
    <w:uiPriority w:val="99"/>
  </w:style>
  <w:style w:type="paragraph" w:customStyle="1" w:styleId="52">
    <w:name w:val="修订1"/>
    <w:hidden/>
    <w:semiHidden/>
    <w:qFormat/>
    <w:uiPriority w:val="99"/>
    <w:rPr>
      <w:rFonts w:asciiTheme="minorHAnsi" w:hAnsiTheme="minorHAnsi" w:eastAsiaTheme="minorEastAsia" w:cstheme="minorBidi"/>
      <w:kern w:val="2"/>
      <w:sz w:val="21"/>
      <w:szCs w:val="22"/>
      <w:lang w:val="en-US" w:eastAsia="zh-CN" w:bidi="ar-SA"/>
      <w14:ligatures w14:val="standardContextual"/>
    </w:rPr>
  </w:style>
  <w:style w:type="character" w:customStyle="1" w:styleId="53">
    <w:name w:val="脚注文本 字符"/>
    <w:basedOn w:val="24"/>
    <w:link w:val="18"/>
    <w:semiHidden/>
    <w:qFormat/>
    <w:uiPriority w:val="99"/>
    <w:rPr>
      <w:sz w:val="18"/>
      <w:szCs w:val="18"/>
    </w:rPr>
  </w:style>
  <w:style w:type="character" w:customStyle="1" w:styleId="54">
    <w:name w:val="fontstyle21"/>
    <w:basedOn w:val="24"/>
    <w:qFormat/>
    <w:uiPriority w:val="0"/>
    <w:rPr>
      <w:rFonts w:hint="default" w:ascii="TimesNewRomanPSMT" w:hAnsi="TimesNewRomanPSMT"/>
      <w:color w:val="000000"/>
      <w:sz w:val="32"/>
      <w:szCs w:val="32"/>
    </w:rPr>
  </w:style>
  <w:style w:type="character" w:customStyle="1" w:styleId="55">
    <w:name w:val="批注主题 字符"/>
    <w:basedOn w:val="50"/>
    <w:link w:val="22"/>
    <w:semiHidden/>
    <w:qFormat/>
    <w:uiPriority w:val="99"/>
    <w:rPr>
      <w:b/>
      <w:bCs/>
      <w:kern w:val="2"/>
      <w:sz w:val="21"/>
      <w:szCs w:val="22"/>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D207B9-B2CC-47ED-9E0D-907621A8F54E}">
  <ds:schemaRefs/>
</ds:datastoreItem>
</file>

<file path=docProps/app.xml><?xml version="1.0" encoding="utf-8"?>
<Properties xmlns="http://schemas.openxmlformats.org/officeDocument/2006/extended-properties" xmlns:vt="http://schemas.openxmlformats.org/officeDocument/2006/docPropsVTypes">
  <Template>Normal</Template>
  <Pages>35</Pages>
  <Words>6046</Words>
  <Characters>6229</Characters>
  <Lines>139</Lines>
  <Paragraphs>39</Paragraphs>
  <TotalTime>9</TotalTime>
  <ScaleCrop>false</ScaleCrop>
  <LinksUpToDate>false</LinksUpToDate>
  <CharactersWithSpaces>6274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2026-03-24T04:17:00Z</dcterms:created>
  <dc:creator>lp Cao</dc:creator>
  <cp:lastModifiedBy>鹿儿</cp:lastModifiedBy>
  <cp:lastPrinted>2025-10-29T01:41:00Z</cp:lastPrinted>
  <dcterms:modified xsi:type="dcterms:W3CDTF">2026-04-10T07:40:58Z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eyJoZGlkIjoiOTFmNGI2YTllYzA3OGRmNzI0ZDI1N2U1NWQ2YTAxNTgiLCJ1c2VySWQiOiI5MDgyNzQyMzYifQ==</vt:lpwstr>
  </property>
  <property fmtid="{D5CDD505-2E9C-101B-9397-08002B2CF9AE}" pid="3" name="KSOProductBuildVer">
    <vt:lpwstr>2052-12.1.0.25225</vt:lpwstr>
  </property>
  <property fmtid="{D5CDD505-2E9C-101B-9397-08002B2CF9AE}" pid="4" name="ICV">
    <vt:lpwstr>A4C0C9E5A1E4445194088EF421BB5C4E_13</vt:lpwstr>
  </property>
</Properties>
</file>