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第一部分 比选邀请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center"/>
        <w:textAlignment w:val="center"/>
        <w:outlineLvl w:val="0"/>
        <w:rPr>
          <w:rFonts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闵行区</w:t>
      </w:r>
      <w:r>
        <w:rPr>
          <w:rFonts w:hint="eastAsia" w:ascii="仿宋_GB2312" w:hAnsi="仿宋_GB2312" w:eastAsia="仿宋_GB2312" w:cs="仿宋_GB2312"/>
          <w:sz w:val="32"/>
          <w:szCs w:val="32"/>
          <w:lang w:eastAsia="zh-CN"/>
        </w:rPr>
        <w:t>发展和改革委员会</w:t>
      </w:r>
      <w:r>
        <w:rPr>
          <w:rFonts w:hint="eastAsia" w:ascii="仿宋_GB2312" w:hAnsi="仿宋_GB2312" w:eastAsia="仿宋_GB2312" w:cs="仿宋_GB2312"/>
          <w:sz w:val="32"/>
          <w:szCs w:val="32"/>
        </w:rPr>
        <w:t>对企业投资项目事中事后监管进行第三方机构比选，特邀请各单位前来参与。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1"/>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企业投资项目事中事后监管第三方机构比选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项目主要内容、数量及简要规格描述或项目基本概况介绍：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企业投资项目核准和备案管理条例》《企业投资项目核准和备案管理办法》《企业投资项目事中事后监管办法》《上海市企业投资项目核准管理办法》《上海市企业投资项目备案管理办法》《上海市企业投资项目事中事后监管办法》《上海市发展和改革委员会核准及备案的企业投资项目事中事后监管</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等法律法规规章制度</w:t>
      </w:r>
      <w:r>
        <w:rPr>
          <w:rFonts w:hint="eastAsia" w:ascii="仿宋_GB2312" w:hAnsi="仿宋_GB2312" w:eastAsia="仿宋_GB2312" w:cs="仿宋_GB2312"/>
          <w:sz w:val="32"/>
          <w:szCs w:val="32"/>
        </w:rPr>
        <w:t>，为选取规范、专业的企业投资项目事中事后监管第三方机构，按照公开、公正和公平原则</w:t>
      </w:r>
      <w:bookmarkStart w:id="0" w:name="OLE_LINK10"/>
      <w:bookmarkStart w:id="1" w:name="OLE_LINK9"/>
      <w:r>
        <w:rPr>
          <w:rFonts w:hint="eastAsia" w:ascii="仿宋_GB2312" w:hAnsi="仿宋_GB2312" w:eastAsia="仿宋_GB2312" w:cs="仿宋_GB2312"/>
          <w:sz w:val="32"/>
          <w:szCs w:val="32"/>
        </w:rPr>
        <w:t>开展第三方机构</w:t>
      </w:r>
      <w:bookmarkEnd w:id="0"/>
      <w:bookmarkEnd w:id="1"/>
      <w:r>
        <w:rPr>
          <w:rFonts w:hint="eastAsia" w:ascii="仿宋_GB2312" w:hAnsi="仿宋_GB2312" w:eastAsia="仿宋_GB2312" w:cs="仿宋_GB2312"/>
          <w:sz w:val="32"/>
          <w:szCs w:val="32"/>
        </w:rPr>
        <w:t>比选。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服务机构数量：1家。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1"/>
        <w:rPr>
          <w:rFonts w:hint="eastAsia" w:ascii="黑体" w:hAnsi="黑体" w:eastAsia="黑体" w:cs="黑体"/>
          <w:sz w:val="32"/>
          <w:szCs w:val="32"/>
        </w:rPr>
      </w:pPr>
      <w:r>
        <w:rPr>
          <w:rFonts w:hint="eastAsia" w:ascii="黑体" w:hAnsi="黑体" w:eastAsia="黑体" w:cs="黑体"/>
          <w:sz w:val="32"/>
          <w:szCs w:val="32"/>
        </w:rPr>
        <w:t>二、比选响应文件递交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比选响应文件递交截止时间：请于202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r>
        <w:rPr>
          <w:rFonts w:hint="eastAsia" w:ascii="仿宋_GB2312" w:hAnsi="仿宋_GB2312" w:eastAsia="仿宋_GB2312" w:cs="仿宋_GB2312"/>
          <w:sz w:val="32"/>
          <w:szCs w:val="32"/>
        </w:rPr>
        <w:t xml:space="preserve">前将响应文件发送至指定邮箱。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2.比选响应文件发送指定邮箱：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"mailto:xzspkxx@shmh.gov.cn，第三方机构在收到我单位发出比选文件后，电子材料发至指定邮箱。逾期提交资料者或提交资料不符合要求者视作自动放弃比选资格。" </w:instrText>
      </w:r>
      <w:r>
        <w:rPr>
          <w:rFonts w:hint="eastAsia" w:ascii="仿宋_GB2312" w:hAnsi="仿宋_GB2312" w:eastAsia="仿宋_GB2312" w:cs="仿宋_GB2312"/>
          <w:color w:val="auto"/>
          <w:sz w:val="32"/>
          <w:szCs w:val="32"/>
          <w:u w:val="none"/>
          <w:lang w:val="en-US" w:eastAsia="zh-CN"/>
        </w:rPr>
        <w:fldChar w:fldCharType="separate"/>
      </w:r>
      <w:r>
        <w:rPr>
          <w:rStyle w:val="8"/>
          <w:rFonts w:hint="eastAsia" w:ascii="仿宋_GB2312" w:hAnsi="仿宋_GB2312" w:eastAsia="仿宋_GB2312" w:cs="仿宋_GB2312"/>
          <w:color w:val="auto"/>
          <w:sz w:val="32"/>
          <w:szCs w:val="32"/>
          <w:u w:val="none"/>
          <w:lang w:val="en-US" w:eastAsia="zh-CN"/>
        </w:rPr>
        <w:t>xzspkxx@shmh.gov.cn。第三方机构在收到我单位发出比选文件后，电子材料发至指定邮箱</w:t>
      </w:r>
      <w:r>
        <w:rPr>
          <w:rFonts w:hint="eastAsia" w:ascii="仿宋_GB2312" w:eastAsia="仿宋_GB2312"/>
          <w:sz w:val="30"/>
          <w:szCs w:val="30"/>
        </w:rPr>
        <w:t>，</w:t>
      </w:r>
      <w:bookmarkStart w:id="6" w:name="_GoBack"/>
      <w:r>
        <w:rPr>
          <w:rStyle w:val="8"/>
          <w:rFonts w:hint="eastAsia" w:ascii="仿宋_GB2312" w:hAnsi="仿宋_GB2312" w:eastAsia="仿宋_GB2312" w:cs="仿宋_GB2312"/>
          <w:color w:val="auto"/>
          <w:sz w:val="32"/>
          <w:szCs w:val="32"/>
          <w:highlight w:val="none"/>
          <w:u w:val="none"/>
          <w:lang w:val="en-US" w:eastAsia="zh-CN"/>
        </w:rPr>
        <w:t>纸质材料于比选评审时现场提交</w:t>
      </w:r>
      <w:bookmarkEnd w:id="6"/>
      <w:r>
        <w:rPr>
          <w:rStyle w:val="8"/>
          <w:rFonts w:hint="eastAsia" w:ascii="仿宋_GB2312" w:hAnsi="仿宋_GB2312" w:eastAsia="仿宋_GB2312" w:cs="仿宋_GB2312"/>
          <w:color w:val="auto"/>
          <w:sz w:val="32"/>
          <w:szCs w:val="32"/>
          <w:u w:val="none"/>
          <w:lang w:val="en-US" w:eastAsia="zh-CN"/>
        </w:rPr>
        <w:t>。逾期提交资料者或提交资料不符合要求者视作自动放弃比选资格。</w:t>
      </w:r>
      <w:r>
        <w:rPr>
          <w:rFonts w:hint="eastAsia" w:ascii="仿宋_GB2312" w:hAnsi="仿宋_GB2312" w:eastAsia="仿宋_GB2312" w:cs="仿宋_GB2312"/>
          <w:color w:val="auto"/>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w:t>
      </w:r>
      <w:r>
        <w:rPr>
          <w:rFonts w:hint="eastAsia" w:ascii="仿宋_GB2312" w:hAnsi="仿宋_GB2312" w:eastAsia="仿宋_GB2312" w:cs="仿宋_GB2312"/>
          <w:sz w:val="32"/>
          <w:szCs w:val="32"/>
        </w:rPr>
        <w:t>：第三方机构须保证提交的资料和所填写内容真实、完整、有效、一致，如因递交虚假材料或填写信息错误导致的与本项目有关的任何损失由第三方机构承担。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1"/>
        <w:rPr>
          <w:rFonts w:hint="eastAsia" w:ascii="黑体" w:hAnsi="黑体" w:eastAsia="黑体" w:cs="黑体"/>
          <w:sz w:val="32"/>
          <w:szCs w:val="32"/>
        </w:rPr>
      </w:pPr>
      <w:r>
        <w:rPr>
          <w:rFonts w:hint="eastAsia" w:ascii="黑体" w:hAnsi="黑体" w:eastAsia="黑体" w:cs="黑体"/>
          <w:sz w:val="32"/>
          <w:szCs w:val="32"/>
        </w:rPr>
        <w:t>三、评审时间和地点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评审时间：202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评审地点：上海市闵行区沪闵路6258号1号楼</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会议室。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比选过程所需携带其他材料：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（1）可以无线上网的笔记本电脑、展示所需PPT。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份纸质比选响应文件。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outlineLvl w:val="1"/>
        <w:rPr>
          <w:rFonts w:hint="eastAsia" w:ascii="黑体" w:hAnsi="黑体" w:eastAsia="黑体" w:cs="黑体"/>
          <w:sz w:val="32"/>
          <w:szCs w:val="32"/>
        </w:rPr>
      </w:pPr>
      <w:r>
        <w:rPr>
          <w:rFonts w:hint="eastAsia" w:ascii="黑体" w:hAnsi="黑体" w:eastAsia="黑体" w:cs="黑体"/>
          <w:sz w:val="32"/>
          <w:szCs w:val="32"/>
        </w:rPr>
        <w:t>四、联系方式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采购人：上海市闵行区发展和改革委员会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联系方式：24033132</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outlineLvl w:val="0"/>
        <w:rPr>
          <w:rFonts w:asciiTheme="majorEastAsia" w:hAnsiTheme="majorEastAsia" w:eastAsiaTheme="majorEastAsia"/>
          <w:b/>
          <w:sz w:val="36"/>
          <w:szCs w:val="36"/>
        </w:rPr>
      </w:pPr>
      <w:r>
        <w:rPr>
          <w:rFonts w:hint="eastAsia" w:ascii="仿宋_GB2312" w:hAnsi="仿宋_GB2312" w:eastAsia="仿宋_GB2312" w:cs="仿宋_GB2312"/>
          <w:sz w:val="30"/>
          <w:szCs w:val="30"/>
        </w:rPr>
        <w:br w:type="page"/>
      </w:r>
      <w:r>
        <w:rPr>
          <w:rFonts w:hint="eastAsia" w:ascii="方正小标宋简体" w:hAnsi="方正小标宋简体" w:eastAsia="方正小标宋简体" w:cs="方正小标宋简体"/>
          <w:b w:val="0"/>
          <w:bCs/>
          <w:sz w:val="44"/>
          <w:szCs w:val="44"/>
        </w:rPr>
        <w:t>第二部分 比选须知、采购需求</w:t>
      </w:r>
    </w:p>
    <w:p>
      <w:pPr>
        <w:spacing w:line="480" w:lineRule="exact"/>
        <w:ind w:firstLine="600" w:firstLineChars="200"/>
        <w:textAlignment w:val="center"/>
        <w:outlineLvl w:val="1"/>
        <w:rPr>
          <w:rFonts w:ascii="黑体" w:hAnsi="黑体" w:eastAsia="黑体"/>
          <w:sz w:val="30"/>
          <w:szCs w:val="30"/>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1"/>
        <w:rPr>
          <w:rFonts w:ascii="黑体" w:hAnsi="黑体" w:eastAsia="黑体"/>
          <w:sz w:val="32"/>
          <w:szCs w:val="32"/>
        </w:rPr>
      </w:pPr>
      <w:r>
        <w:rPr>
          <w:rFonts w:ascii="黑体" w:hAnsi="黑体" w:eastAsia="黑体"/>
          <w:sz w:val="32"/>
          <w:szCs w:val="32"/>
        </w:rPr>
        <w:t>一、项目概况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项目名称：</w:t>
      </w:r>
      <w:r>
        <w:rPr>
          <w:rFonts w:hint="eastAsia" w:ascii="仿宋_GB2312" w:eastAsia="仿宋_GB2312"/>
          <w:sz w:val="32"/>
          <w:szCs w:val="32"/>
          <w:lang w:val="en-US" w:eastAsia="zh-CN"/>
        </w:rPr>
        <w:t>202</w:t>
      </w:r>
      <w:r>
        <w:rPr>
          <w:rFonts w:hint="default" w:ascii="仿宋_GB2312" w:eastAsia="仿宋_GB2312"/>
          <w:sz w:val="32"/>
          <w:szCs w:val="32"/>
          <w:lang w:val="en-US" w:eastAsia="zh-CN"/>
        </w:rPr>
        <w:t>6</w:t>
      </w:r>
      <w:r>
        <w:rPr>
          <w:rFonts w:hint="eastAsia" w:ascii="仿宋_GB2312" w:eastAsia="仿宋_GB2312"/>
          <w:sz w:val="32"/>
          <w:szCs w:val="32"/>
          <w:lang w:val="en-US" w:eastAsia="zh-CN"/>
        </w:rPr>
        <w:t>年</w:t>
      </w:r>
      <w:r>
        <w:rPr>
          <w:rFonts w:hint="eastAsia" w:ascii="仿宋_GB2312" w:hAnsi="仿宋_GB2312" w:eastAsia="仿宋_GB2312" w:cs="仿宋_GB2312"/>
          <w:sz w:val="32"/>
          <w:szCs w:val="32"/>
        </w:rPr>
        <w:t>企业投资项目事中事后监管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服务期限：一年</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项目内容：依据《企业投资项目核准和备案管理条例》《企业投资项目核准和备案管理办法》《企业投资项目事中事后监管办法》《上海市企业投资项目核准管理办法》《上海市企业投资项目备案管理办法》《上海市企业投资项目事中事后监管办法》《上海市发展和改革委员会核准及备案的企业投资项目事中事后监管</w:t>
      </w:r>
      <w:r>
        <w:rPr>
          <w:rFonts w:hint="eastAsia" w:ascii="仿宋_GB2312" w:eastAsia="仿宋_GB2312"/>
          <w:sz w:val="32"/>
          <w:szCs w:val="32"/>
          <w:lang w:eastAsia="zh-CN"/>
        </w:rPr>
        <w:t>实施细则</w:t>
      </w:r>
      <w:r>
        <w:rPr>
          <w:rFonts w:hint="eastAsia" w:ascii="仿宋_GB2312" w:eastAsia="仿宋_GB2312"/>
          <w:sz w:val="32"/>
          <w:szCs w:val="32"/>
        </w:rPr>
        <w:t>（试行）》</w:t>
      </w:r>
      <w:r>
        <w:rPr>
          <w:rFonts w:hint="eastAsia" w:ascii="仿宋_GB2312" w:eastAsia="仿宋_GB2312"/>
          <w:sz w:val="32"/>
          <w:szCs w:val="32"/>
          <w:lang w:eastAsia="zh-CN"/>
        </w:rPr>
        <w:t>等法律法规规章制度</w:t>
      </w:r>
      <w:r>
        <w:rPr>
          <w:rFonts w:hint="eastAsia" w:ascii="仿宋_GB2312" w:eastAsia="仿宋_GB2312"/>
          <w:sz w:val="32"/>
          <w:szCs w:val="32"/>
        </w:rPr>
        <w:t>，</w:t>
      </w:r>
      <w:r>
        <w:rPr>
          <w:rFonts w:hint="eastAsia" w:ascii="仿宋_GB2312" w:hAnsi="仿宋_GB2312" w:eastAsia="仿宋_GB2312" w:cs="仿宋_GB2312"/>
          <w:sz w:val="32"/>
          <w:szCs w:val="32"/>
        </w:rPr>
        <w:t>为选取规范、专业的企业</w:t>
      </w:r>
      <w:r>
        <w:rPr>
          <w:rFonts w:ascii="仿宋_GB2312" w:hAnsi="仿宋_GB2312" w:eastAsia="仿宋_GB2312" w:cs="仿宋_GB2312"/>
          <w:sz w:val="32"/>
          <w:szCs w:val="32"/>
        </w:rPr>
        <w:t>投资项目</w:t>
      </w:r>
      <w:r>
        <w:rPr>
          <w:rFonts w:hint="eastAsia" w:ascii="仿宋_GB2312" w:hAnsi="仿宋_GB2312" w:eastAsia="仿宋_GB2312" w:cs="仿宋_GB2312"/>
          <w:sz w:val="32"/>
          <w:szCs w:val="32"/>
        </w:rPr>
        <w:t>事中</w:t>
      </w:r>
      <w:r>
        <w:rPr>
          <w:rFonts w:ascii="仿宋_GB2312" w:hAnsi="仿宋_GB2312" w:eastAsia="仿宋_GB2312" w:cs="仿宋_GB2312"/>
          <w:sz w:val="32"/>
          <w:szCs w:val="32"/>
        </w:rPr>
        <w:t>事后</w:t>
      </w:r>
      <w:r>
        <w:rPr>
          <w:rFonts w:hint="eastAsia" w:ascii="仿宋_GB2312" w:hAnsi="仿宋_GB2312" w:eastAsia="仿宋_GB2312" w:cs="仿宋_GB2312"/>
          <w:sz w:val="32"/>
          <w:szCs w:val="32"/>
        </w:rPr>
        <w:t>监管第三方机构，按照公开、公正和公平原则开展第三方机构比选</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1"/>
        <w:rPr>
          <w:rFonts w:ascii="黑体" w:hAnsi="黑体" w:eastAsia="黑体"/>
          <w:sz w:val="32"/>
          <w:szCs w:val="32"/>
        </w:rPr>
      </w:pPr>
      <w:r>
        <w:rPr>
          <w:rFonts w:ascii="黑体" w:hAnsi="黑体" w:eastAsia="黑体"/>
          <w:sz w:val="32"/>
          <w:szCs w:val="32"/>
        </w:rPr>
        <w:t>二、项目内容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指导思想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color w:val="333333"/>
          <w:sz w:val="32"/>
          <w:szCs w:val="32"/>
          <w:shd w:val="clear" w:color="auto" w:fill="FFFFFF"/>
        </w:rPr>
      </w:pPr>
      <w:r>
        <w:rPr>
          <w:rFonts w:hint="eastAsia" w:ascii="仿宋_GB2312" w:eastAsia="仿宋_GB2312"/>
          <w:sz w:val="32"/>
          <w:szCs w:val="32"/>
          <w:lang w:eastAsia="zh-CN"/>
        </w:rPr>
        <w:t>为贯彻落实“放管服”决策部署，全面</w:t>
      </w:r>
      <w:r>
        <w:rPr>
          <w:rFonts w:hint="eastAsia" w:ascii="仿宋_GB2312" w:eastAsia="仿宋_GB2312"/>
          <w:sz w:val="32"/>
          <w:szCs w:val="32"/>
        </w:rPr>
        <w:t>规范</w:t>
      </w:r>
      <w:r>
        <w:rPr>
          <w:rFonts w:hint="eastAsia" w:ascii="仿宋_GB2312" w:eastAsia="仿宋_GB2312"/>
          <w:sz w:val="32"/>
          <w:szCs w:val="32"/>
          <w:lang w:eastAsia="zh-CN"/>
        </w:rPr>
        <w:t>企业投资项目的事中事后监管</w:t>
      </w:r>
      <w:r>
        <w:rPr>
          <w:rFonts w:hint="eastAsia" w:ascii="仿宋_GB2312" w:eastAsia="仿宋_GB2312"/>
          <w:sz w:val="32"/>
          <w:szCs w:val="32"/>
        </w:rPr>
        <w:t>，按照《中华人民共和国行政许可法》、《企业投资项目核准和备案管理条例》、《上海市企业投资项目核准管理办法》、《上海市企业投资项目备案管理办法》、国家发展改革委印发的《企业投资项目核准和备案管理办法》、《企业投资项目事中事后监管办法》和《上海市企业投资项目事中事后监管办法》等文件的精神和相关政策要求，</w:t>
      </w:r>
      <w:r>
        <w:rPr>
          <w:rFonts w:hint="eastAsia" w:ascii="仿宋_GB2312" w:hAnsi="仿宋_GB2312" w:eastAsia="仿宋_GB2312" w:cs="仿宋_GB2312"/>
          <w:sz w:val="32"/>
          <w:szCs w:val="32"/>
        </w:rPr>
        <w:t>为进一步优化闵行区营商环境，规范企业投资行为，维护公共利益和企业合法权益，推动政府投资管理重心从事前审批转向过程服务和事中事后监管，并建立健全与之相适应的监管模式。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工作内容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1"/>
        <w:rPr>
          <w:rFonts w:ascii="仿宋_GB2312" w:eastAsia="仿宋_GB2312" w:hAnsiTheme="majorEastAsia"/>
          <w:sz w:val="32"/>
          <w:szCs w:val="32"/>
        </w:rPr>
      </w:pPr>
      <w:r>
        <w:rPr>
          <w:rFonts w:hint="eastAsia" w:ascii="仿宋_GB2312" w:eastAsia="仿宋_GB2312" w:hAnsiTheme="majorEastAsia"/>
          <w:sz w:val="32"/>
          <w:szCs w:val="32"/>
          <w:lang w:eastAsia="zh-CN"/>
        </w:rPr>
        <w:t>协助陪同</w:t>
      </w:r>
      <w:r>
        <w:rPr>
          <w:rFonts w:hint="eastAsia" w:ascii="仿宋_GB2312" w:eastAsia="仿宋_GB2312" w:hAnsiTheme="majorEastAsia"/>
          <w:sz w:val="32"/>
          <w:szCs w:val="32"/>
        </w:rPr>
        <w:t>闵行区</w:t>
      </w:r>
      <w:r>
        <w:rPr>
          <w:rFonts w:ascii="仿宋_GB2312" w:eastAsia="仿宋_GB2312" w:hAnsiTheme="majorEastAsia"/>
          <w:sz w:val="32"/>
          <w:szCs w:val="32"/>
        </w:rPr>
        <w:t>发展和改革委员会</w:t>
      </w:r>
      <w:r>
        <w:rPr>
          <w:rFonts w:hint="eastAsia" w:ascii="仿宋_GB2312" w:eastAsia="仿宋_GB2312" w:hAnsiTheme="majorEastAsia"/>
          <w:sz w:val="32"/>
          <w:szCs w:val="32"/>
          <w:lang w:eastAsia="zh-CN"/>
        </w:rPr>
        <w:t>，对于列入</w:t>
      </w:r>
      <w:r>
        <w:rPr>
          <w:rFonts w:hint="eastAsia" w:ascii="仿宋_GB2312" w:eastAsia="仿宋_GB2312" w:hAnsiTheme="majorEastAsia"/>
          <w:sz w:val="32"/>
          <w:szCs w:val="32"/>
          <w:lang w:val="en-US" w:eastAsia="zh-CN"/>
        </w:rPr>
        <w:t>202</w:t>
      </w:r>
      <w:r>
        <w:rPr>
          <w:rFonts w:hint="default" w:ascii="仿宋_GB2312" w:eastAsia="仿宋_GB2312" w:hAnsiTheme="majorEastAsia"/>
          <w:sz w:val="32"/>
          <w:szCs w:val="32"/>
          <w:lang w:val="en-US" w:eastAsia="zh-CN"/>
        </w:rPr>
        <w:t>6</w:t>
      </w:r>
      <w:r>
        <w:rPr>
          <w:rFonts w:hint="eastAsia" w:ascii="仿宋_GB2312" w:eastAsia="仿宋_GB2312" w:hAnsiTheme="majorEastAsia"/>
          <w:sz w:val="32"/>
          <w:szCs w:val="32"/>
          <w:lang w:val="en-US" w:eastAsia="zh-CN"/>
        </w:rPr>
        <w:t>年度企业投资项目事中事后监管现场核查计划内的项目开展现场核查，并出具现场核查书面意见和年度核查报告</w:t>
      </w:r>
      <w:r>
        <w:rPr>
          <w:rFonts w:hint="eastAsia" w:ascii="仿宋_GB2312" w:eastAsia="仿宋_GB2312" w:hAnsiTheme="majorEastAsia"/>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1"/>
        <w:rPr>
          <w:rFonts w:ascii="黑体" w:hAnsi="黑体" w:eastAsia="黑体"/>
          <w:sz w:val="32"/>
          <w:szCs w:val="32"/>
        </w:rPr>
      </w:pPr>
      <w:r>
        <w:rPr>
          <w:rFonts w:hint="eastAsia" w:ascii="黑体" w:hAnsi="黑体" w:eastAsia="黑体"/>
          <w:sz w:val="32"/>
          <w:szCs w:val="32"/>
        </w:rPr>
        <w:t>三、企业</w:t>
      </w:r>
      <w:r>
        <w:rPr>
          <w:rFonts w:ascii="黑体" w:hAnsi="黑体" w:eastAsia="黑体"/>
          <w:sz w:val="32"/>
          <w:szCs w:val="32"/>
        </w:rPr>
        <w:t>投资</w:t>
      </w:r>
      <w:r>
        <w:rPr>
          <w:rFonts w:hint="eastAsia" w:ascii="黑体" w:hAnsi="黑体" w:eastAsia="黑体"/>
          <w:sz w:val="32"/>
          <w:szCs w:val="32"/>
        </w:rPr>
        <w:t>项目事中事后监管机构考核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为规范企业投资项目事中事后监管第三方机构的管理、运作，闵行区发改委将依据相关法律法规制定相应的管理制度和考核办法，实行动态管理方式，第三方机构应予以理解并自愿遵守这些管理制度、方法，接受监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1"/>
        <w:rPr>
          <w:rFonts w:ascii="黑体" w:hAnsi="黑体" w:eastAsia="黑体"/>
          <w:sz w:val="32"/>
          <w:szCs w:val="32"/>
        </w:rPr>
      </w:pPr>
      <w:r>
        <w:rPr>
          <w:rFonts w:hint="eastAsia" w:ascii="黑体" w:hAnsi="黑体" w:eastAsia="黑体"/>
          <w:sz w:val="32"/>
          <w:szCs w:val="32"/>
        </w:rPr>
        <w:t>四、人员要求</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技术负责人须具备高级专业技术职称，从事工程咨询相关业务不少于4年。成员需具备工程、财务相关专业技术。具备事中事后现场核查监管经验者优先。</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ascii="黑体" w:hAnsi="黑体" w:eastAsia="黑体"/>
          <w:bCs/>
          <w:sz w:val="32"/>
          <w:szCs w:val="32"/>
        </w:rPr>
      </w:pPr>
      <w:r>
        <w:rPr>
          <w:rFonts w:hint="eastAsia" w:ascii="黑体" w:hAnsi="黑体" w:eastAsia="黑体"/>
          <w:bCs/>
          <w:sz w:val="32"/>
          <w:szCs w:val="32"/>
        </w:rPr>
        <w:t>五、比选响应</w:t>
      </w:r>
      <w:r>
        <w:rPr>
          <w:rFonts w:ascii="黑体" w:hAnsi="黑体" w:eastAsia="黑体"/>
          <w:bCs/>
          <w:sz w:val="32"/>
          <w:szCs w:val="32"/>
        </w:rPr>
        <w:t>文件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第三方机构应当</w:t>
      </w:r>
      <w:r>
        <w:rPr>
          <w:rFonts w:ascii="仿宋_GB2312" w:eastAsia="仿宋_GB2312"/>
          <w:sz w:val="32"/>
          <w:szCs w:val="32"/>
        </w:rPr>
        <w:t>提供能证明承担本</w:t>
      </w:r>
      <w:r>
        <w:rPr>
          <w:rFonts w:hint="eastAsia" w:ascii="仿宋_GB2312" w:eastAsia="仿宋_GB2312"/>
          <w:sz w:val="32"/>
          <w:szCs w:val="32"/>
        </w:rPr>
        <w:t>项目</w:t>
      </w:r>
      <w:r>
        <w:rPr>
          <w:rFonts w:ascii="仿宋_GB2312" w:eastAsia="仿宋_GB2312"/>
          <w:sz w:val="32"/>
          <w:szCs w:val="32"/>
        </w:rPr>
        <w:t>能力和资格的</w:t>
      </w:r>
      <w:r>
        <w:rPr>
          <w:rFonts w:hint="eastAsia" w:ascii="仿宋_GB2312" w:hAnsi="仿宋_GB2312" w:eastAsia="仿宋_GB2312" w:cs="仿宋_GB2312"/>
          <w:sz w:val="32"/>
          <w:szCs w:val="32"/>
        </w:rPr>
        <w:t>“</w:t>
      </w:r>
      <w:r>
        <w:rPr>
          <w:rFonts w:ascii="仿宋_GB2312" w:eastAsia="仿宋_GB2312"/>
          <w:sz w:val="32"/>
          <w:szCs w:val="32"/>
        </w:rPr>
        <w:t>资格证明材料</w:t>
      </w:r>
      <w:r>
        <w:rPr>
          <w:rFonts w:hint="eastAsia" w:ascii="仿宋_GB2312" w:hAnsi="仿宋_GB2312" w:eastAsia="仿宋_GB2312" w:cs="仿宋_GB2312"/>
          <w:sz w:val="32"/>
          <w:szCs w:val="32"/>
        </w:rPr>
        <w:t>”</w:t>
      </w:r>
      <w:r>
        <w:rPr>
          <w:rFonts w:hint="eastAsia" w:ascii="仿宋_GB2312" w:eastAsia="仿宋_GB2312"/>
          <w:sz w:val="32"/>
          <w:szCs w:val="32"/>
        </w:rPr>
        <w:t>，由商务部分和技术部分组成，</w:t>
      </w:r>
      <w:r>
        <w:rPr>
          <w:rFonts w:ascii="仿宋_GB2312" w:eastAsia="仿宋_GB2312"/>
          <w:sz w:val="32"/>
          <w:szCs w:val="32"/>
        </w:rPr>
        <w:t>包括但不限于</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center"/>
        <w:outlineLvl w:val="2"/>
        <w:rPr>
          <w:rFonts w:ascii="仿宋_GB2312" w:eastAsia="仿宋_GB2312"/>
          <w:b/>
          <w:sz w:val="32"/>
          <w:szCs w:val="32"/>
        </w:rPr>
      </w:pPr>
      <w:r>
        <w:rPr>
          <w:rFonts w:hint="eastAsia" w:ascii="仿宋_GB2312" w:eastAsia="仿宋_GB2312"/>
          <w:b/>
          <w:sz w:val="32"/>
          <w:szCs w:val="32"/>
        </w:rPr>
        <w:t>商务部分：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）法定代表人证明、</w:t>
      </w:r>
      <w:r>
        <w:rPr>
          <w:rFonts w:ascii="仿宋_GB2312" w:eastAsia="仿宋_GB2312"/>
          <w:sz w:val="32"/>
          <w:szCs w:val="32"/>
        </w:rPr>
        <w:t>法定代表人</w:t>
      </w:r>
      <w:r>
        <w:rPr>
          <w:rFonts w:hint="eastAsia" w:ascii="仿宋_GB2312" w:eastAsia="仿宋_GB2312"/>
          <w:sz w:val="32"/>
          <w:szCs w:val="32"/>
        </w:rPr>
        <w:t>授权书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（2）营业执照以及相关资质证书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）生产或经营许可证、质量保证体系及其质量认证证明（若有）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）近三年类似项目实施情况一览表及证明材料</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center"/>
        <w:outlineLvl w:val="2"/>
        <w:rPr>
          <w:rFonts w:ascii="仿宋_GB2312" w:eastAsia="仿宋_GB2312"/>
          <w:b/>
          <w:sz w:val="32"/>
          <w:szCs w:val="32"/>
        </w:rPr>
      </w:pPr>
      <w:r>
        <w:rPr>
          <w:rFonts w:hint="eastAsia" w:ascii="仿宋_GB2312" w:eastAsia="仿宋_GB2312"/>
          <w:b/>
          <w:sz w:val="32"/>
          <w:szCs w:val="32"/>
        </w:rPr>
        <w:t>技术部分：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（1）对本项目总体要求的理解。包括：项目概况、项目现状分析、服务完成后预期成效等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）对本项目编制的服务实施方案、人员岗位设置、工作流程和进度安排</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）服务承诺、奖惩措施及质量保证措施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）合理化建议和设想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）第三方机构基本情况表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pacing w:val="-6"/>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w:t>
      </w:r>
      <w:r>
        <w:rPr>
          <w:rFonts w:hint="eastAsia" w:ascii="仿宋_GB2312" w:eastAsia="仿宋_GB2312"/>
          <w:spacing w:val="-6"/>
          <w:sz w:val="32"/>
          <w:szCs w:val="32"/>
        </w:rPr>
        <w:t>拟投入本项目的人员配备及相关工作经历、资质汇总表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）拟投入本项目主要成员详细情况表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（8）比选文件要求的其他内容以及第三方机构认为需加以说明的其他内容</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center"/>
        <w:rPr>
          <w:rFonts w:ascii="仿宋_GB2312" w:eastAsia="仿宋_GB2312"/>
          <w:b/>
          <w:bCs/>
          <w:sz w:val="32"/>
          <w:szCs w:val="32"/>
        </w:rPr>
      </w:pPr>
      <w:r>
        <w:rPr>
          <w:rFonts w:hint="eastAsia" w:ascii="仿宋_GB2312" w:eastAsia="仿宋_GB2312"/>
          <w:b/>
          <w:bCs/>
          <w:sz w:val="32"/>
          <w:szCs w:val="32"/>
        </w:rPr>
        <w:t>特别注意：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第三方机构须提供详细的服务方案。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比选响应文件必须装订成册。比选响应文件的装订应牢固、不易拆散和换页，同时建议不使用硬封面包装，并采用双面印制。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比选响应</w:t>
      </w:r>
      <w:r>
        <w:rPr>
          <w:rFonts w:ascii="仿宋_GB2312" w:eastAsia="仿宋_GB2312"/>
          <w:sz w:val="32"/>
          <w:szCs w:val="32"/>
        </w:rPr>
        <w:t>文件</w:t>
      </w:r>
      <w:r>
        <w:rPr>
          <w:rFonts w:hint="eastAsia" w:ascii="仿宋_GB2312" w:eastAsia="仿宋_GB2312"/>
          <w:sz w:val="32"/>
          <w:szCs w:val="32"/>
        </w:rPr>
        <w:t>文件</w:t>
      </w:r>
      <w:r>
        <w:rPr>
          <w:rFonts w:hint="eastAsia" w:ascii="仿宋_GB2312" w:eastAsia="仿宋_GB2312"/>
          <w:sz w:val="32"/>
          <w:szCs w:val="32"/>
          <w:lang w:eastAsia="zh-CN"/>
        </w:rPr>
        <w:t>一</w:t>
      </w:r>
      <w:r>
        <w:rPr>
          <w:rFonts w:hint="eastAsia" w:ascii="仿宋_GB2312" w:eastAsia="仿宋_GB2312"/>
          <w:sz w:val="32"/>
          <w:szCs w:val="32"/>
        </w:rPr>
        <w:t>式</w:t>
      </w:r>
      <w:r>
        <w:rPr>
          <w:rFonts w:hint="eastAsia" w:ascii="仿宋_GB2312" w:eastAsia="仿宋_GB2312"/>
          <w:sz w:val="32"/>
          <w:szCs w:val="32"/>
          <w:lang w:eastAsia="zh-CN"/>
        </w:rPr>
        <w:t>陆</w:t>
      </w:r>
      <w:r>
        <w:rPr>
          <w:rFonts w:hint="eastAsia" w:ascii="仿宋_GB2312" w:eastAsia="仿宋_GB2312"/>
          <w:sz w:val="32"/>
          <w:szCs w:val="32"/>
        </w:rPr>
        <w:t>份。</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ascii="黑体" w:hAnsi="黑体" w:eastAsia="黑体"/>
          <w:bCs/>
          <w:sz w:val="32"/>
          <w:szCs w:val="32"/>
        </w:rPr>
      </w:pPr>
      <w:r>
        <w:rPr>
          <w:rFonts w:hint="eastAsia" w:ascii="黑体" w:hAnsi="黑体" w:eastAsia="黑体"/>
          <w:bCs/>
          <w:sz w:val="32"/>
          <w:szCs w:val="32"/>
        </w:rPr>
        <w:t>六、第三方机构</w:t>
      </w:r>
      <w:r>
        <w:rPr>
          <w:rFonts w:ascii="黑体" w:hAnsi="黑体" w:eastAsia="黑体"/>
          <w:bCs/>
          <w:sz w:val="32"/>
          <w:szCs w:val="32"/>
        </w:rPr>
        <w:t>报价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hint="eastAsia" w:ascii="仿宋_GB2312" w:eastAsia="仿宋_GB2312"/>
          <w:sz w:val="32"/>
          <w:szCs w:val="32"/>
        </w:rPr>
        <w:t>本项目</w:t>
      </w:r>
      <w:r>
        <w:rPr>
          <w:rFonts w:ascii="仿宋_GB2312" w:eastAsia="仿宋_GB2312"/>
          <w:sz w:val="32"/>
          <w:szCs w:val="32"/>
        </w:rPr>
        <w:t>比选报价采用固定总价形式报价本项目服务费用，比选报价应是完成项目所</w:t>
      </w:r>
      <w:r>
        <w:rPr>
          <w:rFonts w:hint="eastAsia" w:ascii="仿宋_GB2312" w:eastAsia="仿宋_GB2312"/>
          <w:sz w:val="32"/>
          <w:szCs w:val="32"/>
        </w:rPr>
        <w:t>必须</w:t>
      </w:r>
      <w:r>
        <w:rPr>
          <w:rFonts w:ascii="仿宋_GB2312" w:eastAsia="仿宋_GB2312"/>
          <w:sz w:val="32"/>
          <w:szCs w:val="32"/>
        </w:rPr>
        <w:t>的一</w:t>
      </w:r>
      <w:r>
        <w:rPr>
          <w:rFonts w:hint="eastAsia" w:ascii="仿宋_GB2312" w:eastAsia="仿宋_GB2312"/>
          <w:sz w:val="32"/>
          <w:szCs w:val="32"/>
        </w:rPr>
        <w:t>切</w:t>
      </w:r>
      <w:r>
        <w:rPr>
          <w:rFonts w:ascii="仿宋_GB2312" w:eastAsia="仿宋_GB2312"/>
          <w:sz w:val="32"/>
          <w:szCs w:val="32"/>
        </w:rPr>
        <w:t>费用，包括</w:t>
      </w:r>
      <w:r>
        <w:rPr>
          <w:rFonts w:hint="eastAsia" w:ascii="仿宋_GB2312" w:eastAsia="仿宋_GB2312"/>
          <w:sz w:val="32"/>
          <w:szCs w:val="32"/>
        </w:rPr>
        <w:t>办公</w:t>
      </w:r>
      <w:r>
        <w:rPr>
          <w:rFonts w:ascii="仿宋_GB2312" w:eastAsia="仿宋_GB2312"/>
          <w:sz w:val="32"/>
          <w:szCs w:val="32"/>
        </w:rPr>
        <w:t>费、人工费、</w:t>
      </w:r>
      <w:r>
        <w:rPr>
          <w:rFonts w:hint="eastAsia" w:ascii="仿宋_GB2312" w:eastAsia="仿宋_GB2312"/>
          <w:sz w:val="32"/>
          <w:szCs w:val="32"/>
        </w:rPr>
        <w:t>专家</w:t>
      </w:r>
      <w:r>
        <w:rPr>
          <w:rFonts w:ascii="仿宋_GB2312" w:eastAsia="仿宋_GB2312"/>
          <w:sz w:val="32"/>
          <w:szCs w:val="32"/>
        </w:rPr>
        <w:t>费等</w:t>
      </w:r>
      <w:r>
        <w:rPr>
          <w:rFonts w:hint="eastAsia" w:ascii="仿宋_GB2312" w:eastAsia="仿宋_GB2312"/>
          <w:sz w:val="32"/>
          <w:szCs w:val="32"/>
        </w:rPr>
        <w:t>与监管工作</w:t>
      </w:r>
      <w:r>
        <w:rPr>
          <w:rFonts w:ascii="仿宋_GB2312" w:eastAsia="仿宋_GB2312"/>
          <w:sz w:val="32"/>
          <w:szCs w:val="32"/>
        </w:rPr>
        <w:t>有关的所有</w:t>
      </w:r>
      <w:r>
        <w:rPr>
          <w:rFonts w:hint="eastAsia" w:ascii="仿宋_GB2312" w:eastAsia="仿宋_GB2312"/>
          <w:sz w:val="32"/>
          <w:szCs w:val="32"/>
        </w:rPr>
        <w:t>费用</w:t>
      </w:r>
      <w:r>
        <w:rPr>
          <w:rFonts w:ascii="仿宋_GB2312" w:eastAsia="仿宋_GB2312"/>
          <w:sz w:val="32"/>
          <w:szCs w:val="32"/>
        </w:rPr>
        <w:t>。一旦</w:t>
      </w:r>
      <w:r>
        <w:rPr>
          <w:rFonts w:hint="eastAsia" w:ascii="仿宋_GB2312" w:eastAsia="仿宋_GB2312"/>
          <w:sz w:val="32"/>
          <w:szCs w:val="32"/>
        </w:rPr>
        <w:t>比选</w:t>
      </w:r>
      <w:r>
        <w:rPr>
          <w:rFonts w:ascii="仿宋_GB2312" w:eastAsia="仿宋_GB2312"/>
          <w:sz w:val="32"/>
          <w:szCs w:val="32"/>
        </w:rPr>
        <w:t>成功，投标</w:t>
      </w:r>
      <w:r>
        <w:rPr>
          <w:rFonts w:hint="eastAsia" w:ascii="仿宋_GB2312" w:eastAsia="仿宋_GB2312"/>
          <w:sz w:val="32"/>
          <w:szCs w:val="32"/>
        </w:rPr>
        <w:t>报价</w:t>
      </w:r>
      <w:r>
        <w:rPr>
          <w:rFonts w:ascii="仿宋_GB2312" w:eastAsia="仿宋_GB2312"/>
          <w:sz w:val="32"/>
          <w:szCs w:val="32"/>
        </w:rPr>
        <w:t>即为签订合同价。</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ascii="黑体" w:hAnsi="黑体" w:eastAsia="黑体"/>
          <w:bCs/>
          <w:sz w:val="32"/>
          <w:szCs w:val="32"/>
        </w:rPr>
      </w:pPr>
      <w:bookmarkStart w:id="2" w:name="_Toc509473345"/>
      <w:bookmarkStart w:id="3" w:name="_Toc7297"/>
      <w:r>
        <w:rPr>
          <w:rFonts w:hint="eastAsia" w:ascii="黑体" w:hAnsi="黑体" w:eastAsia="黑体"/>
          <w:bCs/>
          <w:sz w:val="32"/>
          <w:szCs w:val="32"/>
        </w:rPr>
        <w:t>七、支付方式</w:t>
      </w:r>
      <w:bookmarkEnd w:id="2"/>
      <w:bookmarkEnd w:id="3"/>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r>
        <w:rPr>
          <w:rFonts w:ascii="仿宋_GB2312" w:eastAsia="仿宋_GB2312"/>
          <w:sz w:val="32"/>
          <w:szCs w:val="32"/>
        </w:rPr>
        <w:t>服务期满，通过甲方对服务</w:t>
      </w:r>
      <w:r>
        <w:rPr>
          <w:rFonts w:hint="eastAsia" w:ascii="仿宋_GB2312" w:eastAsia="仿宋_GB2312"/>
          <w:sz w:val="32"/>
          <w:szCs w:val="32"/>
        </w:rPr>
        <w:t>目标</w:t>
      </w:r>
      <w:r>
        <w:rPr>
          <w:rFonts w:ascii="仿宋_GB2312" w:eastAsia="仿宋_GB2312"/>
          <w:sz w:val="32"/>
          <w:szCs w:val="32"/>
        </w:rPr>
        <w:t>和服务成效进行评估通过后，款项</w:t>
      </w:r>
      <w:r>
        <w:rPr>
          <w:rFonts w:hint="eastAsia" w:ascii="仿宋_GB2312" w:eastAsia="仿宋_GB2312"/>
          <w:sz w:val="32"/>
          <w:szCs w:val="32"/>
        </w:rPr>
        <w:t>一次性</w:t>
      </w:r>
      <w:r>
        <w:rPr>
          <w:rFonts w:ascii="仿宋_GB2312" w:eastAsia="仿宋_GB2312"/>
          <w:sz w:val="32"/>
          <w:szCs w:val="32"/>
        </w:rPr>
        <w:t>支付。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rPr>
          <w:rFonts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800"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4" w:name="评标办法"/>
      <w:r>
        <w:rPr>
          <w:rFonts w:hint="eastAsia" w:ascii="方正小标宋简体" w:hAnsi="方正小标宋简体" w:eastAsia="方正小标宋简体" w:cs="方正小标宋简体"/>
          <w:b w:val="0"/>
          <w:bCs w:val="0"/>
          <w:sz w:val="44"/>
          <w:szCs w:val="44"/>
        </w:rPr>
        <w:t>评审办法</w:t>
      </w:r>
      <w:bookmarkEnd w:id="4"/>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ascii="黑体" w:hAnsi="黑体" w:eastAsia="黑体" w:cs="黑体"/>
          <w:bCs/>
          <w:sz w:val="32"/>
          <w:szCs w:val="32"/>
        </w:rPr>
      </w:pPr>
      <w:r>
        <w:rPr>
          <w:rFonts w:hint="eastAsia" w:ascii="黑体" w:hAnsi="黑体" w:eastAsia="黑体" w:cs="黑体"/>
          <w:bCs/>
          <w:sz w:val="32"/>
          <w:szCs w:val="32"/>
        </w:rPr>
        <w:t>一、比选无效情形</w:t>
      </w:r>
    </w:p>
    <w:p>
      <w:pPr>
        <w:pStyle w:val="14"/>
        <w:keepNext w:val="0"/>
        <w:keepLines w:val="0"/>
        <w:pageBreakBefore w:val="0"/>
        <w:widowControl w:val="0"/>
        <w:kinsoku/>
        <w:wordWrap/>
        <w:overflowPunct/>
        <w:topLinePunct w:val="0"/>
        <w:autoSpaceDE/>
        <w:autoSpaceDN/>
        <w:bidi w:val="0"/>
        <w:adjustRightInd/>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评审委员会将按照比选文件实质性响应条款要求，对比选响应文件进行符合性审查，比选文件不符合所列任何情形之一的，将被认定为无效比选。</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宋体" w:hAnsi="宋体"/>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除上述以及法律法规所规定的比选无效情形外，比选响应文件有其他不符合比选文件要求的均作为比选时的考虑因素，而不导致比选无效。</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1"/>
        <w:rPr>
          <w:rFonts w:ascii="黑体" w:hAnsi="黑体" w:eastAsia="黑体" w:cs="黑体"/>
          <w:bCs/>
          <w:sz w:val="32"/>
          <w:szCs w:val="32"/>
        </w:rPr>
      </w:pPr>
      <w:bookmarkStart w:id="5" w:name="OLE_LINK1"/>
      <w:r>
        <w:rPr>
          <w:rFonts w:hint="eastAsia" w:ascii="黑体" w:hAnsi="黑体" w:eastAsia="黑体" w:cs="黑体"/>
          <w:bCs/>
          <w:sz w:val="32"/>
          <w:szCs w:val="32"/>
        </w:rPr>
        <w:t>二、评审方法与程序</w:t>
      </w:r>
    </w:p>
    <w:bookmarkEnd w:id="5"/>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ascii="楷体" w:hAnsi="楷体" w:eastAsia="楷体" w:cs="楷体"/>
          <w:bCs/>
          <w:sz w:val="32"/>
          <w:szCs w:val="32"/>
        </w:rPr>
      </w:pPr>
      <w:r>
        <w:rPr>
          <w:rFonts w:hint="eastAsia" w:ascii="楷体" w:hAnsi="楷体" w:eastAsia="楷体" w:cs="楷体"/>
          <w:bCs/>
          <w:sz w:val="32"/>
          <w:szCs w:val="32"/>
        </w:rPr>
        <w:t>（一）评审方法</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结合项目特点，本项目采用“综合评分法”比选，总分为100分。</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ascii="楷体" w:hAnsi="楷体" w:eastAsia="楷体" w:cs="楷体"/>
          <w:bCs/>
          <w:sz w:val="32"/>
          <w:szCs w:val="32"/>
        </w:rPr>
      </w:pPr>
      <w:r>
        <w:rPr>
          <w:rFonts w:hint="eastAsia" w:ascii="楷体" w:hAnsi="楷体" w:eastAsia="楷体" w:cs="楷体"/>
          <w:bCs/>
          <w:sz w:val="32"/>
          <w:szCs w:val="32"/>
        </w:rPr>
        <w:t>（二）评审委员会</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lang w:val="en-US" w:eastAsia="zh-CN"/>
        </w:rPr>
        <w:t>.本项目比选工作由评审委员会负责，评审委员会由采购人的代表、上海市政府采购评审专家组成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评审委员会成员应坚持客观、公正、审慎的原则，依据比选文件对比选响应文件响应情况、比选响应文件编制情况等，按照《评分细则》逐项进行综合、科学、客观评分。</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ascii="楷体" w:hAnsi="楷体" w:eastAsia="楷体" w:cs="楷体"/>
          <w:bCs/>
          <w:sz w:val="32"/>
          <w:szCs w:val="32"/>
        </w:rPr>
      </w:pPr>
      <w:r>
        <w:rPr>
          <w:rFonts w:hint="eastAsia" w:ascii="楷体" w:hAnsi="楷体" w:eastAsia="楷体" w:cs="楷体"/>
          <w:bCs/>
          <w:sz w:val="32"/>
          <w:szCs w:val="32"/>
        </w:rPr>
        <w:t>（三）比选程序</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本项目比选工作程序如下：</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符合性审查。依据比选文件的规定，对符合资格的第三方机构的比选响应文件进行符合性审查，以确定其是否满足比选文件的实质性要求。</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澄清有关问题。对于比选文件中含义不明确、同类问题表述不一致或者有明显文字和计算错误的内容，评审委员会应当以书面形式要求第三方机构作出必要的澄清、说明或者补正。第三方机构的澄清、说明或者补正应当采用书面形式，并加盖公章，或者由法定代表人或其授权的代表签字。第三方机构的澄清、说明或者补正不得超出比选文件的范围或者改变比选文件的实质性内容。</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比较与评价。按照比选文件规定的《评分细则》，对符合性审查合格的比选响应文件进行商务和技术评估，综合比较与评价。</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低价比选的认定与处理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评审委员会认为第三方机构的报价明显低于其他通过符合性审查第三方机构的报价，有可能影响产品质量或者不能诚信履约的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应当要求其在比选现场合理的时间内提供书面说明，必要时提交相关证明材料；第三方机构不能证明其报价合理性的，评审委员会应当将其作为无效处理。</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比选候选人推荐办法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评审委员会成员按照评审办法对每个第三方机构进行独立评分，再计算平均分值，按照每个第三方机构最终平均得分由高到低顺序排列。得分相同的，按比选报价由低到高顺序排列。若出现得分且比选报价相同并列第一的情况，采用记名投票表决，得票多者，排名靠前。</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center"/>
        <w:outlineLvl w:val="2"/>
        <w:rPr>
          <w:rFonts w:ascii="楷体" w:hAnsi="楷体" w:eastAsia="楷体" w:cs="楷体"/>
          <w:bCs/>
          <w:sz w:val="32"/>
          <w:szCs w:val="32"/>
        </w:rPr>
      </w:pPr>
      <w:r>
        <w:rPr>
          <w:rFonts w:hint="eastAsia" w:ascii="楷体" w:hAnsi="楷体" w:eastAsia="楷体" w:cs="楷体"/>
          <w:bCs/>
          <w:sz w:val="32"/>
          <w:szCs w:val="32"/>
        </w:rPr>
        <w:t>（四）评分细则</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本项目评分细则说明如下：</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评审价格分按照以下方式进行计算（比选文件规定执行国家统一定价标准和采用固定价格采购的项目除外）：</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（1）价格评分：评选报价分＝（评选基准价/评选报价）×价格权值×100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（2）评选基准价：经符合性审查合格（技术、商务基本符合要求，无重大缺、漏项）满足比选文件要求且比选价格最低的报价。</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比选文件评分因素及分值设置等详见《评分细则》。</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分值说明：</w:t>
      </w: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价格分分值精确到小数点后二位，第三位数四舍五入；其他各分项分值最小单位为“0.1”分；平均得分保留到小数点后二位，第三位数四舍五入。</w:t>
      </w:r>
    </w:p>
    <w:p>
      <w:pPr>
        <w:spacing w:line="400" w:lineRule="exact"/>
        <w:jc w:val="center"/>
        <w:outlineLvl w:val="1"/>
        <w:rPr>
          <w:rFonts w:ascii="黑体" w:hAnsi="黑体" w:eastAsia="黑体" w:cs="黑体"/>
          <w:bCs/>
          <w:sz w:val="30"/>
          <w:szCs w:val="30"/>
        </w:rPr>
      </w:pPr>
      <w:r>
        <w:rPr>
          <w:rFonts w:hint="eastAsia" w:ascii="黑体" w:hAnsi="黑体" w:eastAsia="黑体" w:cs="黑体"/>
          <w:bCs/>
          <w:sz w:val="30"/>
          <w:szCs w:val="30"/>
        </w:rPr>
        <w:t>评分细则</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065"/>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3" w:type="dxa"/>
            <w:vAlign w:val="center"/>
          </w:tcPr>
          <w:p>
            <w:pPr>
              <w:spacing w:line="300" w:lineRule="exact"/>
              <w:ind w:left="-107" w:leftChars="-51"/>
              <w:jc w:val="center"/>
              <w:rPr>
                <w:rFonts w:ascii="宋体" w:hAnsi="宋体"/>
                <w:b/>
                <w:bCs w:val="0"/>
                <w:spacing w:val="20"/>
                <w:szCs w:val="21"/>
              </w:rPr>
            </w:pPr>
            <w:r>
              <w:rPr>
                <w:rFonts w:hint="eastAsia" w:ascii="宋体" w:hAnsi="宋体"/>
                <w:b/>
                <w:bCs w:val="0"/>
                <w:spacing w:val="20"/>
                <w:szCs w:val="21"/>
              </w:rPr>
              <w:t>评分内容</w:t>
            </w:r>
          </w:p>
        </w:tc>
        <w:tc>
          <w:tcPr>
            <w:tcW w:w="1065" w:type="dxa"/>
            <w:vAlign w:val="center"/>
          </w:tcPr>
          <w:p>
            <w:pPr>
              <w:spacing w:line="300" w:lineRule="exact"/>
              <w:ind w:left="-107" w:leftChars="-51" w:firstLine="117" w:firstLineChars="47"/>
              <w:jc w:val="center"/>
              <w:rPr>
                <w:rFonts w:ascii="宋体" w:hAnsi="宋体"/>
                <w:b/>
                <w:bCs w:val="0"/>
                <w:spacing w:val="20"/>
                <w:szCs w:val="21"/>
              </w:rPr>
            </w:pPr>
            <w:r>
              <w:rPr>
                <w:rFonts w:hint="eastAsia" w:ascii="宋体" w:hAnsi="宋体"/>
                <w:b/>
                <w:bCs w:val="0"/>
                <w:spacing w:val="20"/>
                <w:szCs w:val="21"/>
              </w:rPr>
              <w:t>基础分</w:t>
            </w:r>
          </w:p>
        </w:tc>
        <w:tc>
          <w:tcPr>
            <w:tcW w:w="6840" w:type="dxa"/>
            <w:vAlign w:val="center"/>
          </w:tcPr>
          <w:p>
            <w:pPr>
              <w:spacing w:line="300" w:lineRule="exact"/>
              <w:ind w:left="-107" w:leftChars="-51"/>
              <w:jc w:val="center"/>
              <w:rPr>
                <w:rFonts w:ascii="宋体" w:hAnsi="宋体"/>
                <w:b/>
                <w:bCs w:val="0"/>
                <w:spacing w:val="20"/>
                <w:szCs w:val="21"/>
              </w:rPr>
            </w:pPr>
            <w:r>
              <w:rPr>
                <w:rFonts w:hint="eastAsia" w:ascii="宋体" w:hAnsi="宋体"/>
                <w:b/>
                <w:bCs w:val="0"/>
                <w:spacing w:val="2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r>
              <w:rPr>
                <w:rFonts w:hint="eastAsia" w:ascii="宋体" w:hAnsi="宋体"/>
                <w:bCs/>
                <w:szCs w:val="21"/>
              </w:rPr>
              <w:t>价格</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20</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1、评选报价分＝（评选基准价/评选报价）×20×100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56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r>
              <w:rPr>
                <w:rFonts w:hint="eastAsia" w:ascii="宋体" w:hAnsi="宋体"/>
                <w:bCs/>
                <w:szCs w:val="21"/>
              </w:rPr>
              <w:t>实施方案</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40</w:t>
            </w:r>
          </w:p>
        </w:tc>
        <w:tc>
          <w:tcPr>
            <w:tcW w:w="6840" w:type="dxa"/>
            <w:vAlign w:val="center"/>
          </w:tcPr>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1、服务方案：包括现场核查方案、达到的核查目标、制定核查制度、现场核查工作的内容、工作程序（流程）、文件归档措施、报告完成时限等。</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2、人员情况：包括人员构成、资格证书、主要类似项目经历，项目组成员主要工作职责。</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3、现场核查工作的准确性，报告的质量，专家的配置。</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4、核查报告的时效性</w:t>
            </w:r>
            <w:r>
              <w:rPr>
                <w:rFonts w:ascii="宋体" w:hAnsi="宋体"/>
                <w:szCs w:val="21"/>
              </w:rPr>
              <w:t>、</w:t>
            </w:r>
            <w:r>
              <w:rPr>
                <w:rFonts w:hint="eastAsia" w:ascii="宋体" w:hAnsi="宋体"/>
                <w:szCs w:val="21"/>
              </w:rPr>
              <w:t>有效性。</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5、对项目核查后实时跟踪，对需要整改项目按时完成整改验收。</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6、针对本项目的服务承诺。</w:t>
            </w:r>
          </w:p>
          <w:p>
            <w:pPr>
              <w:keepNext w:val="0"/>
              <w:keepLines w:val="0"/>
              <w:pageBreakBefore w:val="0"/>
              <w:widowControl w:val="0"/>
              <w:kinsoku/>
              <w:wordWrap/>
              <w:overflowPunct/>
              <w:topLinePunct w:val="0"/>
              <w:autoSpaceDE/>
              <w:autoSpaceDN/>
              <w:bidi w:val="0"/>
              <w:adjustRightInd/>
              <w:snapToGrid/>
              <w:spacing w:before="78" w:beforeLines="25" w:after="78" w:afterLines="25" w:line="360" w:lineRule="exact"/>
              <w:textAlignment w:val="auto"/>
              <w:rPr>
                <w:rFonts w:ascii="宋体" w:hAnsi="宋体"/>
                <w:szCs w:val="21"/>
              </w:rPr>
            </w:pPr>
            <w:r>
              <w:rPr>
                <w:rFonts w:hint="eastAsia" w:ascii="宋体" w:hAnsi="宋体"/>
                <w:szCs w:val="21"/>
              </w:rPr>
              <w:t>包括比选方案是否充分考虑用户的工作实效性和其他需求等。</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1" w:firstLine="115" w:firstLineChars="55"/>
              <w:textAlignment w:val="auto"/>
              <w:rPr>
                <w:rFonts w:ascii="宋体" w:hAnsi="宋体"/>
                <w:szCs w:val="21"/>
              </w:rPr>
            </w:pPr>
            <w:r>
              <w:rPr>
                <w:rFonts w:hint="eastAsia" w:ascii="宋体" w:hAnsi="宋体"/>
                <w:szCs w:val="21"/>
              </w:rPr>
              <w:t>方案优：31-40分；方案较好：16-30分；方案一般：0-15分；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6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r>
              <w:rPr>
                <w:rFonts w:hint="eastAsia" w:ascii="宋体" w:hAnsi="宋体"/>
                <w:bCs/>
                <w:szCs w:val="21"/>
              </w:rPr>
              <w:t>人员配备</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10</w:t>
            </w:r>
          </w:p>
        </w:tc>
        <w:tc>
          <w:tcPr>
            <w:tcW w:w="6840" w:type="dxa"/>
            <w:vAlign w:val="center"/>
          </w:tcPr>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szCs w:val="21"/>
              </w:rPr>
            </w:pPr>
            <w:r>
              <w:rPr>
                <w:rFonts w:hint="eastAsia" w:ascii="宋体" w:hAnsi="宋体"/>
                <w:szCs w:val="21"/>
              </w:rPr>
              <w:t>项目经理（负责人）及主要管理人员的工作经历和资历，各工种的配置和人员的投入以及从业经验满足项目需求等。</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5" w:leftChars="26"/>
              <w:textAlignment w:val="auto"/>
              <w:rPr>
                <w:rFonts w:ascii="宋体" w:hAnsi="宋体"/>
                <w:bCs/>
                <w:szCs w:val="21"/>
              </w:rPr>
            </w:pPr>
            <w:r>
              <w:rPr>
                <w:rFonts w:hint="eastAsia" w:ascii="宋体" w:hAnsi="宋体"/>
                <w:bCs/>
                <w:szCs w:val="21"/>
              </w:rPr>
              <w:t>较好8-10分；一般6-7分；较差0-5分。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6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pacing w:val="-4"/>
                <w:szCs w:val="21"/>
              </w:rPr>
            </w:pPr>
            <w:r>
              <w:rPr>
                <w:rFonts w:hint="eastAsia" w:ascii="宋体" w:hAnsi="宋体"/>
                <w:bCs/>
                <w:spacing w:val="-4"/>
                <w:szCs w:val="21"/>
              </w:rPr>
              <w:t>组织机构和内部管理制度</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10</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before="78" w:beforeLines="25" w:after="78" w:afterLines="25" w:line="360" w:lineRule="exact"/>
              <w:textAlignment w:val="auto"/>
              <w:rPr>
                <w:rFonts w:hint="eastAsia" w:ascii="宋体" w:hAnsi="宋体" w:eastAsia="宋体"/>
                <w:szCs w:val="21"/>
                <w:lang w:eastAsia="zh-CN"/>
              </w:rPr>
            </w:pPr>
            <w:r>
              <w:rPr>
                <w:rFonts w:hint="eastAsia" w:ascii="宋体" w:hAnsi="宋体"/>
                <w:szCs w:val="21"/>
              </w:rPr>
              <w:t>1、项目管理机构及其运作方法与流程</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before="78" w:beforeLines="25" w:after="78" w:afterLines="25" w:line="360" w:lineRule="exact"/>
              <w:textAlignment w:val="auto"/>
              <w:rPr>
                <w:rFonts w:hint="eastAsia" w:ascii="宋体" w:hAnsi="宋体" w:eastAsia="宋体"/>
                <w:szCs w:val="21"/>
                <w:lang w:eastAsia="zh-CN"/>
              </w:rPr>
            </w:pPr>
            <w:r>
              <w:rPr>
                <w:rFonts w:hint="eastAsia" w:ascii="宋体" w:hAnsi="宋体"/>
                <w:szCs w:val="21"/>
              </w:rPr>
              <w:t>2、各项管理制度</w:t>
            </w:r>
            <w:r>
              <w:rPr>
                <w:rFonts w:hint="eastAsia" w:ascii="宋体" w:hAnsi="宋体"/>
                <w:szCs w:val="21"/>
                <w:lang w:eastAsia="zh-CN"/>
              </w:rPr>
              <w:t>。</w:t>
            </w:r>
          </w:p>
          <w:p>
            <w:pPr>
              <w:keepNext w:val="0"/>
              <w:keepLines w:val="0"/>
              <w:pageBreakBefore w:val="0"/>
              <w:widowControl w:val="0"/>
              <w:tabs>
                <w:tab w:val="left" w:pos="4600"/>
              </w:tabs>
              <w:kinsoku/>
              <w:wordWrap/>
              <w:overflowPunct/>
              <w:topLinePunct w:val="0"/>
              <w:autoSpaceDE/>
              <w:autoSpaceDN/>
              <w:bidi w:val="0"/>
              <w:adjustRightInd/>
              <w:snapToGrid/>
              <w:spacing w:line="360" w:lineRule="exact"/>
              <w:ind w:left="-50" w:leftChars="-24" w:firstLine="105" w:firstLineChars="50"/>
              <w:textAlignment w:val="auto"/>
              <w:rPr>
                <w:rFonts w:ascii="宋体" w:hAnsi="宋体"/>
                <w:szCs w:val="21"/>
              </w:rPr>
            </w:pPr>
            <w:r>
              <w:rPr>
                <w:rFonts w:hint="eastAsia" w:ascii="宋体" w:hAnsi="宋体"/>
                <w:bCs/>
                <w:szCs w:val="21"/>
              </w:rPr>
              <w:t>较好7-10分；一般4-6分；较差0-3分。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6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hint="eastAsia" w:ascii="宋体" w:hAnsi="宋体"/>
                <w:bCs/>
                <w:szCs w:val="21"/>
              </w:rPr>
            </w:pPr>
            <w:r>
              <w:rPr>
                <w:rFonts w:hint="eastAsia" w:ascii="宋体" w:hAnsi="宋体"/>
                <w:bCs/>
                <w:szCs w:val="21"/>
              </w:rPr>
              <w:t>服务承诺、</w:t>
            </w:r>
          </w:p>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r>
              <w:rPr>
                <w:rFonts w:hint="eastAsia" w:ascii="宋体" w:hAnsi="宋体"/>
                <w:bCs/>
                <w:szCs w:val="21"/>
              </w:rPr>
              <w:t>奖惩措施</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5</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64" w:leftChars="30" w:hanging="1"/>
              <w:textAlignment w:val="auto"/>
              <w:rPr>
                <w:rFonts w:ascii="宋体" w:hAnsi="宋体"/>
                <w:bCs/>
                <w:szCs w:val="21"/>
              </w:rPr>
            </w:pPr>
            <w:r>
              <w:rPr>
                <w:rFonts w:hint="eastAsia" w:ascii="宋体" w:hAnsi="宋体"/>
                <w:bCs/>
                <w:szCs w:val="21"/>
              </w:rPr>
              <w:t>服务承诺全面详尽，并有相应详细处罚保证措施等。</w:t>
            </w:r>
          </w:p>
          <w:p>
            <w:pPr>
              <w:keepNext w:val="0"/>
              <w:keepLines w:val="0"/>
              <w:pageBreakBefore w:val="0"/>
              <w:widowControl w:val="0"/>
              <w:kinsoku/>
              <w:wordWrap/>
              <w:overflowPunct/>
              <w:topLinePunct w:val="0"/>
              <w:autoSpaceDE/>
              <w:autoSpaceDN/>
              <w:bidi w:val="0"/>
              <w:adjustRightInd/>
              <w:snapToGrid/>
              <w:spacing w:line="360" w:lineRule="exact"/>
              <w:ind w:left="66" w:leftChars="31" w:hanging="1"/>
              <w:textAlignment w:val="auto"/>
              <w:rPr>
                <w:rFonts w:ascii="宋体" w:hAnsi="宋体"/>
                <w:bCs/>
                <w:szCs w:val="21"/>
              </w:rPr>
            </w:pPr>
            <w:r>
              <w:rPr>
                <w:rFonts w:hint="eastAsia" w:ascii="宋体" w:hAnsi="宋体"/>
                <w:bCs/>
                <w:szCs w:val="21"/>
              </w:rPr>
              <w:t>较好4-5分；一般3-4分；较差0-3分。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r>
              <w:rPr>
                <w:rFonts w:hint="eastAsia" w:ascii="宋体" w:hAnsi="宋体"/>
                <w:bCs/>
                <w:szCs w:val="21"/>
              </w:rPr>
              <w:t>综合能力</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2</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是否有固定且集中、独立的办公场所（提供租赁合同或房屋产权证复印件）；提供材料得1分；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Cs/>
                <w:szCs w:val="21"/>
              </w:rPr>
            </w:pPr>
            <w:r>
              <w:rPr>
                <w:rFonts w:hint="eastAsia" w:ascii="宋体" w:hAnsi="宋体"/>
                <w:szCs w:val="21"/>
              </w:rPr>
              <w:t>是否有必要的办公设施和现代化的办公场所（提供办公设施清单及图片、办公场所图片）；提供材料得1分。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6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7</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FF0000"/>
                <w:szCs w:val="21"/>
              </w:rPr>
            </w:pPr>
            <w:r>
              <w:rPr>
                <w:rFonts w:hint="eastAsia" w:ascii="宋体" w:hAnsi="宋体"/>
                <w:szCs w:val="21"/>
              </w:rPr>
              <w:t>1、根据第三方机构单位2018年至202</w:t>
            </w:r>
            <w:r>
              <w:rPr>
                <w:rFonts w:hint="eastAsia" w:ascii="宋体" w:hAnsi="宋体"/>
                <w:szCs w:val="21"/>
                <w:lang w:val="en-US" w:eastAsia="zh-CN"/>
              </w:rPr>
              <w:t>4</w:t>
            </w:r>
            <w:r>
              <w:rPr>
                <w:rFonts w:hint="eastAsia" w:ascii="宋体" w:hAnsi="宋体"/>
                <w:szCs w:val="21"/>
              </w:rPr>
              <w:t>年所承担过的类似项目经验情况进行评分（提供合同复印件</w:t>
            </w:r>
            <w:r>
              <w:rPr>
                <w:rFonts w:ascii="宋体" w:hAnsi="宋体"/>
                <w:szCs w:val="21"/>
              </w:rPr>
              <w:t>及盖章处</w:t>
            </w:r>
            <w:r>
              <w:rPr>
                <w:rFonts w:hint="eastAsia" w:ascii="宋体" w:hAnsi="宋体"/>
                <w:szCs w:val="21"/>
              </w:rPr>
              <w:t>），提供一个得1分，满分5分；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2、根据第三方机构单位所服务单位提供的服务反馈等综合情况进行评分（主要参考依据可以为服务单位盖章的项目服务评价），0-2分。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6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right="-107" w:rightChars="-51"/>
              <w:jc w:val="center"/>
              <w:textAlignment w:val="auto"/>
              <w:rPr>
                <w:rFonts w:ascii="宋体" w:hAnsi="宋体"/>
                <w:bCs/>
                <w:szCs w:val="21"/>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jc w:val="center"/>
              <w:textAlignment w:val="auto"/>
              <w:rPr>
                <w:rFonts w:ascii="宋体" w:hAnsi="宋体"/>
                <w:bCs/>
                <w:spacing w:val="20"/>
                <w:szCs w:val="21"/>
              </w:rPr>
            </w:pPr>
            <w:r>
              <w:rPr>
                <w:rFonts w:hint="eastAsia" w:ascii="宋体" w:hAnsi="宋体"/>
                <w:bCs/>
                <w:spacing w:val="20"/>
                <w:szCs w:val="21"/>
              </w:rPr>
              <w:t>6</w:t>
            </w:r>
          </w:p>
        </w:tc>
        <w:tc>
          <w:tcPr>
            <w:tcW w:w="684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66" w:leftChars="31" w:hanging="1"/>
              <w:textAlignment w:val="auto"/>
              <w:rPr>
                <w:rFonts w:ascii="宋体" w:hAnsi="宋体"/>
                <w:bCs/>
                <w:szCs w:val="21"/>
              </w:rPr>
            </w:pPr>
            <w:r>
              <w:rPr>
                <w:rFonts w:hint="eastAsia" w:ascii="宋体" w:hAnsi="宋体"/>
                <w:bCs/>
                <w:szCs w:val="21"/>
              </w:rPr>
              <w:t>1、具有ISO9001得1分</w:t>
            </w:r>
          </w:p>
          <w:p>
            <w:pPr>
              <w:keepNext w:val="0"/>
              <w:keepLines w:val="0"/>
              <w:pageBreakBefore w:val="0"/>
              <w:widowControl w:val="0"/>
              <w:kinsoku/>
              <w:wordWrap/>
              <w:overflowPunct/>
              <w:topLinePunct w:val="0"/>
              <w:autoSpaceDE/>
              <w:autoSpaceDN/>
              <w:bidi w:val="0"/>
              <w:adjustRightInd/>
              <w:snapToGrid/>
              <w:spacing w:line="360" w:lineRule="exact"/>
              <w:ind w:left="66" w:leftChars="31" w:hanging="1"/>
              <w:textAlignment w:val="auto"/>
              <w:rPr>
                <w:rFonts w:ascii="宋体" w:hAnsi="宋体"/>
                <w:bCs/>
                <w:szCs w:val="21"/>
              </w:rPr>
            </w:pPr>
            <w:r>
              <w:rPr>
                <w:rFonts w:hint="eastAsia" w:ascii="宋体" w:hAnsi="宋体"/>
                <w:bCs/>
                <w:szCs w:val="21"/>
              </w:rPr>
              <w:t>2、提供完善的质量保证及事后</w:t>
            </w:r>
            <w:r>
              <w:rPr>
                <w:rFonts w:ascii="宋体" w:hAnsi="宋体"/>
                <w:bCs/>
                <w:szCs w:val="21"/>
              </w:rPr>
              <w:t>服务方案</w:t>
            </w:r>
          </w:p>
          <w:p>
            <w:pPr>
              <w:keepNext w:val="0"/>
              <w:keepLines w:val="0"/>
              <w:pageBreakBefore w:val="0"/>
              <w:widowControl w:val="0"/>
              <w:kinsoku/>
              <w:wordWrap/>
              <w:overflowPunct/>
              <w:topLinePunct w:val="0"/>
              <w:autoSpaceDE/>
              <w:autoSpaceDN/>
              <w:bidi w:val="0"/>
              <w:adjustRightInd/>
              <w:snapToGrid/>
              <w:spacing w:line="360" w:lineRule="exact"/>
              <w:ind w:left="66" w:leftChars="31" w:hanging="1"/>
              <w:textAlignment w:val="auto"/>
              <w:rPr>
                <w:rFonts w:ascii="宋体" w:hAnsi="宋体"/>
                <w:bCs/>
                <w:szCs w:val="21"/>
              </w:rPr>
            </w:pPr>
            <w:r>
              <w:rPr>
                <w:rFonts w:hint="eastAsia" w:ascii="宋体" w:hAnsi="宋体"/>
                <w:bCs/>
                <w:szCs w:val="21"/>
              </w:rPr>
              <w:t>较好4-5分；一般3-4分；较差0-3分。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46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107" w:leftChars="-51" w:firstLine="105" w:firstLineChars="50"/>
              <w:textAlignment w:val="auto"/>
              <w:rPr>
                <w:rFonts w:ascii="宋体" w:hAnsi="宋体" w:cs="宋体"/>
                <w:kern w:val="0"/>
                <w:szCs w:val="21"/>
              </w:rPr>
            </w:pPr>
            <w:r>
              <w:rPr>
                <w:rFonts w:hint="eastAsia" w:ascii="宋体" w:hAnsi="宋体" w:cs="宋体"/>
                <w:kern w:val="0"/>
                <w:szCs w:val="21"/>
              </w:rPr>
              <w:t>注：若评审内容在比选响应文件中未做描述，则该项得“0”分。</w:t>
            </w:r>
          </w:p>
        </w:tc>
      </w:tr>
    </w:tbl>
    <w:p>
      <w:pPr>
        <w:tabs>
          <w:tab w:val="left" w:pos="1985"/>
        </w:tabs>
        <w:snapToGrid w:val="0"/>
        <w:spacing w:line="520" w:lineRule="exact"/>
        <w:ind w:right="443" w:rightChars="211"/>
        <w:jc w:val="both"/>
        <w:rPr>
          <w:rFonts w:ascii="仿宋_GB2312" w:hAnsi="Times New Roman" w:eastAsia="仿宋_GB2312"/>
          <w:sz w:val="32"/>
          <w:szCs w:val="32"/>
        </w:rPr>
      </w:pPr>
    </w:p>
    <w:sectPr>
      <w:footerReference r:id="rId3" w:type="default"/>
      <w:pgSz w:w="11906" w:h="16838"/>
      <w:pgMar w:top="2154"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2BCFC"/>
    <w:multiLevelType w:val="singleLevel"/>
    <w:tmpl w:val="0F22BCFC"/>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3ZDNmMDIyZGM1NzY0MTQ4OWE1NDQ3ZjQ3ZWRiNTcifQ=="/>
  </w:docVars>
  <w:rsids>
    <w:rsidRoot w:val="00062CC6"/>
    <w:rsid w:val="00033B3E"/>
    <w:rsid w:val="00062CC6"/>
    <w:rsid w:val="000F5AB9"/>
    <w:rsid w:val="001221C0"/>
    <w:rsid w:val="00182FC3"/>
    <w:rsid w:val="002E6073"/>
    <w:rsid w:val="00342997"/>
    <w:rsid w:val="003C2181"/>
    <w:rsid w:val="00493E52"/>
    <w:rsid w:val="00497869"/>
    <w:rsid w:val="005B00F2"/>
    <w:rsid w:val="00637241"/>
    <w:rsid w:val="00647399"/>
    <w:rsid w:val="0070748F"/>
    <w:rsid w:val="00732F71"/>
    <w:rsid w:val="00761E86"/>
    <w:rsid w:val="00785426"/>
    <w:rsid w:val="00812E28"/>
    <w:rsid w:val="00863FFC"/>
    <w:rsid w:val="008C588F"/>
    <w:rsid w:val="008F4EC4"/>
    <w:rsid w:val="00911D79"/>
    <w:rsid w:val="00A8232C"/>
    <w:rsid w:val="00AC7ACC"/>
    <w:rsid w:val="00B21932"/>
    <w:rsid w:val="00B7547F"/>
    <w:rsid w:val="00C84997"/>
    <w:rsid w:val="00D47191"/>
    <w:rsid w:val="00DE5E17"/>
    <w:rsid w:val="00E247A5"/>
    <w:rsid w:val="00F42A41"/>
    <w:rsid w:val="1E08272D"/>
    <w:rsid w:val="2DEA131C"/>
    <w:rsid w:val="3DDFDBEF"/>
    <w:rsid w:val="3FD145B2"/>
    <w:rsid w:val="523E560F"/>
    <w:rsid w:val="575256B8"/>
    <w:rsid w:val="618F46BF"/>
    <w:rsid w:val="65DF280D"/>
    <w:rsid w:val="6FB7A540"/>
    <w:rsid w:val="72402885"/>
    <w:rsid w:val="7B7209AE"/>
    <w:rsid w:val="7EFF96C4"/>
    <w:rsid w:val="7EFFEDFE"/>
    <w:rsid w:val="7F9D3FE0"/>
    <w:rsid w:val="7FC73E8F"/>
    <w:rsid w:val="7FF7EC4F"/>
    <w:rsid w:val="AB9EAF4A"/>
    <w:rsid w:val="BE772349"/>
    <w:rsid w:val="E67F2F25"/>
    <w:rsid w:val="EFDFEFAF"/>
    <w:rsid w:val="F2FFDC9B"/>
    <w:rsid w:val="F9FCB9B1"/>
    <w:rsid w:val="FDFFF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eastAsiaTheme="minorEastAsia"/>
      <w:szCs w:val="21"/>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character" w:customStyle="1" w:styleId="11">
    <w:name w:val="日期 字符"/>
    <w:basedOn w:val="7"/>
    <w:link w:val="3"/>
    <w:semiHidden/>
    <w:qFormat/>
    <w:uiPriority w:val="99"/>
    <w:rPr>
      <w:rFonts w:ascii="Calibri" w:hAnsi="Calibri" w:eastAsia="宋体" w:cs="Times New Roman"/>
      <w:szCs w:val="24"/>
    </w:rPr>
  </w:style>
  <w:style w:type="character" w:customStyle="1" w:styleId="12">
    <w:name w:val="纯文本 字符"/>
    <w:basedOn w:val="7"/>
    <w:link w:val="2"/>
    <w:qFormat/>
    <w:uiPriority w:val="0"/>
    <w:rPr>
      <w:rFonts w:ascii="宋体" w:hAnsi="Courier New" w:cs="Courier New"/>
      <w:szCs w:val="21"/>
    </w:rPr>
  </w:style>
  <w:style w:type="character" w:customStyle="1" w:styleId="13">
    <w:name w:val="列表段落 字符"/>
    <w:link w:val="14"/>
    <w:qFormat/>
    <w:locked/>
    <w:uiPriority w:val="0"/>
    <w:rPr>
      <w:rFonts w:ascii="Calibri" w:hAnsi="Calibri"/>
    </w:rPr>
  </w:style>
  <w:style w:type="paragraph" w:styleId="14">
    <w:name w:val="List Paragraph"/>
    <w:basedOn w:val="1"/>
    <w:link w:val="13"/>
    <w:qFormat/>
    <w:uiPriority w:val="0"/>
    <w:pPr>
      <w:ind w:firstLine="420" w:firstLineChars="200"/>
    </w:pPr>
    <w:rPr>
      <w:rFonts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4434</Words>
  <Characters>4586</Characters>
  <Lines>37</Lines>
  <Paragraphs>10</Paragraphs>
  <TotalTime>0</TotalTime>
  <ScaleCrop>false</ScaleCrop>
  <LinksUpToDate>false</LinksUpToDate>
  <CharactersWithSpaces>4612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2022-02-22T15:58:00Z</dcterms:created>
  <dc:creator>发改委窗口</dc:creator>
  <cp:lastModifiedBy>mhxc</cp:lastModifiedBy>
  <cp:lastPrinted>2025-03-13T06:19:00Z</cp:lastPrinted>
  <dcterms:modified xsi:type="dcterms:W3CDTF">2026-04-13T16:34:42Z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CBC5ACD8B6EF4D96AF11B7401A9707C6_13</vt:lpwstr>
  </property>
</Properties>
</file>