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00" w:firstLine="0" w:firstLineChars="0"/>
        <w:jc w:val="both"/>
        <w:rPr>
          <w:rFonts w:eastAsia="华文中宋" w:cs="Times New Roman"/>
          <w:b/>
          <w:bCs/>
          <w:sz w:val="44"/>
          <w:szCs w:val="40"/>
        </w:rPr>
      </w:pPr>
    </w:p>
    <w:p>
      <w:pPr>
        <w:ind w:right="300" w:firstLine="0" w:firstLineChars="0"/>
        <w:jc w:val="both"/>
        <w:rPr>
          <w:rFonts w:eastAsia="华文中宋" w:cs="Times New Roman"/>
          <w:b/>
          <w:bCs/>
          <w:sz w:val="44"/>
          <w:szCs w:val="40"/>
        </w:rPr>
      </w:pPr>
    </w:p>
    <w:p>
      <w:pPr>
        <w:ind w:right="300" w:firstLine="0" w:firstLineChars="0"/>
        <w:jc w:val="both"/>
        <w:rPr>
          <w:rFonts w:eastAsia="华文中宋" w:cs="Times New Roman"/>
          <w:b/>
          <w:bCs/>
          <w:sz w:val="44"/>
          <w:szCs w:val="40"/>
        </w:rPr>
      </w:pPr>
    </w:p>
    <w:p>
      <w:pPr>
        <w:ind w:right="300" w:firstLine="0" w:firstLineChars="0"/>
        <w:jc w:val="center"/>
        <w:rPr>
          <w:rFonts w:eastAsia="华文中宋" w:cs="Times New Roman"/>
          <w:b/>
          <w:bCs/>
          <w:sz w:val="44"/>
          <w:szCs w:val="40"/>
        </w:rPr>
      </w:pPr>
    </w:p>
    <w:p>
      <w:pPr>
        <w:ind w:right="300" w:firstLine="0" w:firstLineChars="0"/>
        <w:jc w:val="both"/>
        <w:rPr>
          <w:rFonts w:eastAsia="华文中宋" w:cs="Times New Roman"/>
          <w:b/>
          <w:bCs/>
          <w:sz w:val="44"/>
          <w:szCs w:val="40"/>
        </w:rPr>
      </w:pPr>
    </w:p>
    <w:p>
      <w:pPr>
        <w:ind w:right="300" w:firstLine="0" w:firstLineChars="0"/>
        <w:jc w:val="center"/>
        <w:rPr>
          <w:rFonts w:eastAsia="华文中宋" w:cs="Times New Roman"/>
          <w:b/>
          <w:bCs/>
          <w:sz w:val="52"/>
          <w:szCs w:val="52"/>
        </w:rPr>
      </w:pPr>
      <w:r>
        <w:rPr>
          <w:rFonts w:eastAsia="华文中宋" w:cs="Times New Roman"/>
          <w:b/>
          <w:bCs/>
          <w:sz w:val="52"/>
          <w:szCs w:val="52"/>
        </w:rPr>
        <w:t>闵行区服务业发展</w:t>
      </w:r>
      <w:r>
        <w:rPr>
          <w:rFonts w:hint="default" w:ascii="Times New Roman" w:hAnsi="Times New Roman" w:eastAsia="华文中宋" w:cs="Times New Roman"/>
          <w:b/>
          <w:bCs/>
          <w:sz w:val="52"/>
          <w:szCs w:val="52"/>
          <w:lang w:eastAsia="zh-CN"/>
        </w:rPr>
        <w:t>“</w:t>
      </w:r>
      <w:r>
        <w:rPr>
          <w:rFonts w:eastAsia="华文中宋" w:cs="Times New Roman"/>
          <w:b/>
          <w:bCs/>
          <w:sz w:val="52"/>
          <w:szCs w:val="52"/>
        </w:rPr>
        <w:t>十五五</w:t>
      </w:r>
      <w:r>
        <w:rPr>
          <w:rFonts w:hint="default" w:ascii="Times New Roman" w:hAnsi="Times New Roman" w:eastAsia="华文中宋" w:cs="Times New Roman"/>
          <w:b/>
          <w:bCs/>
          <w:sz w:val="52"/>
          <w:szCs w:val="52"/>
          <w:lang w:eastAsia="zh-CN"/>
        </w:rPr>
        <w:t>”</w:t>
      </w:r>
      <w:r>
        <w:rPr>
          <w:rFonts w:eastAsia="华文中宋" w:cs="Times New Roman"/>
          <w:b/>
          <w:bCs/>
          <w:sz w:val="52"/>
          <w:szCs w:val="52"/>
        </w:rPr>
        <w:t>规划</w:t>
      </w:r>
    </w:p>
    <w:p>
      <w:pPr>
        <w:ind w:right="300" w:firstLine="0" w:firstLineChars="0"/>
        <w:jc w:val="center"/>
        <w:rPr>
          <w:rFonts w:eastAsia="华文中宋" w:cs="Times New Roman"/>
          <w:b/>
          <w:bCs/>
          <w:sz w:val="44"/>
          <w:szCs w:val="44"/>
        </w:rPr>
      </w:pPr>
      <w:r>
        <w:rPr>
          <w:rFonts w:eastAsia="华文中宋" w:cs="Times New Roman"/>
          <w:b/>
          <w:bCs/>
          <w:sz w:val="44"/>
          <w:szCs w:val="44"/>
        </w:rPr>
        <w:t>（</w:t>
      </w:r>
      <w:r>
        <w:rPr>
          <w:rFonts w:hint="default" w:eastAsia="华文中宋" w:cs="Times New Roman"/>
          <w:b/>
          <w:bCs/>
          <w:sz w:val="44"/>
          <w:szCs w:val="44"/>
          <w:lang w:val="en-US" w:eastAsia="zh-CN"/>
        </w:rPr>
        <w:t>征求意见稿</w:t>
      </w:r>
      <w:r>
        <w:rPr>
          <w:rFonts w:eastAsia="华文中宋" w:cs="Times New Roman"/>
          <w:b/>
          <w:bCs/>
          <w:sz w:val="44"/>
          <w:szCs w:val="44"/>
        </w:rPr>
        <w:t>）</w:t>
      </w:r>
    </w:p>
    <w:p>
      <w:pPr>
        <w:ind w:right="300" w:firstLine="0" w:firstLineChars="0"/>
        <w:jc w:val="both"/>
        <w:rPr>
          <w:rFonts w:eastAsia="华文中宋" w:cs="Times New Roman"/>
          <w:b/>
          <w:bCs/>
          <w:sz w:val="44"/>
          <w:szCs w:val="40"/>
        </w:rPr>
      </w:pPr>
    </w:p>
    <w:p>
      <w:pPr>
        <w:ind w:right="300" w:firstLine="0" w:firstLineChars="0"/>
        <w:jc w:val="both"/>
        <w:rPr>
          <w:rFonts w:eastAsia="华文中宋" w:cs="Times New Roman"/>
          <w:b/>
          <w:bCs/>
          <w:sz w:val="44"/>
          <w:szCs w:val="40"/>
        </w:rPr>
      </w:pPr>
    </w:p>
    <w:p>
      <w:pPr>
        <w:ind w:right="300" w:firstLine="0" w:firstLineChars="0"/>
        <w:jc w:val="both"/>
        <w:rPr>
          <w:rFonts w:eastAsia="华文中宋" w:cs="Times New Roman"/>
          <w:b/>
          <w:bCs/>
          <w:sz w:val="44"/>
          <w:szCs w:val="40"/>
        </w:rPr>
      </w:pPr>
    </w:p>
    <w:p>
      <w:pPr>
        <w:ind w:right="300" w:firstLine="0" w:firstLineChars="0"/>
        <w:jc w:val="both"/>
        <w:rPr>
          <w:rFonts w:eastAsia="华文中宋" w:cs="Times New Roman"/>
          <w:b/>
          <w:bCs/>
          <w:sz w:val="44"/>
          <w:szCs w:val="40"/>
        </w:rPr>
      </w:pPr>
    </w:p>
    <w:p>
      <w:pPr>
        <w:ind w:right="300" w:firstLine="0" w:firstLineChars="0"/>
        <w:jc w:val="both"/>
        <w:rPr>
          <w:rFonts w:eastAsia="华文中宋" w:cs="Times New Roman"/>
          <w:b/>
          <w:bCs/>
          <w:sz w:val="44"/>
          <w:szCs w:val="40"/>
        </w:rPr>
      </w:pPr>
    </w:p>
    <w:p>
      <w:pPr>
        <w:ind w:right="300" w:firstLine="0" w:firstLineChars="0"/>
        <w:jc w:val="both"/>
        <w:rPr>
          <w:rFonts w:eastAsia="楷体_GB2312" w:cs="Times New Roman"/>
          <w:bCs/>
          <w:szCs w:val="32"/>
        </w:rPr>
      </w:pPr>
    </w:p>
    <w:p>
      <w:pPr>
        <w:ind w:right="300" w:firstLine="0" w:firstLineChars="0"/>
        <w:jc w:val="both"/>
        <w:rPr>
          <w:rFonts w:eastAsia="楷体_GB2312" w:cs="Times New Roman"/>
          <w:bCs/>
          <w:szCs w:val="32"/>
        </w:rPr>
      </w:pPr>
    </w:p>
    <w:p>
      <w:pPr>
        <w:ind w:right="300" w:firstLine="0" w:firstLineChars="0"/>
        <w:jc w:val="both"/>
        <w:rPr>
          <w:rFonts w:eastAsia="楷体_GB2312" w:cs="Times New Roman"/>
          <w:bCs/>
          <w:szCs w:val="32"/>
        </w:rPr>
      </w:pPr>
    </w:p>
    <w:p>
      <w:pPr>
        <w:ind w:right="300" w:firstLine="0" w:firstLineChars="0"/>
        <w:jc w:val="both"/>
        <w:rPr>
          <w:rFonts w:eastAsia="楷体_GB2312" w:cs="Times New Roman"/>
          <w:bCs/>
          <w:szCs w:val="32"/>
        </w:rPr>
      </w:pPr>
    </w:p>
    <w:p>
      <w:pPr>
        <w:ind w:right="300" w:firstLine="0" w:firstLineChars="0"/>
        <w:jc w:val="both"/>
        <w:rPr>
          <w:rFonts w:eastAsia="楷体_GB2312" w:cs="Times New Roman"/>
          <w:bCs/>
          <w:szCs w:val="32"/>
        </w:rPr>
      </w:pPr>
    </w:p>
    <w:p>
      <w:pPr>
        <w:ind w:right="300" w:firstLine="0" w:firstLineChars="0"/>
        <w:jc w:val="center"/>
        <w:rPr>
          <w:rFonts w:eastAsia="楷体" w:cs="Times New Roman"/>
          <w:bCs/>
          <w:szCs w:val="32"/>
        </w:rPr>
      </w:pPr>
      <w:r>
        <w:rPr>
          <w:rFonts w:eastAsia="楷体" w:cs="Times New Roman"/>
          <w:bCs/>
          <w:szCs w:val="32"/>
        </w:rPr>
        <w:t>闵行区商务委员会</w:t>
      </w:r>
    </w:p>
    <w:p>
      <w:pPr>
        <w:ind w:right="300" w:firstLine="0" w:firstLineChars="0"/>
        <w:jc w:val="center"/>
        <w:rPr>
          <w:rFonts w:eastAsia="楷体" w:cs="Times New Roman"/>
          <w:b/>
          <w:bCs/>
          <w:sz w:val="44"/>
          <w:szCs w:val="40"/>
        </w:rPr>
      </w:pPr>
      <w:r>
        <w:rPr>
          <w:rFonts w:eastAsia="楷体" w:cs="Times New Roman"/>
          <w:bCs/>
          <w:szCs w:val="32"/>
        </w:rPr>
        <w:t>二〇二</w:t>
      </w:r>
      <w:r>
        <w:rPr>
          <w:rFonts w:hint="default" w:eastAsia="楷体" w:cs="Times New Roman"/>
          <w:bCs/>
          <w:szCs w:val="32"/>
          <w:lang w:val="en-US" w:eastAsia="zh-CN"/>
        </w:rPr>
        <w:t>六</w:t>
      </w:r>
      <w:r>
        <w:rPr>
          <w:rFonts w:eastAsia="楷体" w:cs="Times New Roman"/>
          <w:bCs/>
          <w:szCs w:val="32"/>
        </w:rPr>
        <w:t>年</w:t>
      </w:r>
      <w:r>
        <w:rPr>
          <w:rFonts w:hint="eastAsia" w:eastAsia="楷体" w:cs="Times New Roman"/>
          <w:bCs/>
          <w:szCs w:val="32"/>
          <w:lang w:val="en-US" w:eastAsia="zh-CN"/>
        </w:rPr>
        <w:t>叁</w:t>
      </w:r>
      <w:bookmarkStart w:id="264" w:name="_GoBack"/>
      <w:bookmarkEnd w:id="264"/>
      <w:r>
        <w:rPr>
          <w:rFonts w:eastAsia="楷体" w:cs="Times New Roman"/>
          <w:bCs/>
          <w:szCs w:val="32"/>
        </w:rPr>
        <w:t>月</w:t>
      </w:r>
    </w:p>
    <w:p>
      <w:pPr>
        <w:spacing w:after="160" w:line="278" w:lineRule="auto"/>
        <w:ind w:firstLine="0" w:firstLineChars="0"/>
        <w:jc w:val="both"/>
        <w:rPr>
          <w:rFonts w:cs="Times New Roman"/>
          <w:b/>
          <w:bCs/>
        </w:rPr>
      </w:pPr>
      <w:r>
        <w:rPr>
          <w:rFonts w:cs="Times New Roman"/>
          <w:b/>
          <w:bCs/>
        </w:rPr>
        <w:br w:type="page"/>
      </w:r>
    </w:p>
    <w:p>
      <w:pPr>
        <w:pStyle w:val="62"/>
        <w:tabs>
          <w:tab w:val="left" w:pos="2880"/>
          <w:tab w:val="center" w:pos="4153"/>
        </w:tabs>
        <w:spacing w:line="560" w:lineRule="exact"/>
        <w:jc w:val="both"/>
        <w:rPr>
          <w:rFonts w:ascii="Times New Roman" w:hAnsi="Times New Roman" w:eastAsia="黑体" w:cs="Times New Roman"/>
          <w:b/>
          <w:bCs/>
          <w:color w:val="auto"/>
          <w:lang w:val="zh-CN"/>
        </w:rPr>
      </w:pPr>
      <w:r>
        <w:rPr>
          <w:rFonts w:ascii="Times New Roman" w:hAnsi="Times New Roman" w:eastAsia="黑体" w:cs="Times New Roman"/>
          <w:b/>
          <w:bCs/>
          <w:color w:val="auto"/>
          <w:lang w:val="zh-CN"/>
        </w:rPr>
        <w:tab/>
      </w:r>
      <w:r>
        <w:rPr>
          <w:rFonts w:ascii="Times New Roman" w:hAnsi="Times New Roman" w:eastAsia="黑体" w:cs="Times New Roman"/>
          <w:b/>
          <w:bCs/>
          <w:color w:val="auto"/>
          <w:lang w:val="zh-CN"/>
        </w:rPr>
        <w:tab/>
      </w:r>
      <w:r>
        <w:rPr>
          <w:rFonts w:ascii="Times New Roman" w:hAnsi="Times New Roman" w:eastAsia="黑体" w:cs="Times New Roman"/>
          <w:b/>
          <w:bCs/>
          <w:color w:val="auto"/>
          <w:lang w:val="zh-CN"/>
        </w:rPr>
        <w:t>目录</w:t>
      </w:r>
    </w:p>
    <w:p>
      <w:pPr>
        <w:pStyle w:val="16"/>
        <w:spacing w:line="520" w:lineRule="exact"/>
      </w:pPr>
    </w:p>
    <w:p>
      <w:pPr>
        <w:pStyle w:val="16"/>
        <w:tabs>
          <w:tab w:val="right" w:leader="dot" w:pos="8306"/>
          <w:tab w:val="clear" w:pos="8296"/>
        </w:tabs>
      </w:pPr>
      <w:r>
        <w:fldChar w:fldCharType="begin"/>
      </w:r>
      <w:r>
        <w:instrText xml:space="preserve"> TOC \o "1-3" \h \z \u </w:instrText>
      </w:r>
      <w:r>
        <w:fldChar w:fldCharType="separate"/>
      </w:r>
      <w:r>
        <w:rPr>
          <w:rFonts w:cs="Times New Roman"/>
        </w:rPr>
        <w:fldChar w:fldCharType="begin"/>
      </w:r>
      <w:r>
        <w:rPr>
          <w:rFonts w:cs="Times New Roman"/>
        </w:rPr>
        <w:instrText xml:space="preserve"> HYPERLINK \l _Toc8054 </w:instrText>
      </w:r>
      <w:r>
        <w:rPr>
          <w:rFonts w:cs="Times New Roman"/>
        </w:rPr>
        <w:fldChar w:fldCharType="separate"/>
      </w:r>
      <w:r>
        <w:rPr>
          <w:rFonts w:eastAsia="黑体" w:cs="Times New Roman"/>
          <w:szCs w:val="48"/>
        </w:rPr>
        <w:t>一、闵行区</w:t>
      </w:r>
      <w:r>
        <w:rPr>
          <w:rFonts w:hint="default" w:ascii="Times New Roman" w:hAnsi="Times New Roman" w:cs="Times New Roman"/>
          <w:szCs w:val="48"/>
          <w:lang w:eastAsia="zh-CN"/>
        </w:rPr>
        <w:t>“</w:t>
      </w:r>
      <w:r>
        <w:rPr>
          <w:rFonts w:eastAsia="黑体" w:cs="Times New Roman"/>
          <w:szCs w:val="48"/>
        </w:rPr>
        <w:t>十五五</w:t>
      </w:r>
      <w:r>
        <w:rPr>
          <w:rFonts w:hint="default" w:ascii="Times New Roman" w:hAnsi="Times New Roman" w:cs="Times New Roman"/>
          <w:szCs w:val="48"/>
          <w:lang w:eastAsia="zh-CN"/>
        </w:rPr>
        <w:t>”</w:t>
      </w:r>
      <w:r>
        <w:rPr>
          <w:rFonts w:eastAsia="黑体" w:cs="Times New Roman"/>
          <w:szCs w:val="48"/>
        </w:rPr>
        <w:t>服务业发展的基础与环境</w:t>
      </w:r>
      <w:r>
        <w:tab/>
      </w:r>
      <w:r>
        <w:fldChar w:fldCharType="begin"/>
      </w:r>
      <w:r>
        <w:instrText xml:space="preserve"> PAGEREF _Toc8054 \h </w:instrText>
      </w:r>
      <w:r>
        <w:fldChar w:fldCharType="separate"/>
      </w:r>
      <w:r>
        <w:t>1</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_Toc24483 </w:instrText>
      </w:r>
      <w:r>
        <w:rPr>
          <w:rFonts w:cs="Times New Roman"/>
        </w:rPr>
        <w:fldChar w:fldCharType="separate"/>
      </w:r>
      <w:r>
        <w:rPr>
          <w:rFonts w:eastAsia="楷体" w:cs="Times New Roman"/>
          <w:szCs w:val="40"/>
        </w:rPr>
        <w:t>（一）发展成效</w:t>
      </w:r>
      <w:r>
        <w:tab/>
      </w:r>
      <w:r>
        <w:fldChar w:fldCharType="begin"/>
      </w:r>
      <w:r>
        <w:instrText xml:space="preserve"> PAGEREF _Toc24483 \h </w:instrText>
      </w:r>
      <w:r>
        <w:fldChar w:fldCharType="separate"/>
      </w:r>
      <w:r>
        <w:t>1</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_Toc29213 </w:instrText>
      </w:r>
      <w:r>
        <w:rPr>
          <w:rFonts w:cs="Times New Roman"/>
        </w:rPr>
        <w:fldChar w:fldCharType="separate"/>
      </w:r>
      <w:r>
        <w:rPr>
          <w:rFonts w:eastAsia="楷体" w:cs="Times New Roman"/>
          <w:szCs w:val="40"/>
        </w:rPr>
        <w:t>（二）存在问题</w:t>
      </w:r>
      <w:r>
        <w:tab/>
      </w:r>
      <w:r>
        <w:fldChar w:fldCharType="begin"/>
      </w:r>
      <w:r>
        <w:instrText xml:space="preserve"> PAGEREF _Toc29213 \h </w:instrText>
      </w:r>
      <w:r>
        <w:fldChar w:fldCharType="separate"/>
      </w:r>
      <w:r>
        <w:t>4</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_Toc15942 </w:instrText>
      </w:r>
      <w:r>
        <w:rPr>
          <w:rFonts w:cs="Times New Roman"/>
        </w:rPr>
        <w:fldChar w:fldCharType="separate"/>
      </w:r>
      <w:r>
        <w:rPr>
          <w:rFonts w:cs="Times New Roman"/>
        </w:rPr>
        <w:t>（三）环境趋势</w:t>
      </w:r>
      <w:r>
        <w:tab/>
      </w:r>
      <w:r>
        <w:fldChar w:fldCharType="begin"/>
      </w:r>
      <w:r>
        <w:instrText xml:space="preserve"> PAGEREF _Toc15942 \h </w:instrText>
      </w:r>
      <w:r>
        <w:fldChar w:fldCharType="separate"/>
      </w:r>
      <w:r>
        <w:t>6</w:t>
      </w:r>
      <w:r>
        <w:fldChar w:fldCharType="end"/>
      </w:r>
      <w:r>
        <w:rPr>
          <w:rFonts w:cs="Times New Roman"/>
        </w:rPr>
        <w:fldChar w:fldCharType="end"/>
      </w:r>
    </w:p>
    <w:p>
      <w:pPr>
        <w:pStyle w:val="16"/>
        <w:tabs>
          <w:tab w:val="right" w:leader="dot" w:pos="8306"/>
          <w:tab w:val="clear" w:pos="8296"/>
        </w:tabs>
      </w:pPr>
      <w:r>
        <w:rPr>
          <w:rFonts w:cs="Times New Roman"/>
        </w:rPr>
        <w:fldChar w:fldCharType="begin"/>
      </w:r>
      <w:r>
        <w:rPr>
          <w:rFonts w:cs="Times New Roman"/>
        </w:rPr>
        <w:instrText xml:space="preserve"> HYPERLINK \l _Toc15432 </w:instrText>
      </w:r>
      <w:r>
        <w:rPr>
          <w:rFonts w:cs="Times New Roman"/>
        </w:rPr>
        <w:fldChar w:fldCharType="separate"/>
      </w:r>
      <w:r>
        <w:rPr>
          <w:rFonts w:cs="Times New Roman"/>
        </w:rPr>
        <w:t>二、闵行区</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服务业发展的总体思路</w:t>
      </w:r>
      <w:r>
        <w:tab/>
      </w:r>
      <w:r>
        <w:fldChar w:fldCharType="begin"/>
      </w:r>
      <w:r>
        <w:instrText xml:space="preserve"> PAGEREF _Toc15432 \h </w:instrText>
      </w:r>
      <w:r>
        <w:fldChar w:fldCharType="separate"/>
      </w:r>
      <w:r>
        <w:t>7</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_Toc14740 </w:instrText>
      </w:r>
      <w:r>
        <w:rPr>
          <w:rFonts w:cs="Times New Roman"/>
        </w:rPr>
        <w:fldChar w:fldCharType="separate"/>
      </w:r>
      <w:r>
        <w:rPr>
          <w:rFonts w:cs="Times New Roman"/>
        </w:rPr>
        <w:t>（一）指导思想</w:t>
      </w:r>
      <w:r>
        <w:tab/>
      </w:r>
      <w:r>
        <w:fldChar w:fldCharType="begin"/>
      </w:r>
      <w:r>
        <w:instrText xml:space="preserve"> PAGEREF _Toc14740 \h </w:instrText>
      </w:r>
      <w:r>
        <w:fldChar w:fldCharType="separate"/>
      </w:r>
      <w:r>
        <w:t>7</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_Toc28226 </w:instrText>
      </w:r>
      <w:r>
        <w:rPr>
          <w:rFonts w:cs="Times New Roman"/>
        </w:rPr>
        <w:fldChar w:fldCharType="separate"/>
      </w:r>
      <w:r>
        <w:rPr>
          <w:rFonts w:cs="Times New Roman"/>
        </w:rPr>
        <w:t>（二）发展</w:t>
      </w:r>
      <w:r>
        <w:rPr>
          <w:rFonts w:hint="default" w:cs="Times New Roman"/>
          <w:lang w:val="en-US" w:eastAsia="zh-CN"/>
        </w:rPr>
        <w:t>思路</w:t>
      </w:r>
      <w:r>
        <w:tab/>
      </w:r>
      <w:r>
        <w:fldChar w:fldCharType="begin"/>
      </w:r>
      <w:r>
        <w:instrText xml:space="preserve"> PAGEREF _Toc28226 \h </w:instrText>
      </w:r>
      <w:r>
        <w:fldChar w:fldCharType="separate"/>
      </w:r>
      <w:r>
        <w:t>7</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_Toc6069 </w:instrText>
      </w:r>
      <w:r>
        <w:rPr>
          <w:rFonts w:cs="Times New Roman"/>
        </w:rPr>
        <w:fldChar w:fldCharType="separate"/>
      </w:r>
      <w:r>
        <w:rPr>
          <w:rFonts w:cs="Times New Roman"/>
        </w:rPr>
        <w:t>（三）发展目标</w:t>
      </w:r>
      <w:r>
        <w:tab/>
      </w:r>
      <w:r>
        <w:fldChar w:fldCharType="begin"/>
      </w:r>
      <w:r>
        <w:instrText xml:space="preserve"> PAGEREF _Toc6069 \h </w:instrText>
      </w:r>
      <w:r>
        <w:fldChar w:fldCharType="separate"/>
      </w:r>
      <w:r>
        <w:t>8</w:t>
      </w:r>
      <w:r>
        <w:fldChar w:fldCharType="end"/>
      </w:r>
      <w:r>
        <w:rPr>
          <w:rFonts w:cs="Times New Roman"/>
        </w:rPr>
        <w:fldChar w:fldCharType="end"/>
      </w:r>
    </w:p>
    <w:p>
      <w:pPr>
        <w:pStyle w:val="16"/>
        <w:tabs>
          <w:tab w:val="right" w:leader="dot" w:pos="8306"/>
          <w:tab w:val="clear" w:pos="8296"/>
        </w:tabs>
      </w:pPr>
      <w:r>
        <w:rPr>
          <w:rFonts w:cs="Times New Roman"/>
        </w:rPr>
        <w:fldChar w:fldCharType="begin"/>
      </w:r>
      <w:r>
        <w:rPr>
          <w:rFonts w:cs="Times New Roman"/>
        </w:rPr>
        <w:instrText xml:space="preserve"> HYPERLINK \l _Toc7514 </w:instrText>
      </w:r>
      <w:r>
        <w:rPr>
          <w:rFonts w:cs="Times New Roman"/>
        </w:rPr>
        <w:fldChar w:fldCharType="separate"/>
      </w:r>
      <w:r>
        <w:rPr>
          <w:rFonts w:cs="Times New Roman"/>
        </w:rPr>
        <w:t>三、闵行区</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服务业发展的重点任务</w:t>
      </w:r>
      <w:r>
        <w:tab/>
      </w:r>
      <w:r>
        <w:fldChar w:fldCharType="begin"/>
      </w:r>
      <w:r>
        <w:instrText xml:space="preserve"> PAGEREF _Toc7514 \h </w:instrText>
      </w:r>
      <w:r>
        <w:fldChar w:fldCharType="separate"/>
      </w:r>
      <w:r>
        <w:t>9</w:t>
      </w:r>
      <w:r>
        <w:fldChar w:fldCharType="end"/>
      </w:r>
      <w:r>
        <w:rPr>
          <w:rFonts w:cs="Times New Roman"/>
        </w:rPr>
        <w:fldChar w:fldCharType="end"/>
      </w:r>
    </w:p>
    <w:p>
      <w:pPr>
        <w:pStyle w:val="19"/>
        <w:tabs>
          <w:tab w:val="right" w:leader="dot" w:pos="8306"/>
          <w:tab w:val="clear" w:pos="8296"/>
        </w:tabs>
        <w:ind w:firstLine="320" w:firstLineChars="10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_Toc15647 </w:instrText>
      </w:r>
      <w:r>
        <w:rPr>
          <w:rFonts w:ascii="Times New Roman" w:hAnsi="Times New Roman" w:cs="Times New Roman"/>
        </w:rPr>
        <w:fldChar w:fldCharType="separate"/>
      </w:r>
      <w:r>
        <w:rPr>
          <w:rFonts w:ascii="Times New Roman" w:hAnsi="Times New Roman" w:cs="Times New Roman"/>
        </w:rPr>
        <w:t>（一）构建</w:t>
      </w:r>
      <w:r>
        <w:rPr>
          <w:rFonts w:hint="default" w:ascii="Times New Roman" w:hAnsi="Times New Roman" w:cs="Times New Roman"/>
          <w:lang w:eastAsia="zh-CN"/>
        </w:rPr>
        <w:t>“</w:t>
      </w:r>
      <w:r>
        <w:rPr>
          <w:rFonts w:hint="default" w:ascii="Times New Roman" w:hAnsi="Times New Roman" w:cs="Times New Roman"/>
          <w:lang w:val="en-US" w:eastAsia="zh-CN"/>
        </w:rPr>
        <w:t>3</w:t>
      </w:r>
      <w:r>
        <w:rPr>
          <w:rFonts w:ascii="Times New Roman" w:hAnsi="Times New Roman" w:cs="Times New Roman"/>
        </w:rPr>
        <w:t>+4</w:t>
      </w:r>
      <w:r>
        <w:rPr>
          <w:rFonts w:hint="default" w:ascii="Times New Roman" w:hAnsi="Times New Roman" w:cs="Times New Roman"/>
          <w:lang w:eastAsia="zh-CN"/>
        </w:rPr>
        <w:t>”</w:t>
      </w:r>
      <w:r>
        <w:rPr>
          <w:rFonts w:ascii="Times New Roman" w:hAnsi="Times New Roman" w:cs="Times New Roman"/>
        </w:rPr>
        <w:t>现代服务业体系，</w:t>
      </w:r>
      <w:r>
        <w:rPr>
          <w:rFonts w:hint="default" w:ascii="Times New Roman" w:hAnsi="Times New Roman" w:cs="Times New Roman"/>
          <w:lang w:val="en-US" w:eastAsia="zh-CN"/>
        </w:rPr>
        <w:t>优势</w:t>
      </w:r>
      <w:r>
        <w:rPr>
          <w:rFonts w:ascii="Times New Roman" w:hAnsi="Times New Roman" w:cs="Times New Roman"/>
        </w:rPr>
        <w:t>特色</w:t>
      </w:r>
      <w:r>
        <w:rPr>
          <w:rFonts w:hint="default" w:ascii="Times New Roman" w:hAnsi="Times New Roman" w:cs="Times New Roman"/>
          <w:lang w:val="en-US" w:eastAsia="zh-CN"/>
        </w:rPr>
        <w:t>实现新进展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_Toc15647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_Toc26527 </w:instrText>
      </w:r>
      <w:r>
        <w:rPr>
          <w:rFonts w:ascii="Times New Roman" w:hAnsi="Times New Roman" w:cs="Times New Roman"/>
        </w:rPr>
        <w:fldChar w:fldCharType="separate"/>
      </w:r>
      <w:r>
        <w:rPr>
          <w:rFonts w:ascii="Times New Roman" w:hAnsi="Times New Roman" w:cs="Times New Roman"/>
        </w:rPr>
        <w:t>1、夯实高端商贸服务集聚优势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_Toc26527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_Toc14056 </w:instrText>
      </w:r>
      <w:r>
        <w:rPr>
          <w:rFonts w:ascii="Times New Roman" w:hAnsi="Times New Roman" w:cs="Times New Roman"/>
        </w:rPr>
        <w:fldChar w:fldCharType="separate"/>
      </w:r>
      <w:r>
        <w:rPr>
          <w:rFonts w:hint="default" w:ascii="Times New Roman" w:hAnsi="Times New Roman" w:cs="Times New Roman"/>
          <w:lang w:val="en-US" w:eastAsia="zh-CN"/>
        </w:rPr>
        <w:t>2</w:t>
      </w:r>
      <w:r>
        <w:rPr>
          <w:rFonts w:ascii="Times New Roman" w:hAnsi="Times New Roman" w:cs="Times New Roman"/>
        </w:rPr>
        <w:t>、强化新型制造服务功能支撑</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_Toc14056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_Toc22563 </w:instrText>
      </w:r>
      <w:r>
        <w:rPr>
          <w:rFonts w:ascii="Times New Roman" w:hAnsi="Times New Roman" w:cs="Times New Roman"/>
        </w:rPr>
        <w:fldChar w:fldCharType="separate"/>
      </w:r>
      <w:r>
        <w:rPr>
          <w:rFonts w:hint="default" w:ascii="Times New Roman" w:hAnsi="Times New Roman" w:cs="Times New Roman"/>
          <w:lang w:val="en-US" w:eastAsia="zh-CN"/>
        </w:rPr>
        <w:t>3</w:t>
      </w:r>
      <w:r>
        <w:rPr>
          <w:rFonts w:ascii="Times New Roman" w:hAnsi="Times New Roman" w:cs="Times New Roman"/>
        </w:rPr>
        <w:t>、激活</w:t>
      </w:r>
      <w:r>
        <w:rPr>
          <w:rFonts w:hint="default" w:ascii="Times New Roman" w:hAnsi="Times New Roman" w:cs="Times New Roman"/>
          <w:lang w:val="en-US" w:eastAsia="zh-CN"/>
        </w:rPr>
        <w:t>数字创意</w:t>
      </w:r>
      <w:r>
        <w:rPr>
          <w:rFonts w:ascii="Times New Roman" w:hAnsi="Times New Roman" w:cs="Times New Roman"/>
        </w:rPr>
        <w:t>服务新兴动能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_Toc22563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_Toc5340 </w:instrText>
      </w:r>
      <w:r>
        <w:rPr>
          <w:rFonts w:ascii="Times New Roman" w:hAnsi="Times New Roman" w:cs="Times New Roman"/>
        </w:rPr>
        <w:fldChar w:fldCharType="separate"/>
      </w:r>
      <w:r>
        <w:rPr>
          <w:rFonts w:hint="default" w:ascii="Times New Roman" w:hAnsi="Times New Roman" w:cs="Times New Roman"/>
          <w:lang w:val="en-US" w:eastAsia="zh-CN"/>
        </w:rPr>
        <w:t>4</w:t>
      </w:r>
      <w:r>
        <w:rPr>
          <w:rFonts w:ascii="Times New Roman" w:hAnsi="Times New Roman" w:cs="Times New Roman"/>
        </w:rPr>
        <w:t>、推动人力资源服务提质升级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_Toc5340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_Toc21606 </w:instrText>
      </w:r>
      <w:r>
        <w:rPr>
          <w:rFonts w:ascii="Times New Roman" w:hAnsi="Times New Roman" w:cs="Times New Roman"/>
        </w:rPr>
        <w:fldChar w:fldCharType="separate"/>
      </w:r>
      <w:r>
        <w:rPr>
          <w:rFonts w:hint="default" w:ascii="Times New Roman" w:hAnsi="Times New Roman" w:cs="Times New Roman"/>
          <w:lang w:val="en-US" w:eastAsia="zh-CN"/>
        </w:rPr>
        <w:t>5</w:t>
      </w:r>
      <w:r>
        <w:rPr>
          <w:rFonts w:ascii="Times New Roman" w:hAnsi="Times New Roman" w:cs="Times New Roman"/>
        </w:rPr>
        <w:t>、优化</w:t>
      </w:r>
      <w:r>
        <w:rPr>
          <w:rFonts w:hint="default" w:ascii="Times New Roman" w:hAnsi="Times New Roman" w:cs="Times New Roman"/>
          <w:lang w:eastAsia="zh-CN"/>
        </w:rPr>
        <w:t>专业法律服务</w:t>
      </w:r>
      <w:r>
        <w:rPr>
          <w:rFonts w:ascii="Times New Roman" w:hAnsi="Times New Roman" w:cs="Times New Roman"/>
        </w:rPr>
        <w:t>专业效能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_Toc21606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_Toc28632 </w:instrText>
      </w:r>
      <w:r>
        <w:rPr>
          <w:rFonts w:ascii="Times New Roman" w:hAnsi="Times New Roman" w:cs="Times New Roman"/>
        </w:rPr>
        <w:fldChar w:fldCharType="separate"/>
      </w:r>
      <w:r>
        <w:rPr>
          <w:rFonts w:hint="default" w:ascii="Times New Roman" w:hAnsi="Times New Roman" w:cs="Times New Roman"/>
          <w:lang w:val="en-US" w:eastAsia="zh-CN"/>
        </w:rPr>
        <w:t>6</w:t>
      </w:r>
      <w:r>
        <w:rPr>
          <w:rFonts w:ascii="Times New Roman" w:hAnsi="Times New Roman" w:cs="Times New Roman"/>
        </w:rPr>
        <w:t>、提升</w:t>
      </w:r>
      <w:r>
        <w:rPr>
          <w:rFonts w:hint="default" w:ascii="Times New Roman" w:hAnsi="Times New Roman" w:cs="Times New Roman"/>
          <w:lang w:eastAsia="zh-CN"/>
        </w:rPr>
        <w:t>金融财税</w:t>
      </w:r>
      <w:r>
        <w:rPr>
          <w:rFonts w:ascii="Times New Roman" w:hAnsi="Times New Roman" w:cs="Times New Roman"/>
        </w:rPr>
        <w:t>服务质量效益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_Toc28632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_Toc7615 </w:instrText>
      </w:r>
      <w:r>
        <w:rPr>
          <w:rFonts w:ascii="Times New Roman" w:hAnsi="Times New Roman" w:cs="Times New Roman"/>
        </w:rPr>
        <w:fldChar w:fldCharType="separate"/>
      </w:r>
      <w:r>
        <w:rPr>
          <w:rFonts w:hint="default" w:ascii="Times New Roman" w:hAnsi="Times New Roman" w:cs="Times New Roman"/>
          <w:lang w:val="en-US" w:eastAsia="zh-CN"/>
        </w:rPr>
        <w:t>7</w:t>
      </w:r>
      <w:r>
        <w:rPr>
          <w:rFonts w:ascii="Times New Roman" w:hAnsi="Times New Roman" w:cs="Times New Roman"/>
        </w:rPr>
        <w:t>、鼓励医疗健康服务创新发展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_Toc7615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 w:val="clear" w:pos="8296"/>
        </w:tabs>
        <w:ind w:firstLine="320" w:firstLineChars="10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_Toc10242 </w:instrText>
      </w:r>
      <w:r>
        <w:rPr>
          <w:rFonts w:ascii="Times New Roman" w:hAnsi="Times New Roman" w:cs="Times New Roman"/>
        </w:rPr>
        <w:fldChar w:fldCharType="separate"/>
      </w:r>
      <w:r>
        <w:rPr>
          <w:rFonts w:ascii="Times New Roman" w:hAnsi="Times New Roman" w:cs="Times New Roman"/>
        </w:rPr>
        <w:t>（二）壮大五类新型经济形态，能级效益取得新突破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_Toc10242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_Toc20289 </w:instrText>
      </w:r>
      <w:r>
        <w:rPr>
          <w:rFonts w:ascii="Times New Roman" w:hAnsi="Times New Roman" w:cs="Times New Roman"/>
        </w:rPr>
        <w:fldChar w:fldCharType="separate"/>
      </w:r>
      <w:r>
        <w:rPr>
          <w:rFonts w:ascii="Times New Roman" w:hAnsi="Times New Roman" w:cs="Times New Roman"/>
        </w:rPr>
        <w:t>1、总部经济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_Toc20289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_Toc16795 </w:instrText>
      </w:r>
      <w:r>
        <w:rPr>
          <w:rFonts w:ascii="Times New Roman" w:hAnsi="Times New Roman" w:cs="Times New Roman"/>
        </w:rPr>
        <w:fldChar w:fldCharType="separate"/>
      </w:r>
      <w:r>
        <w:rPr>
          <w:rFonts w:hint="default" w:ascii="Times New Roman" w:hAnsi="Times New Roman" w:cs="Times New Roman"/>
        </w:rPr>
        <w:t>2</w:t>
      </w:r>
      <w:r>
        <w:rPr>
          <w:rFonts w:ascii="Times New Roman" w:hAnsi="Times New Roman" w:cs="Times New Roman"/>
        </w:rPr>
        <w:t>、平台经济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_Toc16795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_Toc17340 </w:instrText>
      </w:r>
      <w:r>
        <w:rPr>
          <w:rFonts w:ascii="Times New Roman" w:hAnsi="Times New Roman" w:cs="Times New Roman"/>
        </w:rPr>
        <w:fldChar w:fldCharType="separate"/>
      </w:r>
      <w:r>
        <w:rPr>
          <w:rFonts w:hint="default" w:ascii="Times New Roman" w:hAnsi="Times New Roman" w:cs="Times New Roman"/>
        </w:rPr>
        <w:t>3</w:t>
      </w:r>
      <w:r>
        <w:rPr>
          <w:rFonts w:ascii="Times New Roman" w:hAnsi="Times New Roman" w:cs="Times New Roman"/>
        </w:rPr>
        <w:t>、开放经济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_Toc17340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_Toc15741 </w:instrText>
      </w:r>
      <w:r>
        <w:rPr>
          <w:rFonts w:ascii="Times New Roman" w:hAnsi="Times New Roman" w:cs="Times New Roman"/>
        </w:rPr>
        <w:fldChar w:fldCharType="separate"/>
      </w:r>
      <w:r>
        <w:rPr>
          <w:rFonts w:hint="default" w:ascii="Times New Roman" w:hAnsi="Times New Roman" w:cs="Times New Roman"/>
        </w:rPr>
        <w:t>4</w:t>
      </w:r>
      <w:r>
        <w:rPr>
          <w:rFonts w:ascii="Times New Roman" w:hAnsi="Times New Roman" w:cs="Times New Roman"/>
        </w:rPr>
        <w:t>、数字经济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_Toc15741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0" w:leftChars="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_Toc27841 </w:instrText>
      </w:r>
      <w:r>
        <w:rPr>
          <w:rFonts w:ascii="Times New Roman" w:hAnsi="Times New Roman" w:cs="Times New Roman"/>
        </w:rPr>
        <w:fldChar w:fldCharType="separate"/>
      </w:r>
      <w:r>
        <w:rPr>
          <w:rFonts w:ascii="Times New Roman" w:hAnsi="Times New Roman" w:cs="Times New Roman"/>
        </w:rPr>
        <w:t>5、龙头经济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_Toc27841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 w:val="clear" w:pos="8296"/>
        </w:tabs>
        <w:ind w:firstLine="320" w:firstLineChars="10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_Toc29324 </w:instrText>
      </w:r>
      <w:r>
        <w:rPr>
          <w:rFonts w:ascii="Times New Roman" w:hAnsi="Times New Roman" w:cs="Times New Roman"/>
        </w:rPr>
        <w:fldChar w:fldCharType="separate"/>
      </w:r>
      <w:r>
        <w:rPr>
          <w:rFonts w:ascii="Times New Roman" w:hAnsi="Times New Roman" w:cs="Times New Roman"/>
        </w:rPr>
        <w:t>（三）构建全域赋能格局，</w:t>
      </w:r>
      <w:r>
        <w:rPr>
          <w:rFonts w:hint="default" w:ascii="Times New Roman" w:hAnsi="Times New Roman" w:cs="Times New Roman"/>
          <w:lang w:val="en-US" w:eastAsia="zh-CN"/>
        </w:rPr>
        <w:t>集群聚势呈现</w:t>
      </w:r>
      <w:r>
        <w:rPr>
          <w:rFonts w:ascii="Times New Roman" w:hAnsi="Times New Roman" w:cs="Times New Roman"/>
        </w:rPr>
        <w:t>新</w:t>
      </w:r>
      <w:r>
        <w:rPr>
          <w:rFonts w:hint="default" w:ascii="Times New Roman" w:hAnsi="Times New Roman" w:cs="Times New Roman"/>
          <w:lang w:val="en-US" w:eastAsia="zh-CN"/>
        </w:rPr>
        <w:t>局面</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_Toc29324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320" w:leftChars="100" w:firstLine="320" w:firstLineChars="10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_Toc10968 </w:instrText>
      </w:r>
      <w:r>
        <w:rPr>
          <w:rFonts w:ascii="Times New Roman" w:hAnsi="Times New Roman" w:cs="Times New Roman"/>
        </w:rPr>
        <w:fldChar w:fldCharType="separate"/>
      </w:r>
      <w:r>
        <w:rPr>
          <w:rFonts w:ascii="Times New Roman" w:hAnsi="Times New Roman" w:cs="Times New Roman"/>
        </w:rPr>
        <w:t>1、</w:t>
      </w:r>
      <w:r>
        <w:rPr>
          <w:rFonts w:hint="default" w:ascii="Times New Roman" w:hAnsi="Times New Roman" w:cs="Times New Roman"/>
          <w:lang w:val="en-US" w:eastAsia="zh-CN"/>
        </w:rPr>
        <w:t>一核引领：</w:t>
      </w:r>
      <w:r>
        <w:rPr>
          <w:rFonts w:ascii="Times New Roman" w:hAnsi="Times New Roman" w:cs="Times New Roman"/>
        </w:rPr>
        <w:t>虹桥</w:t>
      </w:r>
      <w:r>
        <w:rPr>
          <w:rFonts w:hint="default" w:ascii="Times New Roman" w:hAnsi="Times New Roman" w:cs="Times New Roman"/>
          <w:lang w:val="en-US" w:eastAsia="zh-CN"/>
        </w:rPr>
        <w:t>国际中央商务区（闵行部分）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_Toc10968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320" w:leftChars="100" w:firstLine="320" w:firstLineChars="10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_Toc22428 </w:instrText>
      </w:r>
      <w:r>
        <w:rPr>
          <w:rFonts w:ascii="Times New Roman" w:hAnsi="Times New Roman" w:cs="Times New Roman"/>
        </w:rPr>
        <w:fldChar w:fldCharType="separate"/>
      </w:r>
      <w:r>
        <w:rPr>
          <w:rFonts w:ascii="Times New Roman" w:hAnsi="Times New Roman" w:cs="Times New Roman"/>
        </w:rPr>
        <w:t>2、</w:t>
      </w:r>
      <w:r>
        <w:rPr>
          <w:rFonts w:hint="default" w:ascii="Times New Roman" w:hAnsi="Times New Roman" w:cs="Times New Roman"/>
          <w:lang w:val="en-US" w:eastAsia="zh-CN"/>
        </w:rPr>
        <w:t>一区带动：</w:t>
      </w:r>
      <w:r>
        <w:rPr>
          <w:rFonts w:hint="default" w:ascii="Times New Roman" w:hAnsi="Times New Roman" w:eastAsia="仿宋_GB2312" w:cs="Times New Roman"/>
          <w:lang w:val="en-US" w:eastAsia="zh-CN"/>
        </w:rPr>
        <w:t>大零号湾科技创新策源功能区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_Toc22428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306"/>
        </w:tabs>
        <w:ind w:left="320" w:leftChars="100" w:firstLine="320" w:firstLineChars="10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_Toc30789 </w:instrText>
      </w:r>
      <w:r>
        <w:rPr>
          <w:rFonts w:ascii="Times New Roman" w:hAnsi="Times New Roman" w:cs="Times New Roman"/>
        </w:rPr>
        <w:fldChar w:fldCharType="separate"/>
      </w:r>
      <w:r>
        <w:rPr>
          <w:rFonts w:hint="default" w:ascii="Times New Roman" w:hAnsi="Times New Roman" w:cs="Times New Roman"/>
          <w:lang w:val="en-US" w:eastAsia="zh-CN"/>
        </w:rPr>
        <w:t>3、</w:t>
      </w:r>
      <w:r>
        <w:rPr>
          <w:rFonts w:ascii="Times New Roman" w:hAnsi="Times New Roman" w:cs="Times New Roman"/>
        </w:rPr>
        <w:t>多点支撑</w:t>
      </w:r>
      <w:r>
        <w:rPr>
          <w:rFonts w:hint="default" w:ascii="Times New Roman" w:hAnsi="Times New Roman" w:cs="Times New Roman"/>
          <w:lang w:eastAsia="zh-CN"/>
        </w:rPr>
        <w:t>：</w:t>
      </w:r>
      <w:r>
        <w:rPr>
          <w:rFonts w:hint="default" w:ascii="Times New Roman" w:hAnsi="Times New Roman" w:cs="Times New Roman"/>
          <w:lang w:val="en-US" w:eastAsia="zh-CN"/>
        </w:rPr>
        <w:t>培育构建各具特色的服务业集群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_Toc30789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306"/>
          <w:tab w:val="clear" w:pos="8296"/>
        </w:tabs>
      </w:pPr>
      <w:r>
        <w:rPr>
          <w:rFonts w:ascii="Times New Roman" w:hAnsi="Times New Roman" w:cs="Times New Roman"/>
        </w:rPr>
        <w:fldChar w:fldCharType="begin"/>
      </w:r>
      <w:r>
        <w:rPr>
          <w:rFonts w:ascii="Times New Roman" w:hAnsi="Times New Roman" w:cs="Times New Roman"/>
        </w:rPr>
        <w:instrText xml:space="preserve"> HYPERLINK \l _Toc27037 </w:instrText>
      </w:r>
      <w:r>
        <w:rPr>
          <w:rFonts w:ascii="Times New Roman" w:hAnsi="Times New Roman" w:cs="Times New Roman"/>
        </w:rPr>
        <w:fldChar w:fldCharType="separate"/>
      </w:r>
      <w:r>
        <w:rPr>
          <w:rFonts w:ascii="Times New Roman" w:hAnsi="Times New Roman" w:cs="Times New Roman"/>
        </w:rPr>
        <w:t>四、闵行区</w:t>
      </w:r>
      <w:r>
        <w:rPr>
          <w:rFonts w:hint="default" w:ascii="Times New Roman" w:hAnsi="Times New Roman" w:cs="Times New Roman"/>
          <w:lang w:eastAsia="zh-CN"/>
        </w:rPr>
        <w:t>“</w:t>
      </w:r>
      <w:r>
        <w:rPr>
          <w:rFonts w:ascii="Times New Roman" w:hAnsi="Times New Roman" w:cs="Times New Roman"/>
        </w:rPr>
        <w:t>十五五</w:t>
      </w:r>
      <w:r>
        <w:rPr>
          <w:rFonts w:hint="default" w:ascii="Times New Roman" w:hAnsi="Times New Roman" w:cs="Times New Roman"/>
          <w:lang w:eastAsia="zh-CN"/>
        </w:rPr>
        <w:t>”</w:t>
      </w:r>
      <w:r>
        <w:rPr>
          <w:rFonts w:ascii="Times New Roman" w:hAnsi="Times New Roman" w:cs="Times New Roman"/>
        </w:rPr>
        <w:t>服务业发展的保障措施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_Toc27037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_Toc780 </w:instrText>
      </w:r>
      <w:r>
        <w:rPr>
          <w:rFonts w:cs="Times New Roman"/>
        </w:rPr>
        <w:fldChar w:fldCharType="separate"/>
      </w:r>
      <w:r>
        <w:rPr>
          <w:rFonts w:cs="Times New Roman"/>
        </w:rPr>
        <w:t>（一）健全产业发展跨部门协调机制</w:t>
      </w:r>
      <w:r>
        <w:tab/>
      </w:r>
      <w:r>
        <w:fldChar w:fldCharType="begin"/>
      </w:r>
      <w:r>
        <w:instrText xml:space="preserve"> PAGEREF _Toc780 \h </w:instrText>
      </w:r>
      <w:r>
        <w:fldChar w:fldCharType="separate"/>
      </w:r>
      <w:r>
        <w:t>28</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_Toc30730 </w:instrText>
      </w:r>
      <w:r>
        <w:rPr>
          <w:rFonts w:cs="Times New Roman"/>
        </w:rPr>
        <w:fldChar w:fldCharType="separate"/>
      </w:r>
      <w:r>
        <w:rPr>
          <w:rFonts w:cs="Times New Roman"/>
        </w:rPr>
        <w:t>（二）夯实服务业发展人才基础</w:t>
      </w:r>
      <w:r>
        <w:tab/>
      </w:r>
      <w:r>
        <w:fldChar w:fldCharType="begin"/>
      </w:r>
      <w:r>
        <w:instrText xml:space="preserve"> PAGEREF _Toc30730 \h </w:instrText>
      </w:r>
      <w:r>
        <w:fldChar w:fldCharType="separate"/>
      </w:r>
      <w:r>
        <w:t>28</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_Toc30750 </w:instrText>
      </w:r>
      <w:r>
        <w:rPr>
          <w:rFonts w:cs="Times New Roman"/>
        </w:rPr>
        <w:fldChar w:fldCharType="separate"/>
      </w:r>
      <w:r>
        <w:rPr>
          <w:rFonts w:cs="Times New Roman"/>
        </w:rPr>
        <w:t>（三）强化资金资源保障能力</w:t>
      </w:r>
      <w:r>
        <w:tab/>
      </w:r>
      <w:r>
        <w:fldChar w:fldCharType="begin"/>
      </w:r>
      <w:r>
        <w:instrText xml:space="preserve"> PAGEREF _Toc30750 \h </w:instrText>
      </w:r>
      <w:r>
        <w:fldChar w:fldCharType="separate"/>
      </w:r>
      <w:r>
        <w:t>28</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_Toc12782 </w:instrText>
      </w:r>
      <w:r>
        <w:rPr>
          <w:rFonts w:cs="Times New Roman"/>
        </w:rPr>
        <w:fldChar w:fldCharType="separate"/>
      </w:r>
      <w:r>
        <w:rPr>
          <w:rFonts w:cs="Times New Roman"/>
        </w:rPr>
        <w:t>（四）</w:t>
      </w:r>
      <w:r>
        <w:rPr>
          <w:rFonts w:hint="default" w:cs="Times New Roman"/>
          <w:lang w:val="en-US" w:eastAsia="zh-CN"/>
        </w:rPr>
        <w:t>促进商务载体资源更新升级</w:t>
      </w:r>
      <w:r>
        <w:tab/>
      </w:r>
      <w:r>
        <w:fldChar w:fldCharType="begin"/>
      </w:r>
      <w:r>
        <w:instrText xml:space="preserve"> PAGEREF _Toc12782 \h </w:instrText>
      </w:r>
      <w:r>
        <w:fldChar w:fldCharType="separate"/>
      </w:r>
      <w:r>
        <w:t>29</w:t>
      </w:r>
      <w:r>
        <w:fldChar w:fldCharType="end"/>
      </w:r>
      <w:r>
        <w:rPr>
          <w:rFonts w:cs="Times New Roman"/>
        </w:rPr>
        <w:fldChar w:fldCharType="end"/>
      </w:r>
    </w:p>
    <w:p>
      <w:pPr>
        <w:pStyle w:val="19"/>
        <w:tabs>
          <w:tab w:val="right" w:leader="dot" w:pos="8306"/>
          <w:tab w:val="clear" w:pos="8296"/>
        </w:tabs>
        <w:ind w:firstLine="320" w:firstLineChars="100"/>
      </w:pPr>
      <w:r>
        <w:rPr>
          <w:rFonts w:cs="Times New Roman"/>
        </w:rPr>
        <w:fldChar w:fldCharType="begin"/>
      </w:r>
      <w:r>
        <w:rPr>
          <w:rFonts w:cs="Times New Roman"/>
        </w:rPr>
        <w:instrText xml:space="preserve"> HYPERLINK \l _Toc4298 </w:instrText>
      </w:r>
      <w:r>
        <w:rPr>
          <w:rFonts w:cs="Times New Roman"/>
        </w:rPr>
        <w:fldChar w:fldCharType="separate"/>
      </w:r>
      <w:r>
        <w:rPr>
          <w:rFonts w:cs="Times New Roman"/>
        </w:rPr>
        <w:t>（五）完善统计监测</w:t>
      </w:r>
      <w:r>
        <w:rPr>
          <w:rFonts w:hint="default" w:cs="Times New Roman"/>
          <w:lang w:val="en-US" w:eastAsia="zh-CN"/>
        </w:rPr>
        <w:t>与组织实施机制</w:t>
      </w:r>
      <w:r>
        <w:tab/>
      </w:r>
      <w:r>
        <w:fldChar w:fldCharType="begin"/>
      </w:r>
      <w:r>
        <w:instrText xml:space="preserve"> PAGEREF _Toc4298 \h </w:instrText>
      </w:r>
      <w:r>
        <w:fldChar w:fldCharType="separate"/>
      </w:r>
      <w:r>
        <w:t>29</w:t>
      </w:r>
      <w:r>
        <w:fldChar w:fldCharType="end"/>
      </w:r>
      <w:r>
        <w:rPr>
          <w:rFonts w:cs="Times New Roman"/>
        </w:rPr>
        <w:fldChar w:fldCharType="end"/>
      </w:r>
    </w:p>
    <w:p>
      <w:pPr>
        <w:pStyle w:val="16"/>
        <w:tabs>
          <w:tab w:val="right" w:leader="dot" w:pos="8306"/>
          <w:tab w:val="clear" w:pos="8296"/>
        </w:tabs>
      </w:pPr>
      <w:r>
        <w:rPr>
          <w:rFonts w:cs="Times New Roman"/>
        </w:rPr>
        <w:fldChar w:fldCharType="begin"/>
      </w:r>
      <w:r>
        <w:rPr>
          <w:rFonts w:cs="Times New Roman"/>
        </w:rPr>
        <w:instrText xml:space="preserve"> HYPERLINK \l _Toc24575 </w:instrText>
      </w:r>
      <w:r>
        <w:rPr>
          <w:rFonts w:cs="Times New Roman"/>
        </w:rPr>
        <w:fldChar w:fldCharType="separate"/>
      </w:r>
      <w:r>
        <w:rPr>
          <w:rFonts w:cs="Times New Roman"/>
        </w:rPr>
        <w:t>附录一</w:t>
      </w:r>
      <w:r>
        <w:rPr>
          <w:rFonts w:hint="eastAsia" w:cs="Times New Roman"/>
          <w:lang w:val="en-US" w:eastAsia="zh-CN"/>
        </w:rPr>
        <w:t xml:space="preserve"> </w:t>
      </w:r>
      <w:r>
        <w:rPr>
          <w:rFonts w:cs="Times New Roman"/>
        </w:rPr>
        <w:t>闵行</w:t>
      </w:r>
      <w:r>
        <w:rPr>
          <w:rFonts w:hint="default" w:ascii="Times New Roman" w:hAnsi="Times New Roman" w:cs="Times New Roman"/>
          <w:lang w:eastAsia="zh-CN"/>
        </w:rPr>
        <w:t>“</w:t>
      </w:r>
      <w:r>
        <w:rPr>
          <w:rFonts w:cs="Times New Roman"/>
        </w:rPr>
        <w:t>十四五</w:t>
      </w:r>
      <w:r>
        <w:rPr>
          <w:rFonts w:hint="default" w:ascii="Times New Roman" w:hAnsi="Times New Roman" w:cs="Times New Roman"/>
          <w:lang w:eastAsia="zh-CN"/>
        </w:rPr>
        <w:t>”</w:t>
      </w:r>
      <w:r>
        <w:rPr>
          <w:rFonts w:cs="Times New Roman"/>
        </w:rPr>
        <w:t>时期服务业发展指标评估表</w:t>
      </w:r>
      <w:r>
        <w:tab/>
      </w:r>
      <w:r>
        <w:fldChar w:fldCharType="begin"/>
      </w:r>
      <w:r>
        <w:instrText xml:space="preserve"> PAGEREF _Toc24575 \h </w:instrText>
      </w:r>
      <w:r>
        <w:fldChar w:fldCharType="separate"/>
      </w:r>
      <w:r>
        <w:t>30</w:t>
      </w:r>
      <w:r>
        <w:fldChar w:fldCharType="end"/>
      </w:r>
      <w:r>
        <w:rPr>
          <w:rFonts w:cs="Times New Roman"/>
        </w:rPr>
        <w:fldChar w:fldCharType="end"/>
      </w:r>
    </w:p>
    <w:p>
      <w:pPr>
        <w:pStyle w:val="16"/>
        <w:tabs>
          <w:tab w:val="right" w:leader="dot" w:pos="8306"/>
          <w:tab w:val="clear" w:pos="8296"/>
        </w:tabs>
      </w:pPr>
      <w:r>
        <w:rPr>
          <w:rFonts w:cs="Times New Roman"/>
        </w:rPr>
        <w:fldChar w:fldCharType="begin"/>
      </w:r>
      <w:r>
        <w:rPr>
          <w:rFonts w:cs="Times New Roman"/>
        </w:rPr>
        <w:instrText xml:space="preserve"> HYPERLINK \l _Toc15600 </w:instrText>
      </w:r>
      <w:r>
        <w:rPr>
          <w:rFonts w:cs="Times New Roman"/>
        </w:rPr>
        <w:fldChar w:fldCharType="separate"/>
      </w:r>
      <w:r>
        <w:rPr>
          <w:rFonts w:cs="Times New Roman"/>
        </w:rPr>
        <w:t>附录二</w:t>
      </w:r>
      <w:r>
        <w:rPr>
          <w:rFonts w:hint="eastAsia" w:cs="Times New Roman"/>
          <w:lang w:val="en-US" w:eastAsia="zh-CN"/>
        </w:rPr>
        <w:t xml:space="preserve"> </w:t>
      </w:r>
      <w:r>
        <w:rPr>
          <w:rFonts w:hint="default" w:cs="Times New Roman"/>
          <w:lang w:val="en-US" w:eastAsia="zh-CN"/>
        </w:rPr>
        <w:t>三</w:t>
      </w:r>
      <w:r>
        <w:rPr>
          <w:rFonts w:cs="Times New Roman"/>
        </w:rPr>
        <w:t>大支柱产业营收测算表</w:t>
      </w:r>
      <w:r>
        <w:tab/>
      </w:r>
      <w:r>
        <w:fldChar w:fldCharType="begin"/>
      </w:r>
      <w:r>
        <w:instrText xml:space="preserve"> PAGEREF _Toc15600 \h </w:instrText>
      </w:r>
      <w:r>
        <w:fldChar w:fldCharType="separate"/>
      </w:r>
      <w:r>
        <w:t>31</w:t>
      </w:r>
      <w:r>
        <w:fldChar w:fldCharType="end"/>
      </w:r>
      <w:r>
        <w:rPr>
          <w:rFonts w:cs="Times New Roman"/>
        </w:rPr>
        <w:fldChar w:fldCharType="end"/>
      </w:r>
    </w:p>
    <w:p>
      <w:pPr>
        <w:pStyle w:val="16"/>
        <w:tabs>
          <w:tab w:val="right" w:leader="dot" w:pos="8306"/>
          <w:tab w:val="clear" w:pos="8296"/>
        </w:tabs>
      </w:pPr>
      <w:r>
        <w:rPr>
          <w:rFonts w:cs="Times New Roman"/>
        </w:rPr>
        <w:fldChar w:fldCharType="begin"/>
      </w:r>
      <w:r>
        <w:rPr>
          <w:rFonts w:cs="Times New Roman"/>
        </w:rPr>
        <w:instrText xml:space="preserve"> HYPERLINK \l _Toc23710 </w:instrText>
      </w:r>
      <w:r>
        <w:rPr>
          <w:rFonts w:cs="Times New Roman"/>
        </w:rPr>
        <w:fldChar w:fldCharType="separate"/>
      </w:r>
      <w:r>
        <w:rPr>
          <w:rFonts w:cs="Times New Roman"/>
        </w:rPr>
        <w:t>附录三</w:t>
      </w:r>
      <w:r>
        <w:rPr>
          <w:rFonts w:hint="eastAsia" w:cs="Times New Roman"/>
          <w:lang w:val="en-US" w:eastAsia="zh-CN"/>
        </w:rPr>
        <w:t xml:space="preserve"> </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时期部分新增指标说明</w:t>
      </w:r>
      <w:r>
        <w:tab/>
      </w:r>
      <w:r>
        <w:fldChar w:fldCharType="begin"/>
      </w:r>
      <w:r>
        <w:instrText xml:space="preserve"> PAGEREF _Toc23710 \h </w:instrText>
      </w:r>
      <w:r>
        <w:fldChar w:fldCharType="separate"/>
      </w:r>
      <w:r>
        <w:t>32</w:t>
      </w:r>
      <w:r>
        <w:fldChar w:fldCharType="end"/>
      </w:r>
      <w:r>
        <w:rPr>
          <w:rFonts w:cs="Times New Roman"/>
        </w:rPr>
        <w:fldChar w:fldCharType="end"/>
      </w:r>
    </w:p>
    <w:p>
      <w:pPr>
        <w:pStyle w:val="16"/>
        <w:tabs>
          <w:tab w:val="right" w:leader="dot" w:pos="8306"/>
          <w:tab w:val="clear" w:pos="8296"/>
        </w:tabs>
      </w:pPr>
      <w:r>
        <w:rPr>
          <w:rFonts w:cs="Times New Roman"/>
        </w:rPr>
        <w:fldChar w:fldCharType="begin"/>
      </w:r>
      <w:r>
        <w:rPr>
          <w:rFonts w:cs="Times New Roman"/>
        </w:rPr>
        <w:instrText xml:space="preserve"> HYPERLINK \l _Toc22404 </w:instrText>
      </w:r>
      <w:r>
        <w:rPr>
          <w:rFonts w:cs="Times New Roman"/>
        </w:rPr>
        <w:fldChar w:fldCharType="separate"/>
      </w:r>
      <w:r>
        <w:rPr>
          <w:rFonts w:cs="Times New Roman"/>
        </w:rPr>
        <w:t>附录四</w:t>
      </w:r>
      <w:r>
        <w:rPr>
          <w:rFonts w:hint="eastAsia" w:cs="Times New Roman"/>
          <w:lang w:val="en-US" w:eastAsia="zh-CN"/>
        </w:rPr>
        <w:t xml:space="preserve"> </w:t>
      </w:r>
      <w:r>
        <w:rPr>
          <w:rFonts w:cs="Times New Roman"/>
        </w:rPr>
        <w:t>闵行区</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服务业发展重大项目表</w:t>
      </w:r>
      <w:r>
        <w:tab/>
      </w:r>
      <w:r>
        <w:fldChar w:fldCharType="begin"/>
      </w:r>
      <w:r>
        <w:instrText xml:space="preserve"> PAGEREF _Toc22404 \h </w:instrText>
      </w:r>
      <w:r>
        <w:fldChar w:fldCharType="separate"/>
      </w:r>
      <w:r>
        <w:t>35</w:t>
      </w:r>
      <w:r>
        <w:fldChar w:fldCharType="end"/>
      </w:r>
      <w:r>
        <w:rPr>
          <w:rFonts w:cs="Times New Roman"/>
        </w:rPr>
        <w:fldChar w:fldCharType="end"/>
      </w:r>
    </w:p>
    <w:p>
      <w:pPr>
        <w:ind w:firstLine="640"/>
        <w:rPr>
          <w:rFonts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cs="Times New Roman"/>
        </w:rPr>
        <w:fldChar w:fldCharType="end"/>
      </w:r>
    </w:p>
    <w:p>
      <w:pPr>
        <w:ind w:firstLine="640"/>
        <w:rPr>
          <w:rFonts w:ascii="Times New Roman" w:hAnsi="Times New Roman" w:cs="Times New Roman"/>
        </w:rPr>
        <w:sectPr>
          <w:footerReference r:id="rId11" w:type="default"/>
          <w:footnotePr>
            <w:numFmt w:val="decimal"/>
            <w:numRestart w:val="eachPage"/>
          </w:footnotePr>
          <w:type w:val="continuous"/>
          <w:pgSz w:w="11906" w:h="16838"/>
          <w:pgMar w:top="1440" w:right="1466"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ind w:firstLine="640"/>
        <w:rPr>
          <w:rFonts w:ascii="Times New Roman" w:hAnsi="Times New Roman" w:cs="Times New Roman"/>
        </w:rPr>
        <w:sectPr>
          <w:footnotePr>
            <w:numFmt w:val="decimal"/>
          </w:footnotePr>
          <w:type w:val="continuous"/>
          <w:pgSz w:w="11906" w:h="16838"/>
          <w:pgMar w:top="1440" w:right="1466"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ind w:firstLine="640"/>
        <w:rPr>
          <w:rFonts w:cs="Times New Roman"/>
        </w:rPr>
      </w:pPr>
      <w:r>
        <w:rPr>
          <w:rFonts w:cs="Times New Roman"/>
        </w:rPr>
        <w:t>为促进服务业加快发展，根据国家关于加快发展服务业和上海市</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服务业发展的总体要求，结合闵行区情实际，特编制《闵行区服务业发展</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规划》。</w:t>
      </w:r>
    </w:p>
    <w:p>
      <w:pPr>
        <w:keepNext/>
        <w:keepLines/>
        <w:spacing w:before="120" w:after="120"/>
        <w:ind w:left="643" w:firstLine="0" w:firstLineChars="0"/>
        <w:outlineLvl w:val="0"/>
        <w:rPr>
          <w:rFonts w:eastAsia="黑体" w:cs="Times New Roman"/>
          <w:b/>
          <w:color w:val="000000" w:themeColor="text1"/>
          <w:szCs w:val="48"/>
          <w14:textFill>
            <w14:solidFill>
              <w14:schemeClr w14:val="tx1"/>
            </w14:solidFill>
          </w14:textFill>
        </w:rPr>
      </w:pPr>
      <w:bookmarkStart w:id="0" w:name="_Toc7408"/>
      <w:bookmarkStart w:id="1" w:name="_Toc201310186"/>
      <w:bookmarkStart w:id="2" w:name="_Toc8054"/>
      <w:bookmarkStart w:id="3" w:name="_Toc2892"/>
      <w:bookmarkStart w:id="4" w:name="_Toc8425"/>
      <w:r>
        <w:rPr>
          <w:rFonts w:eastAsia="黑体" w:cs="Times New Roman"/>
          <w:b/>
          <w:color w:val="000000" w:themeColor="text1"/>
          <w:szCs w:val="48"/>
          <w14:textFill>
            <w14:solidFill>
              <w14:schemeClr w14:val="tx1"/>
            </w14:solidFill>
          </w14:textFill>
        </w:rPr>
        <w:t>一、闵行区</w:t>
      </w:r>
      <w:r>
        <w:rPr>
          <w:rFonts w:hint="default" w:ascii="Times New Roman" w:hAnsi="Times New Roman" w:eastAsia="黑体" w:cs="Times New Roman"/>
          <w:b/>
          <w:color w:val="000000" w:themeColor="text1"/>
          <w:szCs w:val="48"/>
          <w:lang w:eastAsia="zh-CN"/>
          <w14:textFill>
            <w14:solidFill>
              <w14:schemeClr w14:val="tx1"/>
            </w14:solidFill>
          </w14:textFill>
        </w:rPr>
        <w:t>“</w:t>
      </w:r>
      <w:r>
        <w:rPr>
          <w:rFonts w:eastAsia="黑体" w:cs="Times New Roman"/>
          <w:b/>
          <w:color w:val="000000" w:themeColor="text1"/>
          <w:szCs w:val="48"/>
          <w14:textFill>
            <w14:solidFill>
              <w14:schemeClr w14:val="tx1"/>
            </w14:solidFill>
          </w14:textFill>
        </w:rPr>
        <w:t>十五五</w:t>
      </w:r>
      <w:r>
        <w:rPr>
          <w:rFonts w:hint="default" w:ascii="Times New Roman" w:hAnsi="Times New Roman" w:eastAsia="黑体" w:cs="Times New Roman"/>
          <w:b/>
          <w:color w:val="000000" w:themeColor="text1"/>
          <w:szCs w:val="48"/>
          <w:lang w:eastAsia="zh-CN"/>
          <w14:textFill>
            <w14:solidFill>
              <w14:schemeClr w14:val="tx1"/>
            </w14:solidFill>
          </w14:textFill>
        </w:rPr>
        <w:t>”</w:t>
      </w:r>
      <w:r>
        <w:rPr>
          <w:rFonts w:eastAsia="黑体" w:cs="Times New Roman"/>
          <w:b/>
          <w:color w:val="000000" w:themeColor="text1"/>
          <w:szCs w:val="48"/>
          <w14:textFill>
            <w14:solidFill>
              <w14:schemeClr w14:val="tx1"/>
            </w14:solidFill>
          </w14:textFill>
        </w:rPr>
        <w:t>服务业发展的基础与环境</w:t>
      </w:r>
      <w:bookmarkEnd w:id="0"/>
      <w:bookmarkEnd w:id="1"/>
      <w:bookmarkEnd w:id="2"/>
      <w:bookmarkEnd w:id="3"/>
      <w:bookmarkEnd w:id="4"/>
    </w:p>
    <w:p>
      <w:pPr>
        <w:ind w:firstLine="640"/>
        <w:rPr>
          <w:rFonts w:cs="Times New Roman"/>
        </w:rPr>
      </w:pPr>
      <w:r>
        <w:rPr>
          <w:rFonts w:hint="default" w:ascii="Times New Roman" w:hAnsi="Times New Roman" w:cs="Times New Roman"/>
          <w:lang w:eastAsia="zh-CN"/>
        </w:rPr>
        <w:t>“</w:t>
      </w:r>
      <w:r>
        <w:rPr>
          <w:rFonts w:cs="Times New Roman"/>
        </w:rPr>
        <w:t>十四五</w:t>
      </w:r>
      <w:r>
        <w:rPr>
          <w:rFonts w:hint="default" w:ascii="Times New Roman" w:hAnsi="Times New Roman" w:cs="Times New Roman"/>
          <w:lang w:eastAsia="zh-CN"/>
        </w:rPr>
        <w:t>”</w:t>
      </w:r>
      <w:r>
        <w:rPr>
          <w:rFonts w:cs="Times New Roman"/>
        </w:rPr>
        <w:t>时期，面对国内外复杂严峻经济环境和疫情冲击等超预期因素的多重挑战，闵行区全力以赴攻坚突破，全力推进现代服务业体系建设和能级提升。</w:t>
      </w:r>
    </w:p>
    <w:p>
      <w:pPr>
        <w:keepNext/>
        <w:keepLines/>
        <w:spacing w:before="120" w:after="120"/>
        <w:ind w:firstLine="643"/>
        <w:outlineLvl w:val="1"/>
        <w:rPr>
          <w:rFonts w:eastAsia="楷体" w:cs="Times New Roman"/>
          <w:b/>
          <w:szCs w:val="40"/>
        </w:rPr>
      </w:pPr>
      <w:bookmarkStart w:id="5" w:name="_Toc31233"/>
      <w:bookmarkStart w:id="6" w:name="_Toc2036"/>
      <w:bookmarkStart w:id="7" w:name="_Toc201310187"/>
      <w:bookmarkStart w:id="8" w:name="_Toc1927"/>
      <w:bookmarkStart w:id="9" w:name="_Toc24483"/>
      <w:r>
        <w:rPr>
          <w:rFonts w:eastAsia="楷体" w:cs="Times New Roman"/>
          <w:b/>
          <w:szCs w:val="40"/>
        </w:rPr>
        <w:t>（一）发展成效</w:t>
      </w:r>
      <w:bookmarkEnd w:id="5"/>
      <w:bookmarkEnd w:id="6"/>
      <w:bookmarkEnd w:id="7"/>
      <w:bookmarkEnd w:id="8"/>
      <w:bookmarkEnd w:id="9"/>
    </w:p>
    <w:p>
      <w:pPr>
        <w:pStyle w:val="4"/>
        <w:ind w:firstLine="643"/>
        <w:rPr>
          <w:rFonts w:cs="Times New Roman"/>
        </w:rPr>
      </w:pPr>
      <w:bookmarkStart w:id="10" w:name="_Toc2515"/>
      <w:bookmarkStart w:id="11" w:name="_Toc201930495"/>
      <w:bookmarkStart w:id="12" w:name="_Toc16821"/>
      <w:bookmarkStart w:id="13" w:name="_Toc201930721"/>
      <w:bookmarkStart w:id="14" w:name="_Toc3232"/>
      <w:bookmarkStart w:id="15" w:name="_Toc32159"/>
      <w:bookmarkStart w:id="16" w:name="_Toc202369038"/>
      <w:bookmarkStart w:id="17" w:name="_Toc22684"/>
      <w:r>
        <w:rPr>
          <w:rFonts w:cs="Times New Roman"/>
        </w:rPr>
        <w:t>1、服务业总量规模持续扩大，经济发展贡献日益增强</w:t>
      </w:r>
      <w:bookmarkEnd w:id="10"/>
      <w:bookmarkEnd w:id="11"/>
      <w:bookmarkEnd w:id="12"/>
      <w:bookmarkEnd w:id="13"/>
      <w:bookmarkEnd w:id="14"/>
      <w:bookmarkEnd w:id="15"/>
      <w:bookmarkEnd w:id="16"/>
      <w:bookmarkEnd w:id="17"/>
    </w:p>
    <w:p>
      <w:pPr>
        <w:ind w:firstLine="640"/>
        <w:rPr>
          <w:rFonts w:cs="Times New Roman"/>
          <w:b w:val="0"/>
          <w:bCs w:val="0"/>
          <w:highlight w:val="none"/>
        </w:rPr>
      </w:pPr>
      <w:r>
        <w:rPr>
          <w:rFonts w:hint="default" w:ascii="Times New Roman" w:hAnsi="Times New Roman" w:cs="Times New Roman"/>
          <w:lang w:eastAsia="zh-CN"/>
        </w:rPr>
        <w:t>“</w:t>
      </w:r>
      <w:r>
        <w:rPr>
          <w:rFonts w:cs="Times New Roman"/>
        </w:rPr>
        <w:t>十四五</w:t>
      </w:r>
      <w:r>
        <w:rPr>
          <w:rFonts w:hint="default" w:ascii="Times New Roman" w:hAnsi="Times New Roman" w:cs="Times New Roman"/>
          <w:lang w:eastAsia="zh-CN"/>
        </w:rPr>
        <w:t>”</w:t>
      </w:r>
      <w:r>
        <w:rPr>
          <w:rFonts w:cs="Times New Roman"/>
        </w:rPr>
        <w:t>以来，服务业规模持续扩张，经济贡献突</w:t>
      </w:r>
      <w:r>
        <w:rPr>
          <w:rFonts w:cs="Times New Roman"/>
          <w:highlight w:val="none"/>
        </w:rPr>
        <w:t>出。截至202</w:t>
      </w:r>
      <w:r>
        <w:rPr>
          <w:rFonts w:hint="default" w:ascii="Times New Roman" w:hAnsi="Times New Roman" w:cs="Times New Roman"/>
          <w:highlight w:val="none"/>
          <w:lang w:eastAsia="zh-CN"/>
        </w:rPr>
        <w:t>5</w:t>
      </w:r>
      <w:r>
        <w:rPr>
          <w:rFonts w:cs="Times New Roman"/>
          <w:highlight w:val="none"/>
        </w:rPr>
        <w:t>年末，第三产业占全区生产总值比重达到</w:t>
      </w:r>
      <w:r>
        <w:rPr>
          <w:rFonts w:hint="default" w:ascii="Times New Roman" w:hAnsi="Times New Roman" w:cs="Times New Roman"/>
          <w:highlight w:val="none"/>
          <w:lang w:val="en-US" w:eastAsia="zh-CN"/>
        </w:rPr>
        <w:t>74.1</w:t>
      </w:r>
      <w:r>
        <w:rPr>
          <w:rFonts w:cs="Times New Roman"/>
          <w:highlight w:val="none"/>
        </w:rPr>
        <w:t>%</w:t>
      </w:r>
      <w:r>
        <w:rPr>
          <w:rFonts w:hint="default" w:cs="Times New Roman"/>
          <w:highlight w:val="none"/>
          <w:lang w:eastAsia="zh-CN"/>
        </w:rPr>
        <w:t>。</w:t>
      </w:r>
      <w:r>
        <w:rPr>
          <w:rFonts w:hint="default" w:ascii="Times New Roman" w:hAnsi="Times New Roman" w:cs="Times New Roman"/>
          <w:highlight w:val="none"/>
          <w:lang w:eastAsia="zh-CN"/>
        </w:rPr>
        <w:t>“</w:t>
      </w:r>
      <w:r>
        <w:rPr>
          <w:rFonts w:cs="Times New Roman"/>
          <w:highlight w:val="none"/>
        </w:rPr>
        <w:t>4+4</w:t>
      </w:r>
      <w:r>
        <w:rPr>
          <w:rFonts w:hint="default" w:ascii="Times New Roman" w:hAnsi="Times New Roman" w:cs="Times New Roman"/>
          <w:highlight w:val="none"/>
          <w:lang w:eastAsia="zh-CN"/>
        </w:rPr>
        <w:t>”</w:t>
      </w:r>
      <w:r>
        <w:rPr>
          <w:rFonts w:cs="Times New Roman"/>
          <w:highlight w:val="none"/>
        </w:rPr>
        <w:t>现代产业体系</w:t>
      </w:r>
      <w:r>
        <w:rPr>
          <w:rStyle w:val="29"/>
          <w:rFonts w:cs="Times New Roman"/>
          <w:highlight w:val="none"/>
        </w:rPr>
        <w:footnoteReference w:id="0"/>
      </w:r>
      <w:r>
        <w:rPr>
          <w:rFonts w:cs="Times New Roman"/>
          <w:highlight w:val="none"/>
        </w:rPr>
        <w:t>中第三产业营业收入从2020年的2395.03亿元提升到5</w:t>
      </w:r>
      <w:r>
        <w:rPr>
          <w:rFonts w:hint="default" w:ascii="Times New Roman" w:hAnsi="Times New Roman" w:cs="Times New Roman"/>
          <w:highlight w:val="none"/>
          <w:lang w:val="en-US" w:eastAsia="zh-CN"/>
        </w:rPr>
        <w:t>694.01</w:t>
      </w:r>
      <w:r>
        <w:rPr>
          <w:rFonts w:cs="Times New Roman"/>
          <w:highlight w:val="none"/>
        </w:rPr>
        <w:t>亿元，营收年均增速</w:t>
      </w:r>
      <w:r>
        <w:rPr>
          <w:rFonts w:hint="default" w:ascii="Times New Roman" w:hAnsi="Times New Roman" w:cs="Times New Roman"/>
          <w:highlight w:val="none"/>
          <w:lang w:val="en-US" w:eastAsia="zh-CN"/>
        </w:rPr>
        <w:t>19%</w:t>
      </w:r>
      <w:r>
        <w:rPr>
          <w:rFonts w:cs="Times New Roman"/>
          <w:highlight w:val="none"/>
        </w:rPr>
        <w:t>，占比从2020年的45.8%提升至6</w:t>
      </w:r>
      <w:r>
        <w:rPr>
          <w:rFonts w:hint="default" w:ascii="Times New Roman" w:hAnsi="Times New Roman" w:cs="Times New Roman"/>
          <w:highlight w:val="none"/>
          <w:lang w:eastAsia="zh-CN"/>
        </w:rPr>
        <w:t>4</w:t>
      </w:r>
      <w:r>
        <w:rPr>
          <w:rFonts w:hint="default" w:ascii="Times New Roman" w:hAnsi="Times New Roman" w:cs="Times New Roman"/>
          <w:highlight w:val="none"/>
          <w:lang w:val="en-US" w:eastAsia="zh-CN"/>
        </w:rPr>
        <w:t>.3</w:t>
      </w:r>
      <w:r>
        <w:rPr>
          <w:rFonts w:cs="Times New Roman"/>
          <w:highlight w:val="none"/>
        </w:rPr>
        <w:t>%。</w:t>
      </w:r>
      <w:r>
        <w:rPr>
          <w:rFonts w:cs="Times New Roman"/>
          <w:b w:val="0"/>
          <w:bCs w:val="0"/>
          <w:highlight w:val="none"/>
        </w:rPr>
        <w:t>服务业已经成为闵行区产业稳定增长、调优结构的</w:t>
      </w:r>
      <w:r>
        <w:rPr>
          <w:rFonts w:cs="Times New Roman"/>
          <w:b w:val="0"/>
          <w:bCs w:val="0"/>
          <w:szCs w:val="32"/>
          <w:highlight w:val="none"/>
        </w:rPr>
        <w:t>主</w:t>
      </w:r>
      <w:r>
        <w:rPr>
          <w:rFonts w:cs="Times New Roman"/>
          <w:b w:val="0"/>
          <w:bCs w:val="0"/>
          <w:highlight w:val="none"/>
        </w:rPr>
        <w:t>动力。</w:t>
      </w:r>
    </w:p>
    <w:p>
      <w:pPr>
        <w:ind w:firstLine="0" w:firstLineChars="0"/>
        <w:rPr>
          <w:rFonts w:cs="Times New Roman"/>
          <w:b w:val="0"/>
          <w:bCs w:val="0"/>
          <w:highlight w:val="none"/>
        </w:rPr>
      </w:pPr>
      <w:r>
        <w:drawing>
          <wp:inline distT="0" distB="0" distL="114300" distR="114300">
            <wp:extent cx="5273040" cy="2855595"/>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rcRect b="13135"/>
                    <a:stretch>
                      <a:fillRect/>
                    </a:stretch>
                  </pic:blipFill>
                  <pic:spPr>
                    <a:xfrm>
                      <a:off x="0" y="0"/>
                      <a:ext cx="5273040" cy="2855595"/>
                    </a:xfrm>
                    <a:prstGeom prst="rect">
                      <a:avLst/>
                    </a:prstGeom>
                    <a:noFill/>
                    <a:ln>
                      <a:noFill/>
                    </a:ln>
                  </pic:spPr>
                </pic:pic>
              </a:graphicData>
            </a:graphic>
          </wp:inline>
        </w:drawing>
      </w:r>
    </w:p>
    <w:p>
      <w:pPr>
        <w:pStyle w:val="4"/>
        <w:ind w:firstLine="643"/>
        <w:rPr>
          <w:rFonts w:cs="Times New Roman"/>
        </w:rPr>
      </w:pPr>
      <w:bookmarkStart w:id="18" w:name="_Toc25788"/>
      <w:bookmarkStart w:id="19" w:name="_Toc201930722"/>
      <w:bookmarkStart w:id="20" w:name="_Toc19727"/>
      <w:bookmarkStart w:id="21" w:name="_Toc24773"/>
      <w:bookmarkStart w:id="22" w:name="_Toc202369039"/>
      <w:bookmarkStart w:id="23" w:name="_Toc32444"/>
      <w:bookmarkStart w:id="24" w:name="_Toc201930496"/>
      <w:bookmarkStart w:id="25" w:name="_Toc30701"/>
      <w:r>
        <w:rPr>
          <w:rFonts w:cs="Times New Roman"/>
        </w:rPr>
        <w:t>2、服务业结构优化成效显著，</w:t>
      </w:r>
      <w:r>
        <w:rPr>
          <w:rFonts w:hint="default" w:ascii="Times New Roman" w:hAnsi="Times New Roman" w:cs="Times New Roman"/>
          <w:lang w:eastAsia="zh-CN"/>
        </w:rPr>
        <w:t>“</w:t>
      </w:r>
      <w:r>
        <w:rPr>
          <w:rFonts w:cs="Times New Roman"/>
        </w:rPr>
        <w:t>4+2</w:t>
      </w:r>
      <w:r>
        <w:rPr>
          <w:rFonts w:hint="default" w:ascii="Times New Roman" w:hAnsi="Times New Roman" w:cs="Times New Roman"/>
          <w:lang w:eastAsia="zh-CN"/>
        </w:rPr>
        <w:t>”</w:t>
      </w:r>
      <w:r>
        <w:rPr>
          <w:rStyle w:val="29"/>
          <w:rFonts w:cs="Times New Roman"/>
        </w:rPr>
        <w:footnoteReference w:id="1"/>
      </w:r>
      <w:r>
        <w:rPr>
          <w:rFonts w:cs="Times New Roman"/>
        </w:rPr>
        <w:t>产业增长强劲</w:t>
      </w:r>
      <w:bookmarkEnd w:id="18"/>
      <w:bookmarkEnd w:id="19"/>
      <w:bookmarkEnd w:id="20"/>
      <w:bookmarkEnd w:id="21"/>
      <w:bookmarkEnd w:id="22"/>
      <w:bookmarkEnd w:id="23"/>
      <w:bookmarkEnd w:id="24"/>
      <w:bookmarkEnd w:id="25"/>
    </w:p>
    <w:p>
      <w:pPr>
        <w:ind w:firstLine="640"/>
        <w:rPr>
          <w:rFonts w:cs="Times New Roman"/>
        </w:rPr>
      </w:pPr>
      <w:r>
        <w:rPr>
          <w:rFonts w:cs="Times New Roman"/>
        </w:rPr>
        <w:t>服务业内部结构不断优化。</w:t>
      </w:r>
      <w:r>
        <w:rPr>
          <w:rFonts w:cs="Times New Roman"/>
          <w:highlight w:val="none"/>
        </w:rPr>
        <w:t>202</w:t>
      </w:r>
      <w:r>
        <w:rPr>
          <w:rFonts w:hint="default" w:ascii="Times New Roman" w:hAnsi="Times New Roman" w:cs="Times New Roman"/>
          <w:highlight w:val="none"/>
          <w:lang w:eastAsia="zh-CN"/>
        </w:rPr>
        <w:t>5</w:t>
      </w:r>
      <w:r>
        <w:rPr>
          <w:rFonts w:cs="Times New Roman"/>
          <w:highlight w:val="none"/>
        </w:rPr>
        <w:t>年，规模以上服务业营业收入</w:t>
      </w:r>
      <w:r>
        <w:rPr>
          <w:rFonts w:hint="default" w:ascii="Times New Roman" w:hAnsi="Times New Roman" w:cs="Times New Roman"/>
          <w:highlight w:val="none"/>
          <w:lang w:eastAsia="zh-CN"/>
        </w:rPr>
        <w:t>3</w:t>
      </w:r>
      <w:r>
        <w:rPr>
          <w:rFonts w:hint="default" w:ascii="Times New Roman" w:hAnsi="Times New Roman" w:cs="Times New Roman"/>
          <w:highlight w:val="none"/>
          <w:lang w:val="en-US" w:eastAsia="zh-CN"/>
        </w:rPr>
        <w:t>218</w:t>
      </w:r>
      <w:r>
        <w:rPr>
          <w:rFonts w:cs="Times New Roman"/>
          <w:highlight w:val="none"/>
        </w:rPr>
        <w:t>亿元，</w:t>
      </w:r>
      <w:r>
        <w:rPr>
          <w:rFonts w:cs="Times New Roman"/>
        </w:rPr>
        <w:t>主要行业中租赁和商务服务</w:t>
      </w:r>
      <w:r>
        <w:rPr>
          <w:rFonts w:hint="default" w:cs="Times New Roman"/>
          <w:lang w:val="en-US" w:eastAsia="zh-CN"/>
        </w:rPr>
        <w:t>业</w:t>
      </w:r>
      <w:r>
        <w:rPr>
          <w:rFonts w:cs="Times New Roman"/>
        </w:rPr>
        <w:t>，信息传输、软件和信息技术服务业拉动力最强，</w:t>
      </w:r>
      <w:r>
        <w:rPr>
          <w:rFonts w:cs="Times New Roman"/>
          <w:highlight w:val="none"/>
        </w:rPr>
        <w:t>增长贡献率合计达到5</w:t>
      </w:r>
      <w:r>
        <w:rPr>
          <w:rFonts w:hint="default" w:ascii="Times New Roman" w:hAnsi="Times New Roman" w:cs="Times New Roman"/>
          <w:highlight w:val="none"/>
          <w:lang w:eastAsia="zh-CN"/>
        </w:rPr>
        <w:t>4</w:t>
      </w:r>
      <w:r>
        <w:rPr>
          <w:rFonts w:cs="Times New Roman"/>
          <w:highlight w:val="none"/>
        </w:rPr>
        <w:t>.</w:t>
      </w:r>
      <w:r>
        <w:rPr>
          <w:rFonts w:hint="default" w:ascii="Times New Roman" w:hAnsi="Times New Roman" w:cs="Times New Roman"/>
          <w:highlight w:val="none"/>
          <w:lang w:eastAsia="zh-CN"/>
        </w:rPr>
        <w:t>4</w:t>
      </w:r>
      <w:r>
        <w:rPr>
          <w:rFonts w:cs="Times New Roman"/>
          <w:highlight w:val="none"/>
        </w:rPr>
        <w:t>%。</w:t>
      </w:r>
      <w:r>
        <w:rPr>
          <w:rFonts w:cs="Times New Roman"/>
          <w:b/>
          <w:bCs/>
        </w:rPr>
        <w:t>四大重点产业发展势头强劲，</w:t>
      </w:r>
      <w:r>
        <w:rPr>
          <w:rFonts w:cs="Times New Roman"/>
        </w:rPr>
        <w:t>国际商贸、科技服务、文化创意产业营收完成</w:t>
      </w:r>
      <w:r>
        <w:rPr>
          <w:rFonts w:hint="default" w:ascii="Times New Roman" w:hAnsi="Times New Roman" w:cs="Times New Roman"/>
          <w:lang w:eastAsia="zh-CN"/>
        </w:rPr>
        <w:t>“</w:t>
      </w:r>
      <w:r>
        <w:rPr>
          <w:rFonts w:cs="Times New Roman"/>
        </w:rPr>
        <w:t>十四五</w:t>
      </w:r>
      <w:r>
        <w:rPr>
          <w:rFonts w:hint="default" w:ascii="Times New Roman" w:hAnsi="Times New Roman" w:cs="Times New Roman"/>
          <w:lang w:eastAsia="zh-CN"/>
        </w:rPr>
        <w:t>”</w:t>
      </w:r>
      <w:r>
        <w:rPr>
          <w:rFonts w:cs="Times New Roman"/>
        </w:rPr>
        <w:t>目标，现代金融发展特色日益鲜明。</w:t>
      </w:r>
      <w:r>
        <w:rPr>
          <w:rFonts w:cs="Times New Roman"/>
          <w:b/>
          <w:bCs/>
        </w:rPr>
        <w:t>两大潜力产业突破式发展，</w:t>
      </w:r>
      <w:r>
        <w:rPr>
          <w:rFonts w:cs="Times New Roman"/>
        </w:rPr>
        <w:t>中国上海人力资源服务产业园虹桥园获得国家人社部授牌，上海仲裁委员会虹桥中心等高能级功能性平台落户虹桥国际中央法务区；新虹桥国际医学园区</w:t>
      </w:r>
      <w:r>
        <w:rPr>
          <w:rFonts w:hint="default" w:cs="Times New Roman"/>
          <w:lang w:val="en-US" w:eastAsia="zh-CN"/>
        </w:rPr>
        <w:t>布局建设全国首个脑机接口未来产业集聚区，</w:t>
      </w:r>
      <w:r>
        <w:rPr>
          <w:rFonts w:cs="Times New Roman"/>
          <w:kern w:val="2"/>
          <w:sz w:val="32"/>
          <w:szCs w:val="24"/>
          <w14:ligatures w14:val="standardContextual"/>
        </w:rPr>
        <w:t>大零号湾</w:t>
      </w:r>
      <w:r>
        <w:rPr>
          <w:rFonts w:hint="default" w:cs="Times New Roman"/>
          <w:kern w:val="2"/>
          <w:sz w:val="32"/>
          <w:szCs w:val="24"/>
          <w:lang w:val="en-US" w:eastAsia="zh-CN"/>
          <w14:ligatures w14:val="standardContextual"/>
        </w:rPr>
        <w:t>打造</w:t>
      </w:r>
      <w:r>
        <w:rPr>
          <w:rFonts w:cs="Times New Roman"/>
          <w:kern w:val="2"/>
          <w:sz w:val="32"/>
          <w:szCs w:val="24"/>
          <w14:ligatures w14:val="standardContextual"/>
        </w:rPr>
        <w:t>上海市唯一的养老科技产业园</w:t>
      </w:r>
      <w:r>
        <w:rPr>
          <w:rFonts w:cs="Times New Roman"/>
        </w:rPr>
        <w:t>。</w:t>
      </w:r>
    </w:p>
    <w:p>
      <w:pPr>
        <w:pStyle w:val="4"/>
        <w:ind w:firstLine="643"/>
        <w:rPr>
          <w:rFonts w:cs="Times New Roman"/>
        </w:rPr>
      </w:pPr>
      <w:bookmarkStart w:id="26" w:name="_Toc9205"/>
      <w:bookmarkStart w:id="27" w:name="_Toc17856"/>
      <w:bookmarkStart w:id="28" w:name="_Toc19027"/>
      <w:bookmarkStart w:id="29" w:name="_Toc201930498"/>
      <w:bookmarkStart w:id="30" w:name="_Toc201930724"/>
      <w:bookmarkStart w:id="31" w:name="_Toc27782"/>
      <w:bookmarkStart w:id="32" w:name="_Toc14187"/>
      <w:bookmarkStart w:id="33" w:name="_Toc202369040"/>
      <w:bookmarkStart w:id="34" w:name="_Toc201930497"/>
      <w:bookmarkStart w:id="35" w:name="_Toc201930723"/>
      <w:r>
        <w:rPr>
          <w:rFonts w:cs="Times New Roman"/>
        </w:rPr>
        <w:t>3、服务业生态持续优化，四类经济形态竞争力攀升</w:t>
      </w:r>
      <w:bookmarkEnd w:id="26"/>
      <w:bookmarkEnd w:id="27"/>
      <w:bookmarkEnd w:id="28"/>
      <w:bookmarkEnd w:id="29"/>
      <w:bookmarkEnd w:id="30"/>
      <w:bookmarkEnd w:id="31"/>
      <w:bookmarkEnd w:id="32"/>
      <w:bookmarkEnd w:id="33"/>
    </w:p>
    <w:p>
      <w:pPr>
        <w:ind w:firstLine="640"/>
        <w:rPr>
          <w:rFonts w:hint="default" w:eastAsia="仿宋_GB2312" w:cs="Times New Roman"/>
          <w:lang w:eastAsia="zh-CN"/>
        </w:rPr>
      </w:pPr>
      <w:r>
        <w:rPr>
          <w:rFonts w:cs="Times New Roman"/>
          <w:color w:val="000000"/>
          <w:kern w:val="0"/>
          <w:szCs w:val="32"/>
          <w:lang w:bidi="ar"/>
        </w:rPr>
        <w:t>总部经济、平台经济提质升级步伐稳健，楼宇经济、在线经济同频共振。</w:t>
      </w:r>
      <w:r>
        <w:rPr>
          <w:rFonts w:cs="Times New Roman"/>
          <w:b/>
          <w:bCs/>
          <w:color w:val="000000"/>
          <w:kern w:val="0"/>
          <w:szCs w:val="32"/>
          <w:lang w:bidi="ar"/>
        </w:rPr>
        <w:t>形成跨国公司总部、贸易型总部、民营企业总部的多元总部矩阵。</w:t>
      </w:r>
      <w:r>
        <w:rPr>
          <w:rFonts w:cs="Times New Roman"/>
          <w:highlight w:val="none"/>
        </w:rPr>
        <w:t>截至2025年</w:t>
      </w:r>
      <w:r>
        <w:rPr>
          <w:rFonts w:hint="default" w:ascii="Times New Roman" w:hAnsi="Times New Roman" w:cs="Times New Roman"/>
          <w:highlight w:val="none"/>
          <w:lang w:val="en-US" w:eastAsia="zh-CN"/>
        </w:rPr>
        <w:t>底</w:t>
      </w:r>
      <w:r>
        <w:rPr>
          <w:rFonts w:cs="Times New Roman"/>
          <w:highlight w:val="none"/>
        </w:rPr>
        <w:t>，跨国公司地区总部达到7</w:t>
      </w:r>
      <w:r>
        <w:rPr>
          <w:rFonts w:hint="default" w:ascii="Times New Roman" w:hAnsi="Times New Roman" w:cs="Times New Roman"/>
          <w:highlight w:val="none"/>
          <w:lang w:eastAsia="zh-CN"/>
        </w:rPr>
        <w:t>6</w:t>
      </w:r>
      <w:r>
        <w:rPr>
          <w:rFonts w:cs="Times New Roman"/>
          <w:highlight w:val="none"/>
        </w:rPr>
        <w:t>家，市级贸易型总部14家、民营企业总部</w:t>
      </w:r>
      <w:r>
        <w:rPr>
          <w:rFonts w:hint="eastAsia" w:ascii="Times New Roman" w:hAnsi="Times New Roman" w:cs="Times New Roman"/>
          <w:highlight w:val="none"/>
          <w:lang w:val="en-US" w:eastAsia="zh-CN"/>
        </w:rPr>
        <w:t>79</w:t>
      </w:r>
      <w:r>
        <w:rPr>
          <w:rFonts w:cs="Times New Roman"/>
          <w:highlight w:val="none"/>
        </w:rPr>
        <w:t>家。</w:t>
      </w:r>
      <w:r>
        <w:rPr>
          <w:rFonts w:cs="Times New Roman"/>
          <w:b/>
          <w:bCs/>
        </w:rPr>
        <w:t>开放平台功能持续拓展。</w:t>
      </w:r>
      <w:r>
        <w:rPr>
          <w:rFonts w:cs="Times New Roman"/>
        </w:rPr>
        <w:t>虹桥商务区</w:t>
      </w:r>
      <w:r>
        <w:rPr>
          <w:rFonts w:hint="default" w:ascii="Times New Roman" w:hAnsi="Times New Roman" w:eastAsia="仿宋_GB2312" w:cs="Times New Roman"/>
          <w:sz w:val="32"/>
          <w:szCs w:val="32"/>
        </w:rPr>
        <w:t>保税物流中心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B型</w:t>
      </w:r>
      <w:r>
        <w:rPr>
          <w:rFonts w:hint="default" w:ascii="Times New Roman" w:hAnsi="Times New Roman" w:eastAsia="仿宋_GB2312" w:cs="Times New Roman"/>
          <w:sz w:val="32"/>
          <w:szCs w:val="32"/>
          <w:lang w:eastAsia="zh-CN"/>
        </w:rPr>
        <w:t>）</w:t>
      </w:r>
      <w:r>
        <w:rPr>
          <w:rFonts w:cs="Times New Roman"/>
        </w:rPr>
        <w:t>2025年跨境电商进口业务单数、</w:t>
      </w:r>
      <w:r>
        <w:rPr>
          <w:rFonts w:hint="default" w:cs="Times New Roman"/>
          <w:lang w:val="en-US" w:eastAsia="zh-CN"/>
        </w:rPr>
        <w:t>交易总额</w:t>
      </w:r>
      <w:r>
        <w:rPr>
          <w:rFonts w:cs="Times New Roman"/>
        </w:rPr>
        <w:t>分别占全市</w:t>
      </w:r>
      <w:r>
        <w:rPr>
          <w:rFonts w:hint="default" w:cs="Times New Roman"/>
          <w:lang w:val="en-US" w:eastAsia="zh-CN"/>
        </w:rPr>
        <w:t>61.3</w:t>
      </w:r>
      <w:r>
        <w:rPr>
          <w:rFonts w:cs="Times New Roman"/>
        </w:rPr>
        <w:t>%、5</w:t>
      </w:r>
      <w:r>
        <w:rPr>
          <w:rFonts w:hint="default" w:cs="Times New Roman"/>
          <w:lang w:val="en-US" w:eastAsia="zh-CN"/>
        </w:rPr>
        <w:t>1</w:t>
      </w:r>
      <w:r>
        <w:rPr>
          <w:rFonts w:cs="Times New Roman"/>
        </w:rPr>
        <w:t>%。漕河泾综合保税区五大中心</w:t>
      </w:r>
      <w:r>
        <w:rPr>
          <w:rStyle w:val="29"/>
          <w:rFonts w:cs="Times New Roman"/>
        </w:rPr>
        <w:footnoteReference w:id="2"/>
      </w:r>
      <w:r>
        <w:rPr>
          <w:rFonts w:cs="Times New Roman"/>
        </w:rPr>
        <w:t>建设稳步推进。</w:t>
      </w:r>
      <w:r>
        <w:rPr>
          <w:rFonts w:cs="Times New Roman"/>
          <w:b/>
          <w:bCs/>
        </w:rPr>
        <w:t>楼宇经济提质增效</w:t>
      </w:r>
      <w:r>
        <w:rPr>
          <w:rFonts w:hint="default" w:cs="Times New Roman"/>
          <w:b/>
          <w:bCs/>
          <w:lang w:eastAsia="zh-CN"/>
        </w:rPr>
        <w:t>。</w:t>
      </w:r>
      <w:r>
        <w:rPr>
          <w:rFonts w:cs="Times New Roman"/>
          <w:b w:val="0"/>
          <w:bCs w:val="0"/>
        </w:rPr>
        <w:t>涌现一批优质</w:t>
      </w:r>
      <w:r>
        <w:rPr>
          <w:rFonts w:hint="default" w:cs="Times New Roman"/>
          <w:b w:val="0"/>
          <w:bCs w:val="0"/>
          <w:lang w:val="en-US" w:eastAsia="zh-CN"/>
        </w:rPr>
        <w:t>特色</w:t>
      </w:r>
      <w:r>
        <w:rPr>
          <w:rFonts w:cs="Times New Roman"/>
          <w:b w:val="0"/>
          <w:bCs w:val="0"/>
        </w:rPr>
        <w:t>楼宇</w:t>
      </w:r>
      <w:r>
        <w:rPr>
          <w:rFonts w:hint="default" w:cs="Times New Roman"/>
          <w:b w:val="0"/>
          <w:bCs w:val="0"/>
          <w:lang w:eastAsia="zh-CN"/>
        </w:rPr>
        <w:t>，</w:t>
      </w:r>
      <w:r>
        <w:rPr>
          <w:rFonts w:cs="Times New Roman"/>
        </w:rPr>
        <w:t>如利丰广场整体升级改造，打造汇集产业、科技、金融资源等核心要素的</w:t>
      </w:r>
      <w:r>
        <w:rPr>
          <w:rFonts w:hint="default" w:ascii="Times New Roman" w:hAnsi="Times New Roman" w:cs="Times New Roman"/>
          <w:lang w:eastAsia="zh-CN"/>
        </w:rPr>
        <w:t>“</w:t>
      </w:r>
      <w:r>
        <w:rPr>
          <w:rFonts w:cs="Times New Roman"/>
        </w:rPr>
        <w:t>AI+时尚</w:t>
      </w:r>
      <w:r>
        <w:rPr>
          <w:rFonts w:hint="default" w:ascii="Times New Roman" w:hAnsi="Times New Roman" w:cs="Times New Roman"/>
          <w:lang w:eastAsia="zh-CN"/>
        </w:rPr>
        <w:t>”</w:t>
      </w:r>
      <w:r>
        <w:rPr>
          <w:rFonts w:cs="Times New Roman"/>
        </w:rPr>
        <w:t>产业活力社区</w:t>
      </w:r>
      <w:r>
        <w:rPr>
          <w:rFonts w:hint="default" w:cs="Times New Roman"/>
          <w:lang w:eastAsia="zh-CN"/>
        </w:rPr>
        <w:t>；</w:t>
      </w:r>
      <w:r>
        <w:rPr>
          <w:rFonts w:cs="Times New Roman"/>
        </w:rPr>
        <w:t>临港莘海科技园定位</w:t>
      </w:r>
      <w:r>
        <w:rPr>
          <w:rFonts w:hint="default" w:ascii="Times New Roman" w:hAnsi="Times New Roman" w:cs="Times New Roman"/>
          <w:lang w:eastAsia="zh-CN"/>
        </w:rPr>
        <w:t>“</w:t>
      </w:r>
      <w:r>
        <w:rPr>
          <w:rFonts w:cs="Times New Roman"/>
        </w:rPr>
        <w:t>工业软件+集成电路</w:t>
      </w:r>
      <w:r>
        <w:rPr>
          <w:rFonts w:hint="default" w:ascii="Times New Roman" w:hAnsi="Times New Roman" w:cs="Times New Roman"/>
          <w:lang w:eastAsia="zh-CN"/>
        </w:rPr>
        <w:t>”</w:t>
      </w:r>
      <w:r>
        <w:rPr>
          <w:rFonts w:cs="Times New Roman"/>
        </w:rPr>
        <w:t>，吸引麦杰科技、熙流科技等</w:t>
      </w:r>
      <w:r>
        <w:rPr>
          <w:rFonts w:hint="default" w:cs="Times New Roman"/>
          <w:lang w:val="en-US" w:eastAsia="zh-CN"/>
        </w:rPr>
        <w:t>优质</w:t>
      </w:r>
      <w:r>
        <w:rPr>
          <w:rFonts w:cs="Times New Roman"/>
        </w:rPr>
        <w:t>企业入驻。</w:t>
      </w:r>
      <w:r>
        <w:rPr>
          <w:rFonts w:cs="Times New Roman"/>
          <w:b/>
          <w:bCs/>
        </w:rPr>
        <w:t>在线经济普及深化。</w:t>
      </w:r>
      <w:r>
        <w:rPr>
          <w:rFonts w:hint="default" w:cs="Times New Roman"/>
          <w:b w:val="0"/>
          <w:bCs w:val="0"/>
          <w:lang w:val="en-US" w:eastAsia="zh-CN"/>
        </w:rPr>
        <w:t>唯品会、</w:t>
      </w:r>
      <w:r>
        <w:rPr>
          <w:rFonts w:cs="Times New Roman"/>
        </w:rPr>
        <w:t>哈</w:t>
      </w:r>
      <w:r>
        <w:rPr>
          <w:rFonts w:eastAsia="仿宋_GB2312" w:cs="Times New Roman"/>
        </w:rPr>
        <w:t>啰</w:t>
      </w:r>
      <w:r>
        <w:rPr>
          <w:rFonts w:cs="Times New Roman"/>
        </w:rPr>
        <w:t>、</w:t>
      </w:r>
      <w:r>
        <w:rPr>
          <w:rFonts w:hint="default" w:cs="Times New Roman"/>
        </w:rPr>
        <w:t>沐瞳</w:t>
      </w:r>
      <w:r>
        <w:rPr>
          <w:rFonts w:cs="Times New Roman"/>
        </w:rPr>
        <w:t>科技、喜马拉雅等一批重点企业成为增长新动能。</w:t>
      </w:r>
    </w:p>
    <w:p>
      <w:pPr>
        <w:pStyle w:val="4"/>
        <w:ind w:firstLine="643"/>
        <w:rPr>
          <w:rFonts w:cs="Times New Roman"/>
          <w:w w:val="99"/>
        </w:rPr>
      </w:pPr>
      <w:bookmarkStart w:id="36" w:name="_Toc15654"/>
      <w:bookmarkStart w:id="37" w:name="_Toc25158"/>
      <w:bookmarkStart w:id="38" w:name="_Toc20647"/>
      <w:bookmarkStart w:id="39" w:name="_Toc7509"/>
      <w:bookmarkStart w:id="40" w:name="_Toc31989"/>
      <w:bookmarkStart w:id="41" w:name="_Toc202369041"/>
      <w:r>
        <w:rPr>
          <w:rFonts w:cs="Times New Roman"/>
          <w:w w:val="99"/>
        </w:rPr>
        <w:t>4、服务业集聚格局基本成型，</w:t>
      </w:r>
      <w:r>
        <w:rPr>
          <w:rFonts w:hint="eastAsia" w:cs="Times New Roman"/>
          <w:w w:val="99"/>
          <w:lang w:val="en-US" w:eastAsia="zh-CN"/>
        </w:rPr>
        <w:t>重点</w:t>
      </w:r>
      <w:r>
        <w:rPr>
          <w:rFonts w:cs="Times New Roman"/>
          <w:w w:val="99"/>
        </w:rPr>
        <w:t>商务区引领作用显现</w:t>
      </w:r>
      <w:bookmarkEnd w:id="34"/>
      <w:bookmarkEnd w:id="35"/>
      <w:bookmarkEnd w:id="36"/>
      <w:bookmarkEnd w:id="37"/>
      <w:bookmarkEnd w:id="38"/>
      <w:bookmarkEnd w:id="39"/>
      <w:bookmarkEnd w:id="40"/>
      <w:bookmarkEnd w:id="41"/>
    </w:p>
    <w:p>
      <w:pPr>
        <w:ind w:firstLine="640"/>
        <w:rPr>
          <w:rFonts w:cs="Times New Roman"/>
          <w:color w:val="000000"/>
          <w:kern w:val="0"/>
          <w:szCs w:val="32"/>
          <w:lang w:bidi="ar"/>
        </w:rPr>
      </w:pPr>
      <w:r>
        <w:rPr>
          <w:rFonts w:cs="Times New Roman"/>
        </w:rPr>
        <w:t>虹桥国际中央商务区（闵行部分）总部类企业达到</w:t>
      </w:r>
      <w:r>
        <w:rPr>
          <w:rFonts w:hint="default" w:cs="Times New Roman"/>
          <w:lang w:val="en-US" w:eastAsia="zh-CN"/>
        </w:rPr>
        <w:t>300</w:t>
      </w:r>
      <w:r>
        <w:rPr>
          <w:rFonts w:cs="Times New Roman"/>
        </w:rPr>
        <w:t>家左右，2025年完成税收1</w:t>
      </w:r>
      <w:r>
        <w:rPr>
          <w:rFonts w:hint="default" w:cs="Times New Roman"/>
          <w:lang w:val="en-US" w:eastAsia="zh-CN"/>
        </w:rPr>
        <w:t>09.61</w:t>
      </w:r>
      <w:r>
        <w:rPr>
          <w:rFonts w:cs="Times New Roman"/>
        </w:rPr>
        <w:t>亿元，较2020年增长</w:t>
      </w:r>
      <w:r>
        <w:rPr>
          <w:rFonts w:hint="default" w:cs="Times New Roman"/>
          <w:lang w:val="en-US" w:eastAsia="zh-CN"/>
        </w:rPr>
        <w:t>130%</w:t>
      </w:r>
      <w:r>
        <w:rPr>
          <w:rFonts w:cs="Times New Roman"/>
        </w:rPr>
        <w:t>，中国上海人力资源服务产业园虹桥园区、虹桥国际中央法务区入选市服务业创新发展示范区，虹桥品汇B栋虹桥工业品全球服务中心揭牌，</w:t>
      </w:r>
      <w:r>
        <w:rPr>
          <w:rFonts w:hint="default" w:ascii="Times New Roman" w:hAnsi="Times New Roman" w:cs="Times New Roman"/>
          <w:lang w:eastAsia="zh-CN"/>
        </w:rPr>
        <w:t>“</w:t>
      </w:r>
      <w:r>
        <w:rPr>
          <w:rFonts w:cs="Times New Roman"/>
        </w:rPr>
        <w:t>丝路电商</w:t>
      </w:r>
      <w:r>
        <w:rPr>
          <w:rFonts w:hint="default" w:ascii="Times New Roman" w:hAnsi="Times New Roman" w:cs="Times New Roman"/>
          <w:lang w:eastAsia="zh-CN"/>
        </w:rPr>
        <w:t>”</w:t>
      </w:r>
      <w:r>
        <w:rPr>
          <w:rFonts w:cs="Times New Roman"/>
        </w:rPr>
        <w:t>辐射引领区建设加快推进</w:t>
      </w:r>
      <w:r>
        <w:rPr>
          <w:rFonts w:cs="Times New Roman"/>
          <w:highlight w:val="none"/>
        </w:rPr>
        <w:t>。</w:t>
      </w:r>
      <w:r>
        <w:rPr>
          <w:rFonts w:hint="default" w:ascii="Times New Roman" w:hAnsi="Times New Roman" w:cs="Times New Roman"/>
          <w:highlight w:val="none"/>
          <w:lang w:eastAsia="zh-CN"/>
        </w:rPr>
        <w:t>“</w:t>
      </w:r>
      <w:r>
        <w:rPr>
          <w:rFonts w:cs="Times New Roman"/>
          <w:highlight w:val="none"/>
        </w:rPr>
        <w:t>大零号湾</w:t>
      </w:r>
      <w:r>
        <w:rPr>
          <w:rFonts w:hint="default" w:ascii="Times New Roman" w:hAnsi="Times New Roman" w:cs="Times New Roman"/>
          <w:highlight w:val="none"/>
          <w:lang w:eastAsia="zh-CN"/>
        </w:rPr>
        <w:t>”</w:t>
      </w:r>
      <w:r>
        <w:rPr>
          <w:rFonts w:hint="default" w:cs="Times New Roman"/>
          <w:highlight w:val="none"/>
        </w:rPr>
        <w:t>科技创新策源功能区核心区入选市服务业创新发展示范区</w:t>
      </w:r>
      <w:r>
        <w:rPr>
          <w:rFonts w:hint="default" w:cs="Times New Roman"/>
          <w:szCs w:val="32"/>
          <w:lang w:eastAsia="zh-CN"/>
        </w:rPr>
        <w:t>。</w:t>
      </w:r>
      <w:r>
        <w:rPr>
          <w:rFonts w:cs="Times New Roman"/>
          <w:highlight w:val="none"/>
        </w:rPr>
        <w:t>莘庄商务区出台集成电路产业政策</w:t>
      </w:r>
      <w:r>
        <w:rPr>
          <w:rFonts w:hint="default" w:ascii="Times New Roman" w:hAnsi="Times New Roman" w:cs="Times New Roman"/>
          <w:highlight w:val="none"/>
          <w:lang w:eastAsia="zh-CN"/>
        </w:rPr>
        <w:t>“</w:t>
      </w:r>
      <w:r>
        <w:rPr>
          <w:rFonts w:cs="Times New Roman"/>
          <w:highlight w:val="none"/>
        </w:rPr>
        <w:t>莘十条</w:t>
      </w:r>
      <w:r>
        <w:rPr>
          <w:rFonts w:hint="default" w:ascii="Times New Roman" w:hAnsi="Times New Roman" w:cs="Times New Roman"/>
          <w:lang w:eastAsia="zh-CN"/>
        </w:rPr>
        <w:t>”</w:t>
      </w:r>
      <w:r>
        <w:rPr>
          <w:rFonts w:cs="Times New Roman"/>
        </w:rPr>
        <w:t>，吸引了3000多家企业扎根发展。</w:t>
      </w:r>
      <w:r>
        <w:rPr>
          <w:rFonts w:cs="Times New Roman"/>
          <w:color w:val="000000"/>
          <w:kern w:val="0"/>
          <w:szCs w:val="32"/>
          <w:lang w:bidi="ar"/>
        </w:rPr>
        <w:t>七宝生态商务区吸引</w:t>
      </w:r>
      <w:r>
        <w:rPr>
          <w:rFonts w:hint="default" w:cs="Times New Roman"/>
          <w:color w:val="000000"/>
          <w:kern w:val="0"/>
          <w:szCs w:val="32"/>
          <w:lang w:val="en-US" w:eastAsia="zh-CN" w:bidi="ar"/>
        </w:rPr>
        <w:t>500</w:t>
      </w:r>
      <w:r>
        <w:rPr>
          <w:rFonts w:cs="Times New Roman"/>
          <w:color w:val="000000"/>
          <w:kern w:val="0"/>
          <w:szCs w:val="32"/>
          <w:lang w:bidi="ar"/>
        </w:rPr>
        <w:t>多家企业入驻办公，百万税收以上企业60余家。</w:t>
      </w:r>
      <w:r>
        <w:rPr>
          <w:rFonts w:cs="Times New Roman"/>
        </w:rPr>
        <w:t>吴中路商务区、莘庄综合枢纽商务区等立足自身定位，实现特色发展。</w:t>
      </w:r>
    </w:p>
    <w:p>
      <w:pPr>
        <w:pStyle w:val="4"/>
        <w:ind w:firstLine="643"/>
        <w:rPr>
          <w:rFonts w:cs="Times New Roman"/>
          <w:w w:val="99"/>
        </w:rPr>
      </w:pPr>
      <w:bookmarkStart w:id="42" w:name="_Toc201930499"/>
      <w:bookmarkStart w:id="43" w:name="_Toc202369042"/>
      <w:bookmarkStart w:id="44" w:name="_Toc17465"/>
      <w:bookmarkStart w:id="45" w:name="_Toc4317"/>
      <w:bookmarkStart w:id="46" w:name="_Toc3152"/>
      <w:bookmarkStart w:id="47" w:name="_Toc32053"/>
      <w:bookmarkStart w:id="48" w:name="_Toc201930725"/>
      <w:bookmarkStart w:id="49" w:name="_Toc17244"/>
      <w:r>
        <w:rPr>
          <w:rFonts w:cs="Times New Roman"/>
          <w:w w:val="99"/>
        </w:rPr>
        <w:t>5、服务业政策环境日臻完善，产业发展支撑力加速释放</w:t>
      </w:r>
      <w:bookmarkEnd w:id="42"/>
      <w:bookmarkEnd w:id="43"/>
      <w:bookmarkEnd w:id="44"/>
      <w:bookmarkEnd w:id="45"/>
      <w:bookmarkEnd w:id="46"/>
      <w:bookmarkEnd w:id="47"/>
      <w:bookmarkEnd w:id="48"/>
      <w:bookmarkEnd w:id="49"/>
    </w:p>
    <w:p>
      <w:pPr>
        <w:ind w:firstLine="640"/>
        <w:rPr>
          <w:rFonts w:cs="Times New Roman"/>
        </w:rPr>
      </w:pPr>
      <w:r>
        <w:rPr>
          <w:rFonts w:cs="Times New Roman"/>
          <w:b/>
          <w:bCs/>
        </w:rPr>
        <w:t>政策创新突破加快落地。</w:t>
      </w:r>
      <w:r>
        <w:rPr>
          <w:rFonts w:cs="Times New Roman"/>
        </w:rPr>
        <w:t>《关于推进上海自贸试验区闵行联动创新区建设的实施方案》发布</w:t>
      </w:r>
      <w:r>
        <w:rPr>
          <w:rFonts w:hint="eastAsia" w:cs="Times New Roman"/>
          <w:lang w:eastAsia="zh-CN"/>
        </w:rPr>
        <w:t>，</w:t>
      </w:r>
      <w:r>
        <w:rPr>
          <w:rFonts w:cs="Times New Roman"/>
        </w:rPr>
        <w:t>制定出台《</w:t>
      </w:r>
      <w:r>
        <w:rPr>
          <w:rFonts w:hint="default" w:cs="Times New Roman"/>
          <w:lang w:val="en-US" w:eastAsia="zh-CN"/>
        </w:rPr>
        <w:t>中共闵行区委关于深入学习贯彻十二届市委三次全会精神推动</w:t>
      </w:r>
      <w:r>
        <w:rPr>
          <w:rFonts w:cs="Times New Roman"/>
        </w:rPr>
        <w:t>虹桥国际中央商务区高水平开放</w:t>
      </w:r>
      <w:r>
        <w:rPr>
          <w:rFonts w:hint="default" w:cs="Times New Roman"/>
          <w:lang w:val="en-US" w:eastAsia="zh-CN"/>
        </w:rPr>
        <w:t>发展的</w:t>
      </w:r>
      <w:r>
        <w:rPr>
          <w:rFonts w:cs="Times New Roman"/>
        </w:rPr>
        <w:t>实施意见》，借势两轮30项虹桥国家政策落地，11项政策属于全市率先应用。</w:t>
      </w:r>
      <w:r>
        <w:rPr>
          <w:rFonts w:cs="Times New Roman"/>
          <w:b/>
          <w:bCs/>
        </w:rPr>
        <w:t>政策体系不断完善。</w:t>
      </w:r>
      <w:r>
        <w:rPr>
          <w:rFonts w:cs="Times New Roman"/>
        </w:rPr>
        <w:t>制定并印发《闵行区关于大力推进现代服务业高质量发展的若干政策意见》及配套操作细则</w:t>
      </w:r>
      <w:r>
        <w:rPr>
          <w:rFonts w:hint="default" w:cs="Times New Roman"/>
          <w:lang w:eastAsia="zh-CN"/>
        </w:rPr>
        <w:t>、</w:t>
      </w:r>
      <w:r>
        <w:rPr>
          <w:rFonts w:cs="Times New Roman"/>
        </w:rPr>
        <w:t>《闵行区关于推动数字贸易高质量发展的实施意见》《闵行区商圈更新建设三年行动方案》</w:t>
      </w:r>
      <w:r>
        <w:rPr>
          <w:rFonts w:hint="default" w:cs="Times New Roman"/>
          <w:lang w:val="en-US" w:eastAsia="zh-CN"/>
        </w:rPr>
        <w:t>等一系列政策文件</w:t>
      </w:r>
      <w:r>
        <w:rPr>
          <w:rFonts w:cs="Times New Roman"/>
        </w:rPr>
        <w:t>。</w:t>
      </w:r>
    </w:p>
    <w:p>
      <w:pPr>
        <w:keepNext/>
        <w:keepLines/>
        <w:spacing w:before="120" w:after="120"/>
        <w:ind w:firstLine="643"/>
        <w:outlineLvl w:val="1"/>
        <w:rPr>
          <w:rFonts w:eastAsia="楷体" w:cs="Times New Roman"/>
          <w:b/>
          <w:szCs w:val="40"/>
        </w:rPr>
      </w:pPr>
      <w:bookmarkStart w:id="50" w:name="_Toc5594"/>
      <w:bookmarkStart w:id="51" w:name="_Toc201310188"/>
      <w:bookmarkStart w:id="52" w:name="_Toc29213"/>
      <w:bookmarkStart w:id="53" w:name="_Toc19265"/>
      <w:bookmarkStart w:id="54" w:name="_Toc27995"/>
      <w:r>
        <w:rPr>
          <w:rFonts w:eastAsia="楷体" w:cs="Times New Roman"/>
          <w:b/>
          <w:szCs w:val="40"/>
        </w:rPr>
        <w:t>（二）存在问题</w:t>
      </w:r>
      <w:bookmarkEnd w:id="50"/>
      <w:bookmarkEnd w:id="51"/>
      <w:bookmarkEnd w:id="52"/>
      <w:bookmarkEnd w:id="53"/>
      <w:bookmarkEnd w:id="54"/>
    </w:p>
    <w:p>
      <w:pPr>
        <w:ind w:firstLine="640"/>
        <w:rPr>
          <w:rFonts w:cs="Times New Roman"/>
          <w:color w:val="000000"/>
          <w:kern w:val="0"/>
          <w:szCs w:val="32"/>
          <w:lang w:bidi="ar"/>
        </w:rPr>
      </w:pPr>
      <w:r>
        <w:rPr>
          <w:rFonts w:cs="Times New Roman"/>
          <w:color w:val="000000"/>
          <w:kern w:val="0"/>
          <w:szCs w:val="32"/>
          <w:lang w:bidi="ar"/>
        </w:rPr>
        <w:t>对标国内外一流水平，闵行现代服务业在主体能级、载体效能、创新水平等方面还存在短板不足。</w:t>
      </w:r>
    </w:p>
    <w:p>
      <w:pPr>
        <w:ind w:firstLine="643"/>
        <w:rPr>
          <w:rFonts w:cs="Times New Roman"/>
        </w:rPr>
      </w:pPr>
      <w:r>
        <w:rPr>
          <w:rFonts w:cs="Times New Roman"/>
          <w:b/>
          <w:bCs/>
        </w:rPr>
        <w:t>1、企业</w:t>
      </w:r>
      <w:r>
        <w:rPr>
          <w:rFonts w:hint="default" w:ascii="Times New Roman" w:hAnsi="Times New Roman" w:cs="Times New Roman"/>
          <w:b/>
          <w:bCs/>
          <w:lang w:eastAsia="zh-CN"/>
        </w:rPr>
        <w:t>“</w:t>
      </w:r>
      <w:r>
        <w:rPr>
          <w:rFonts w:cs="Times New Roman"/>
          <w:b/>
          <w:bCs/>
        </w:rPr>
        <w:t>量大而不强</w:t>
      </w:r>
      <w:r>
        <w:rPr>
          <w:rFonts w:hint="default" w:ascii="Times New Roman" w:hAnsi="Times New Roman" w:cs="Times New Roman"/>
          <w:b/>
          <w:bCs/>
          <w:lang w:eastAsia="zh-CN"/>
        </w:rPr>
        <w:t>”</w:t>
      </w:r>
      <w:r>
        <w:rPr>
          <w:rFonts w:cs="Times New Roman"/>
          <w:b/>
          <w:bCs/>
        </w:rPr>
        <w:t>，能级有待进一步提高。</w:t>
      </w:r>
      <w:r>
        <w:rPr>
          <w:rFonts w:hint="eastAsia" w:cs="Times New Roman"/>
          <w:highlight w:val="none"/>
        </w:rPr>
        <w:t>闵行规模以上服务业企业数占全市比重从2020年9.2%到2025</w:t>
      </w:r>
      <w:r>
        <w:rPr>
          <w:rFonts w:hint="eastAsia" w:cs="Times New Roman"/>
          <w:highlight w:val="none"/>
          <w:lang w:val="en-US" w:eastAsia="zh-CN"/>
        </w:rPr>
        <w:t>年</w:t>
      </w:r>
      <w:r>
        <w:rPr>
          <w:rFonts w:hint="eastAsia" w:cs="Times New Roman"/>
          <w:highlight w:val="none"/>
        </w:rPr>
        <w:t>10.8%，但2025年规模以上服务业营收规模仅占全市4.9%，户均营收1.32亿元，全市均值2.90亿元</w:t>
      </w:r>
      <w:r>
        <w:rPr>
          <w:rFonts w:hint="eastAsia" w:cs="Times New Roman"/>
          <w:highlight w:val="none"/>
          <w:lang w:eastAsia="zh-CN"/>
        </w:rPr>
        <w:t>。</w:t>
      </w:r>
    </w:p>
    <w:p>
      <w:pPr>
        <w:ind w:firstLine="643"/>
        <w:rPr>
          <w:rFonts w:cs="Times New Roman"/>
        </w:rPr>
      </w:pPr>
      <w:r>
        <w:rPr>
          <w:rFonts w:cs="Times New Roman"/>
          <w:b/>
          <w:bCs/>
        </w:rPr>
        <w:t>2、载体特色不显，楼宇产出效率增长放缓。</w:t>
      </w:r>
      <w:r>
        <w:rPr>
          <w:rFonts w:cs="Times New Roman"/>
        </w:rPr>
        <w:t>部分商务区仍以传统、低端服务业为主，产业集聚发展的特色和品牌尚未彰显。同时，楼宇经济去化压力显著增大，202</w:t>
      </w:r>
      <w:r>
        <w:rPr>
          <w:rFonts w:hint="default" w:ascii="Times New Roman" w:hAnsi="Times New Roman" w:cs="Times New Roman"/>
          <w:lang w:eastAsia="zh-CN"/>
        </w:rPr>
        <w:t>5</w:t>
      </w:r>
      <w:r>
        <w:rPr>
          <w:rFonts w:cs="Times New Roman"/>
        </w:rPr>
        <w:t>年虹桥商务区枢纽片区与莘庄商务区甲级写字楼空置率分别达到</w:t>
      </w:r>
      <w:r>
        <w:rPr>
          <w:rFonts w:hint="default" w:ascii="Times New Roman" w:hAnsi="Times New Roman" w:cs="Times New Roman"/>
          <w:lang w:eastAsia="zh-CN"/>
        </w:rPr>
        <w:t>2</w:t>
      </w:r>
      <w:r>
        <w:rPr>
          <w:rFonts w:hint="default" w:ascii="Times New Roman" w:hAnsi="Times New Roman" w:cs="Times New Roman"/>
          <w:lang w:val="en-US" w:eastAsia="zh-CN"/>
        </w:rPr>
        <w:t>0.8</w:t>
      </w:r>
      <w:r>
        <w:rPr>
          <w:rFonts w:cs="Times New Roman"/>
        </w:rPr>
        <w:t>%和</w:t>
      </w:r>
      <w:r>
        <w:rPr>
          <w:rFonts w:hint="default" w:ascii="Times New Roman" w:hAnsi="Times New Roman" w:cs="Times New Roman"/>
          <w:lang w:eastAsia="zh-CN"/>
        </w:rPr>
        <w:t>3</w:t>
      </w:r>
      <w:r>
        <w:rPr>
          <w:rFonts w:hint="default" w:ascii="Times New Roman" w:hAnsi="Times New Roman" w:cs="Times New Roman"/>
          <w:lang w:val="en-US" w:eastAsia="zh-CN"/>
        </w:rPr>
        <w:t>2.9</w:t>
      </w:r>
      <w:r>
        <w:rPr>
          <w:rFonts w:cs="Times New Roman"/>
        </w:rPr>
        <w:t>%</w:t>
      </w:r>
      <w:r>
        <w:rPr>
          <w:rStyle w:val="29"/>
          <w:rFonts w:cs="Times New Roman"/>
        </w:rPr>
        <w:footnoteReference w:id="3"/>
      </w:r>
      <w:r>
        <w:rPr>
          <w:rFonts w:cs="Times New Roman"/>
        </w:rPr>
        <w:t>。</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时期仍有一定规模商业商务用地入市。</w:t>
      </w:r>
    </w:p>
    <w:p>
      <w:pPr>
        <w:ind w:firstLine="643"/>
        <w:rPr>
          <w:rFonts w:hint="default" w:eastAsia="仿宋_GB2312" w:cs="Times New Roman"/>
          <w:lang w:val="en-US" w:eastAsia="zh-CN"/>
        </w:rPr>
      </w:pPr>
      <w:r>
        <w:rPr>
          <w:rFonts w:cs="Times New Roman"/>
          <w:b/>
          <w:bCs/>
        </w:rPr>
        <w:t>3、创新动能不足，制约新质生产力培育。</w:t>
      </w:r>
      <w:r>
        <w:rPr>
          <w:rFonts w:cs="Times New Roman"/>
        </w:rPr>
        <w:t>服务业产业发展对风口技术、新兴模式还不够敏感，服务业创新生态还需进一步完善</w:t>
      </w:r>
      <w:r>
        <w:rPr>
          <w:rFonts w:cs="Times New Roman"/>
          <w:highlight w:val="none"/>
        </w:rPr>
        <w:t>。</w:t>
      </w:r>
      <w:r>
        <w:rPr>
          <w:rFonts w:cs="Times New Roman"/>
        </w:rPr>
        <w:t>软件信息、人工</w:t>
      </w:r>
      <w:r>
        <w:rPr>
          <w:rFonts w:cs="Times New Roman"/>
          <w:highlight w:val="none"/>
        </w:rPr>
        <w:t>智能等新质生产力规模还较小，202</w:t>
      </w:r>
      <w:r>
        <w:rPr>
          <w:rFonts w:hint="eastAsia" w:cs="Times New Roman"/>
          <w:highlight w:val="none"/>
          <w:lang w:val="en-US" w:eastAsia="zh-CN"/>
        </w:rPr>
        <w:t>5</w:t>
      </w:r>
      <w:r>
        <w:rPr>
          <w:rFonts w:cs="Times New Roman"/>
          <w:highlight w:val="none"/>
        </w:rPr>
        <w:t>年营收分别为5</w:t>
      </w:r>
      <w:r>
        <w:rPr>
          <w:rFonts w:hint="eastAsia" w:cs="Times New Roman"/>
          <w:highlight w:val="none"/>
          <w:lang w:eastAsia="zh-CN"/>
        </w:rPr>
        <w:t>7</w:t>
      </w:r>
      <w:r>
        <w:rPr>
          <w:rFonts w:hint="eastAsia" w:cs="Times New Roman"/>
          <w:highlight w:val="none"/>
          <w:lang w:val="en-US" w:eastAsia="zh-CN"/>
        </w:rPr>
        <w:t>3.7</w:t>
      </w:r>
      <w:r>
        <w:rPr>
          <w:rFonts w:cs="Times New Roman"/>
          <w:highlight w:val="none"/>
        </w:rPr>
        <w:t>亿元、</w:t>
      </w:r>
      <w:r>
        <w:rPr>
          <w:rFonts w:hint="eastAsia" w:cs="Times New Roman"/>
          <w:highlight w:val="none"/>
          <w:lang w:eastAsia="zh-CN"/>
        </w:rPr>
        <w:t>3</w:t>
      </w:r>
      <w:r>
        <w:rPr>
          <w:rFonts w:hint="eastAsia" w:cs="Times New Roman"/>
          <w:highlight w:val="none"/>
          <w:lang w:val="en-US" w:eastAsia="zh-CN"/>
        </w:rPr>
        <w:t>48.13</w:t>
      </w:r>
      <w:r>
        <w:rPr>
          <w:rFonts w:cs="Times New Roman"/>
          <w:highlight w:val="none"/>
        </w:rPr>
        <w:t>亿元（人工智能中的商业、服务业部分）。</w:t>
      </w:r>
    </w:p>
    <w:p>
      <w:pPr>
        <w:ind w:firstLine="643"/>
        <w:rPr>
          <w:rFonts w:cs="Times New Roman"/>
        </w:rPr>
      </w:pPr>
      <w:r>
        <w:rPr>
          <w:rFonts w:cs="Times New Roman"/>
          <w:b/>
          <w:bCs/>
        </w:rPr>
        <w:t>4、消费增长乏力，城市品质配套仍需提升。</w:t>
      </w:r>
      <w:r>
        <w:rPr>
          <w:rFonts w:hint="default" w:ascii="Times New Roman" w:hAnsi="Times New Roman" w:cs="Times New Roman"/>
          <w:lang w:eastAsia="zh-CN"/>
        </w:rPr>
        <w:t>“</w:t>
      </w:r>
      <w:r>
        <w:rPr>
          <w:rFonts w:cs="Times New Roman"/>
        </w:rPr>
        <w:t>十四五</w:t>
      </w:r>
      <w:r>
        <w:rPr>
          <w:rFonts w:hint="default" w:ascii="Times New Roman" w:hAnsi="Times New Roman" w:cs="Times New Roman"/>
          <w:lang w:eastAsia="zh-CN"/>
        </w:rPr>
        <w:t>”</w:t>
      </w:r>
      <w:r>
        <w:rPr>
          <w:rFonts w:cs="Times New Roman"/>
        </w:rPr>
        <w:t>期间社会消费品零售总额总体呈波动下降态势</w:t>
      </w:r>
      <w:r>
        <w:rPr>
          <w:rFonts w:hint="eastAsia" w:cs="Times New Roman"/>
          <w:lang w:eastAsia="zh-CN"/>
        </w:rPr>
        <w:t>。</w:t>
      </w:r>
      <w:r>
        <w:rPr>
          <w:rFonts w:hint="default" w:ascii="Times New Roman" w:hAnsi="Times New Roman" w:cs="Times New Roman"/>
          <w:lang w:val="en-US" w:eastAsia="zh-CN"/>
        </w:rPr>
        <w:t>2025年</w:t>
      </w:r>
      <w:r>
        <w:rPr>
          <w:rFonts w:hint="default" w:cs="Times New Roman"/>
          <w:highlight w:val="none"/>
          <w:lang w:val="en-US" w:eastAsia="zh-CN"/>
        </w:rPr>
        <w:t>商圈</w:t>
      </w:r>
      <w:r>
        <w:rPr>
          <w:rFonts w:hint="default" w:ascii="Times New Roman" w:hAnsi="Times New Roman" w:cs="Times New Roman"/>
          <w:highlight w:val="none"/>
          <w:lang w:val="en-US" w:eastAsia="zh-CN"/>
        </w:rPr>
        <w:t>累计</w:t>
      </w:r>
      <w:r>
        <w:rPr>
          <w:rFonts w:hint="default" w:cs="Times New Roman"/>
          <w:highlight w:val="none"/>
          <w:lang w:val="en-US" w:eastAsia="zh-CN"/>
        </w:rPr>
        <w:t>消费较去年</w:t>
      </w:r>
      <w:r>
        <w:rPr>
          <w:rFonts w:hint="eastAsia" w:ascii="Times New Roman" w:hAnsi="Times New Roman" w:cs="Times New Roman"/>
          <w:highlight w:val="none"/>
          <w:lang w:val="en-US" w:eastAsia="zh-CN"/>
        </w:rPr>
        <w:t>同期</w:t>
      </w:r>
      <w:r>
        <w:rPr>
          <w:rFonts w:hint="default" w:ascii="Times New Roman" w:hAnsi="Times New Roman" w:cs="Times New Roman"/>
          <w:highlight w:val="none"/>
          <w:lang w:val="en-US" w:eastAsia="zh-CN"/>
        </w:rPr>
        <w:t>下降3.5%，</w:t>
      </w:r>
      <w:r>
        <w:rPr>
          <w:rFonts w:cs="Times New Roman"/>
        </w:rPr>
        <w:t>主要</w:t>
      </w:r>
      <w:r>
        <w:rPr>
          <w:rFonts w:hint="default" w:cs="Times New Roman"/>
          <w:lang w:val="en-US" w:eastAsia="zh-CN"/>
        </w:rPr>
        <w:t>原因是</w:t>
      </w:r>
      <w:r>
        <w:rPr>
          <w:rFonts w:cs="Times New Roman"/>
        </w:rPr>
        <w:t>消费市场</w:t>
      </w:r>
      <w:r>
        <w:rPr>
          <w:rFonts w:hint="default" w:cs="Times New Roman"/>
          <w:lang w:val="en-US" w:eastAsia="zh-CN"/>
        </w:rPr>
        <w:t>的</w:t>
      </w:r>
      <w:r>
        <w:rPr>
          <w:rFonts w:cs="Times New Roman"/>
        </w:rPr>
        <w:t>整体疲软，</w:t>
      </w:r>
      <w:r>
        <w:rPr>
          <w:rFonts w:hint="default" w:ascii="Times New Roman" w:hAnsi="Times New Roman" w:cs="Times New Roman"/>
          <w:lang w:val="en-US" w:eastAsia="zh-CN"/>
        </w:rPr>
        <w:t>同时</w:t>
      </w:r>
      <w:r>
        <w:rPr>
          <w:rFonts w:cs="Times New Roman"/>
        </w:rPr>
        <w:t>商业体发展</w:t>
      </w:r>
      <w:r>
        <w:rPr>
          <w:rFonts w:hint="default" w:cs="Times New Roman"/>
          <w:lang w:val="en-US" w:eastAsia="zh-CN"/>
        </w:rPr>
        <w:t>也</w:t>
      </w:r>
      <w:r>
        <w:rPr>
          <w:rFonts w:cs="Times New Roman"/>
        </w:rPr>
        <w:t>存在一定客观问题，</w:t>
      </w:r>
      <w:r>
        <w:rPr>
          <w:rFonts w:hint="eastAsia" w:cs="Times New Roman"/>
          <w:lang w:val="en-US" w:eastAsia="zh-CN"/>
        </w:rPr>
        <w:t>区域</w:t>
      </w:r>
      <w:r>
        <w:rPr>
          <w:rFonts w:hint="eastAsia" w:ascii="仿宋_GB2312" w:hAnsi="仿宋_GB2312" w:cs="仿宋_GB2312"/>
          <w:color w:val="FF0000"/>
          <w:sz w:val="32"/>
          <w:szCs w:val="32"/>
          <w:highlight w:val="none"/>
          <w:lang w:val="en-US" w:eastAsia="zh-CN"/>
        </w:rPr>
        <w:t>多个</w:t>
      </w:r>
      <w:r>
        <w:rPr>
          <w:rFonts w:hint="eastAsia" w:ascii="Times New Roman" w:hAnsi="Times New Roman" w:cs="Times New Roman"/>
          <w:highlight w:val="none"/>
          <w:lang w:val="en-US" w:eastAsia="zh-CN"/>
        </w:rPr>
        <w:t>商业载体调整，</w:t>
      </w:r>
      <w:r>
        <w:rPr>
          <w:rFonts w:cs="Times New Roman"/>
          <w:color w:val="000000"/>
          <w:kern w:val="0"/>
          <w:szCs w:val="32"/>
          <w:highlight w:val="none"/>
          <w:lang w:bidi="ar"/>
        </w:rPr>
        <w:t>商业业态丰富度、消费环境舒适度、中高端品牌覆盖度等方面仍需</w:t>
      </w:r>
      <w:r>
        <w:rPr>
          <w:rFonts w:hint="eastAsia" w:cs="Times New Roman"/>
          <w:color w:val="000000"/>
          <w:kern w:val="0"/>
          <w:szCs w:val="32"/>
          <w:highlight w:val="none"/>
          <w:lang w:val="en-US" w:eastAsia="zh-CN" w:bidi="ar"/>
        </w:rPr>
        <w:t>提升</w:t>
      </w:r>
      <w:r>
        <w:rPr>
          <w:rFonts w:hint="eastAsia" w:cs="Times New Roman"/>
          <w:color w:val="000000"/>
          <w:kern w:val="0"/>
          <w:szCs w:val="32"/>
          <w:lang w:eastAsia="zh-CN" w:bidi="ar"/>
        </w:rPr>
        <w:t>。</w:t>
      </w:r>
    </w:p>
    <w:p>
      <w:pPr>
        <w:pStyle w:val="3"/>
        <w:ind w:firstLine="643"/>
        <w:rPr>
          <w:rFonts w:cs="Times New Roman"/>
        </w:rPr>
      </w:pPr>
      <w:bookmarkStart w:id="55" w:name="_Toc15942"/>
      <w:bookmarkStart w:id="56" w:name="_Toc11378"/>
      <w:bookmarkStart w:id="57" w:name="_Toc27062"/>
      <w:bookmarkStart w:id="58" w:name="_Toc201310189"/>
      <w:bookmarkStart w:id="59" w:name="_Toc28422"/>
      <w:r>
        <w:rPr>
          <w:rFonts w:cs="Times New Roman"/>
        </w:rPr>
        <w:t>（三）环境趋势</w:t>
      </w:r>
      <w:bookmarkEnd w:id="55"/>
      <w:bookmarkEnd w:id="56"/>
      <w:bookmarkEnd w:id="57"/>
      <w:bookmarkEnd w:id="58"/>
      <w:bookmarkEnd w:id="59"/>
    </w:p>
    <w:p>
      <w:pPr>
        <w:ind w:firstLine="640"/>
        <w:rPr>
          <w:rFonts w:cs="Times New Roman"/>
        </w:rPr>
      </w:pP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时期，</w:t>
      </w:r>
      <w:r>
        <w:rPr>
          <w:rFonts w:cs="Times New Roman"/>
          <w:b/>
          <w:bCs/>
        </w:rPr>
        <w:t>既是突破传统服务模式瓶颈的攻坚期，更是培育新型服务经济形态的战略机遇期，需要以系统性思维构建现代服务业发展新范式。</w:t>
      </w:r>
      <w:r>
        <w:rPr>
          <w:rFonts w:hint="eastAsia" w:cs="Times New Roman"/>
          <w:b/>
          <w:bCs/>
          <w:lang w:val="en-US" w:eastAsia="zh-CN"/>
        </w:rPr>
        <w:t>一是</w:t>
      </w:r>
      <w:bookmarkStart w:id="60" w:name="_Toc201930728"/>
      <w:bookmarkStart w:id="61" w:name="_Toc15034"/>
      <w:bookmarkStart w:id="62" w:name="_Toc243"/>
      <w:bookmarkStart w:id="63" w:name="_Toc23007"/>
      <w:bookmarkStart w:id="64" w:name="_Toc23212"/>
      <w:bookmarkStart w:id="65" w:name="_Toc202369045"/>
      <w:bookmarkStart w:id="66" w:name="_Toc201930502"/>
      <w:bookmarkStart w:id="67" w:name="_Toc12242"/>
      <w:r>
        <w:rPr>
          <w:rFonts w:cs="Times New Roman"/>
          <w:b/>
          <w:bCs/>
        </w:rPr>
        <w:t>产业技术变革</w:t>
      </w:r>
      <w:r>
        <w:rPr>
          <w:rFonts w:hint="default" w:cs="Times New Roman"/>
          <w:b/>
          <w:bCs/>
          <w:lang w:val="en-US" w:eastAsia="zh-CN"/>
        </w:rPr>
        <w:t>推动服务业新质生产力</w:t>
      </w:r>
      <w:r>
        <w:rPr>
          <w:rFonts w:cs="Times New Roman"/>
          <w:b/>
          <w:bCs/>
        </w:rPr>
        <w:t>发展</w:t>
      </w:r>
      <w:bookmarkEnd w:id="60"/>
      <w:bookmarkEnd w:id="61"/>
      <w:bookmarkEnd w:id="62"/>
      <w:bookmarkEnd w:id="63"/>
      <w:bookmarkEnd w:id="64"/>
      <w:bookmarkEnd w:id="65"/>
      <w:bookmarkEnd w:id="66"/>
      <w:bookmarkEnd w:id="67"/>
      <w:r>
        <w:rPr>
          <w:rFonts w:hint="eastAsia" w:cs="Times New Roman"/>
          <w:b/>
          <w:bCs/>
          <w:lang w:eastAsia="zh-CN"/>
        </w:rPr>
        <w:t>。</w:t>
      </w:r>
      <w:r>
        <w:rPr>
          <w:rFonts w:cs="Times New Roman"/>
        </w:rPr>
        <w:t>新一轮科技和产业革命将成为国际国内产业经济变革的最鲜明特征。更大力度推动</w:t>
      </w:r>
      <w:r>
        <w:rPr>
          <w:rFonts w:hint="eastAsia" w:cs="Times New Roman"/>
          <w:lang w:val="en-US" w:eastAsia="zh-CN"/>
        </w:rPr>
        <w:t>数字</w:t>
      </w:r>
      <w:r>
        <w:rPr>
          <w:rFonts w:cs="Times New Roman"/>
        </w:rPr>
        <w:t>创新技术应用，</w:t>
      </w:r>
      <w:r>
        <w:rPr>
          <w:rFonts w:hint="eastAsia" w:cs="Times New Roman"/>
          <w:lang w:val="en-US" w:eastAsia="zh-CN"/>
        </w:rPr>
        <w:t>丰富</w:t>
      </w:r>
      <w:r>
        <w:rPr>
          <w:rFonts w:cs="Times New Roman"/>
        </w:rPr>
        <w:t>服务业供给</w:t>
      </w:r>
      <w:r>
        <w:rPr>
          <w:rFonts w:hint="default" w:cs="Times New Roman"/>
        </w:rPr>
        <w:t>将成为大势所趋</w:t>
      </w:r>
      <w:r>
        <w:rPr>
          <w:rFonts w:cs="Times New Roman"/>
        </w:rPr>
        <w:t>。</w:t>
      </w:r>
      <w:r>
        <w:rPr>
          <w:rFonts w:hint="eastAsia" w:cs="Times New Roman"/>
          <w:b/>
          <w:bCs/>
          <w:lang w:val="en-US" w:eastAsia="zh-CN"/>
        </w:rPr>
        <w:t>二是</w:t>
      </w:r>
      <w:bookmarkStart w:id="68" w:name="_Toc25223"/>
      <w:bookmarkStart w:id="69" w:name="_Toc24521"/>
      <w:bookmarkStart w:id="70" w:name="_Toc20677"/>
      <w:bookmarkStart w:id="71" w:name="_Toc15170"/>
      <w:bookmarkStart w:id="72" w:name="_Toc202369046"/>
      <w:bookmarkStart w:id="73" w:name="_Toc201930503"/>
      <w:bookmarkStart w:id="74" w:name="_Toc201930729"/>
      <w:bookmarkStart w:id="75" w:name="_Toc20139"/>
      <w:r>
        <w:rPr>
          <w:rFonts w:cs="Times New Roman"/>
          <w:b/>
          <w:bCs/>
        </w:rPr>
        <w:t>外部环境变化促使外向型经济结构加快调整</w:t>
      </w:r>
      <w:bookmarkEnd w:id="68"/>
      <w:bookmarkEnd w:id="69"/>
      <w:bookmarkEnd w:id="70"/>
      <w:bookmarkEnd w:id="71"/>
      <w:bookmarkEnd w:id="72"/>
      <w:bookmarkEnd w:id="73"/>
      <w:bookmarkEnd w:id="74"/>
      <w:bookmarkEnd w:id="75"/>
      <w:r>
        <w:rPr>
          <w:rFonts w:hint="eastAsia" w:cs="Times New Roman"/>
          <w:b/>
          <w:bCs/>
          <w:lang w:eastAsia="zh-CN"/>
        </w:rPr>
        <w:t>。</w:t>
      </w:r>
      <w:r>
        <w:rPr>
          <w:rFonts w:cs="Times New Roman"/>
        </w:rPr>
        <w:t>逆全球化思潮和贸易保护主义加速抬头，国际产业发展和分工格局正加速演变</w:t>
      </w:r>
      <w:r>
        <w:rPr>
          <w:rFonts w:hint="eastAsia" w:cs="Times New Roman"/>
          <w:lang w:eastAsia="zh-CN"/>
        </w:rPr>
        <w:t>，</w:t>
      </w:r>
      <w:r>
        <w:rPr>
          <w:rFonts w:cs="Times New Roman"/>
        </w:rPr>
        <w:t>中国坚定不移扩大高水平对外开放，外部环境的变化</w:t>
      </w:r>
      <w:r>
        <w:rPr>
          <w:rFonts w:hint="eastAsia" w:cs="Times New Roman"/>
          <w:lang w:val="en-US" w:eastAsia="zh-CN"/>
        </w:rPr>
        <w:t>需要</w:t>
      </w:r>
      <w:r>
        <w:rPr>
          <w:rFonts w:cs="Times New Roman"/>
        </w:rPr>
        <w:t>闵行服务业提升战略思维，强化国内国际双循环的协同性。</w:t>
      </w:r>
      <w:r>
        <w:rPr>
          <w:rFonts w:hint="eastAsia" w:cs="Times New Roman"/>
          <w:b/>
          <w:bCs/>
          <w:lang w:val="en-US" w:eastAsia="zh-CN"/>
        </w:rPr>
        <w:t>三是</w:t>
      </w:r>
      <w:bookmarkStart w:id="76" w:name="_Toc11755"/>
      <w:bookmarkStart w:id="77" w:name="_Toc19949"/>
      <w:bookmarkStart w:id="78" w:name="_Toc202369047"/>
      <w:bookmarkStart w:id="79" w:name="_Toc32427"/>
      <w:bookmarkStart w:id="80" w:name="_Toc18824"/>
      <w:bookmarkStart w:id="81" w:name="_Toc201930504"/>
      <w:bookmarkStart w:id="82" w:name="_Toc201930730"/>
      <w:bookmarkStart w:id="83" w:name="_Toc418"/>
      <w:r>
        <w:rPr>
          <w:rFonts w:cs="Times New Roman"/>
          <w:b/>
          <w:bCs/>
        </w:rPr>
        <w:t>高能级战略层层叠加带来发展机遇</w:t>
      </w:r>
      <w:bookmarkEnd w:id="76"/>
      <w:bookmarkEnd w:id="77"/>
      <w:bookmarkEnd w:id="78"/>
      <w:bookmarkEnd w:id="79"/>
      <w:bookmarkEnd w:id="80"/>
      <w:bookmarkEnd w:id="81"/>
      <w:bookmarkEnd w:id="82"/>
      <w:bookmarkEnd w:id="83"/>
      <w:r>
        <w:rPr>
          <w:rFonts w:hint="eastAsia" w:cs="Times New Roman"/>
          <w:b/>
          <w:bCs/>
          <w:lang w:eastAsia="zh-CN"/>
        </w:rPr>
        <w:t>。</w:t>
      </w:r>
      <w:r>
        <w:rPr>
          <w:rFonts w:cs="Times New Roman"/>
        </w:rPr>
        <w:t>长三角一体化</w:t>
      </w:r>
      <w:r>
        <w:rPr>
          <w:rFonts w:hint="eastAsia" w:cs="Times New Roman"/>
          <w:lang w:val="en-US" w:eastAsia="zh-CN"/>
        </w:rPr>
        <w:t>持续深入，</w:t>
      </w:r>
      <w:r>
        <w:rPr>
          <w:rFonts w:cs="Times New Roman"/>
        </w:rPr>
        <w:t>上海</w:t>
      </w:r>
      <w:r>
        <w:rPr>
          <w:rFonts w:hint="default" w:ascii="Times New Roman" w:hAnsi="Times New Roman" w:cs="Times New Roman"/>
          <w:lang w:eastAsia="zh-CN"/>
        </w:rPr>
        <w:t>“</w:t>
      </w:r>
      <w:r>
        <w:rPr>
          <w:rFonts w:cs="Times New Roman"/>
        </w:rPr>
        <w:t>五个中心</w:t>
      </w:r>
      <w:r>
        <w:rPr>
          <w:rFonts w:hint="default" w:ascii="Times New Roman" w:hAnsi="Times New Roman" w:cs="Times New Roman"/>
          <w:lang w:eastAsia="zh-CN"/>
        </w:rPr>
        <w:t>”</w:t>
      </w:r>
      <w:r>
        <w:rPr>
          <w:rFonts w:cs="Times New Roman"/>
        </w:rPr>
        <w:t>战略目标</w:t>
      </w:r>
      <w:r>
        <w:rPr>
          <w:rFonts w:hint="eastAsia" w:cs="Times New Roman"/>
          <w:lang w:val="en-US" w:eastAsia="zh-CN"/>
        </w:rPr>
        <w:t>纵深</w:t>
      </w:r>
      <w:r>
        <w:rPr>
          <w:rFonts w:cs="Times New Roman"/>
        </w:rPr>
        <w:t>推进，上海自贸区联动创新区政策赋能，虹桥商务区持续提升，高能级战略进一步在闵行叠加，带来诸多发展机遇。</w:t>
      </w:r>
      <w:r>
        <w:rPr>
          <w:rFonts w:hint="eastAsia" w:cs="Times New Roman"/>
          <w:b/>
          <w:bCs/>
          <w:lang w:val="en-US" w:eastAsia="zh-CN"/>
        </w:rPr>
        <w:t>四是</w:t>
      </w:r>
      <w:bookmarkStart w:id="84" w:name="_Toc14167"/>
      <w:bookmarkStart w:id="85" w:name="_Toc201930731"/>
      <w:bookmarkStart w:id="86" w:name="_Toc202369048"/>
      <w:bookmarkStart w:id="87" w:name="_Toc6564"/>
      <w:bookmarkStart w:id="88" w:name="_Toc20761"/>
      <w:bookmarkStart w:id="89" w:name="_Toc16008"/>
      <w:bookmarkStart w:id="90" w:name="_Toc31627"/>
      <w:bookmarkStart w:id="91" w:name="_Toc201930505"/>
      <w:r>
        <w:rPr>
          <w:rFonts w:cs="Times New Roman"/>
          <w:b/>
          <w:bCs/>
        </w:rPr>
        <w:t>闵行加快建设现代化主城区提出更高标准</w:t>
      </w:r>
      <w:bookmarkEnd w:id="84"/>
      <w:bookmarkEnd w:id="85"/>
      <w:bookmarkEnd w:id="86"/>
      <w:bookmarkEnd w:id="87"/>
      <w:bookmarkEnd w:id="88"/>
      <w:bookmarkEnd w:id="89"/>
      <w:bookmarkEnd w:id="90"/>
      <w:bookmarkEnd w:id="91"/>
      <w:r>
        <w:rPr>
          <w:rFonts w:hint="eastAsia" w:cs="Times New Roman"/>
          <w:b/>
          <w:bCs/>
          <w:lang w:eastAsia="zh-CN"/>
        </w:rPr>
        <w:t>。</w:t>
      </w:r>
      <w:r>
        <w:rPr>
          <w:rFonts w:cs="Times New Roman"/>
        </w:rPr>
        <w:t>创新开放、生态人文、宜居安居现</w:t>
      </w:r>
      <w:r>
        <w:rPr>
          <w:rFonts w:cs="Times New Roman"/>
          <w:highlight w:val="none"/>
        </w:rPr>
        <w:t>代化主城区</w:t>
      </w:r>
      <w:r>
        <w:rPr>
          <w:rFonts w:hint="eastAsia" w:ascii="仿宋_GB2312" w:hAnsi="仿宋_GB2312" w:cs="仿宋_GB2312"/>
          <w:sz w:val="32"/>
          <w:szCs w:val="32"/>
          <w:highlight w:val="none"/>
          <w:lang w:eastAsia="zh-CN"/>
        </w:rPr>
        <w:t>和新质生产力主阵地</w:t>
      </w:r>
      <w:r>
        <w:rPr>
          <w:rFonts w:hint="eastAsia" w:ascii="仿宋_GB2312" w:hAnsi="仿宋_GB2312" w:cs="仿宋_GB2312"/>
          <w:sz w:val="32"/>
          <w:szCs w:val="32"/>
          <w:highlight w:val="none"/>
          <w:lang w:val="en-US" w:eastAsia="zh-CN"/>
        </w:rPr>
        <w:t>建设</w:t>
      </w:r>
      <w:r>
        <w:rPr>
          <w:rFonts w:cs="Times New Roman"/>
          <w:highlight w:val="none"/>
        </w:rPr>
        <w:t>对区域内服务业的发展提出了更高的要求与标准。</w:t>
      </w:r>
      <w:bookmarkStart w:id="92" w:name="_Toc32085"/>
      <w:bookmarkStart w:id="93" w:name="_Toc201310190"/>
      <w:bookmarkStart w:id="94" w:name="_Toc15432"/>
      <w:bookmarkStart w:id="95" w:name="_Toc18515"/>
      <w:bookmarkStart w:id="96" w:name="_Toc5203"/>
    </w:p>
    <w:p>
      <w:pPr>
        <w:keepNext/>
        <w:keepLines/>
        <w:spacing w:before="120" w:after="120"/>
        <w:ind w:left="643" w:firstLine="0" w:firstLineChars="0"/>
        <w:outlineLvl w:val="0"/>
        <w:rPr>
          <w:rFonts w:eastAsia="黑体" w:cs="Times New Roman"/>
          <w:b/>
          <w:color w:val="000000" w:themeColor="text1"/>
          <w:szCs w:val="48"/>
          <w14:textFill>
            <w14:solidFill>
              <w14:schemeClr w14:val="tx1"/>
            </w14:solidFill>
          </w14:textFill>
        </w:rPr>
      </w:pPr>
      <w:r>
        <w:rPr>
          <w:rFonts w:eastAsia="黑体" w:cs="Times New Roman"/>
          <w:b/>
          <w:color w:val="000000" w:themeColor="text1"/>
          <w:szCs w:val="48"/>
          <w14:textFill>
            <w14:solidFill>
              <w14:schemeClr w14:val="tx1"/>
            </w14:solidFill>
          </w14:textFill>
        </w:rPr>
        <w:t>二、闵行区</w:t>
      </w:r>
      <w:r>
        <w:rPr>
          <w:rFonts w:hint="default" w:ascii="Times New Roman" w:hAnsi="Times New Roman" w:eastAsia="黑体" w:cs="Times New Roman"/>
          <w:b/>
          <w:color w:val="000000" w:themeColor="text1"/>
          <w:szCs w:val="48"/>
          <w:lang w:eastAsia="zh-CN"/>
          <w14:textFill>
            <w14:solidFill>
              <w14:schemeClr w14:val="tx1"/>
            </w14:solidFill>
          </w14:textFill>
        </w:rPr>
        <w:t>“</w:t>
      </w:r>
      <w:r>
        <w:rPr>
          <w:rFonts w:eastAsia="黑体" w:cs="Times New Roman"/>
          <w:b/>
          <w:color w:val="000000" w:themeColor="text1"/>
          <w:szCs w:val="48"/>
          <w14:textFill>
            <w14:solidFill>
              <w14:schemeClr w14:val="tx1"/>
            </w14:solidFill>
          </w14:textFill>
        </w:rPr>
        <w:t>十五五</w:t>
      </w:r>
      <w:r>
        <w:rPr>
          <w:rFonts w:hint="default" w:ascii="Times New Roman" w:hAnsi="Times New Roman" w:eastAsia="黑体" w:cs="Times New Roman"/>
          <w:b/>
          <w:color w:val="000000" w:themeColor="text1"/>
          <w:szCs w:val="48"/>
          <w:lang w:eastAsia="zh-CN"/>
          <w14:textFill>
            <w14:solidFill>
              <w14:schemeClr w14:val="tx1"/>
            </w14:solidFill>
          </w14:textFill>
        </w:rPr>
        <w:t>”</w:t>
      </w:r>
      <w:r>
        <w:rPr>
          <w:rFonts w:eastAsia="黑体" w:cs="Times New Roman"/>
          <w:b/>
          <w:color w:val="000000" w:themeColor="text1"/>
          <w:szCs w:val="48"/>
          <w14:textFill>
            <w14:solidFill>
              <w14:schemeClr w14:val="tx1"/>
            </w14:solidFill>
          </w14:textFill>
        </w:rPr>
        <w:t>服务业发展的总体思路</w:t>
      </w:r>
      <w:bookmarkEnd w:id="92"/>
      <w:bookmarkEnd w:id="93"/>
      <w:bookmarkEnd w:id="94"/>
      <w:bookmarkEnd w:id="95"/>
      <w:bookmarkEnd w:id="96"/>
    </w:p>
    <w:p>
      <w:pPr>
        <w:pStyle w:val="3"/>
        <w:ind w:firstLine="643"/>
        <w:rPr>
          <w:rFonts w:cs="Times New Roman"/>
        </w:rPr>
      </w:pPr>
      <w:bookmarkStart w:id="97" w:name="_Toc2548"/>
      <w:bookmarkStart w:id="98" w:name="_Toc14740"/>
      <w:bookmarkStart w:id="99" w:name="_Toc201310191"/>
      <w:bookmarkStart w:id="100" w:name="_Toc13751"/>
      <w:bookmarkStart w:id="101" w:name="_Toc21110"/>
      <w:r>
        <w:rPr>
          <w:rFonts w:cs="Times New Roman"/>
        </w:rPr>
        <w:t>（一）指导思想</w:t>
      </w:r>
      <w:bookmarkEnd w:id="97"/>
      <w:bookmarkEnd w:id="98"/>
      <w:bookmarkEnd w:id="99"/>
      <w:bookmarkEnd w:id="100"/>
      <w:bookmarkEnd w:id="101"/>
    </w:p>
    <w:p>
      <w:pPr>
        <w:ind w:firstLine="640"/>
        <w:rPr>
          <w:rFonts w:cs="Times New Roman"/>
        </w:rPr>
      </w:pPr>
      <w:r>
        <w:rPr>
          <w:rFonts w:cs="Times New Roman"/>
        </w:rPr>
        <w:t>以习近平总书记考察上海、考察闵行重要讲话和重要指示精神为指引，全面贯彻落实党的二十大和二十届</w:t>
      </w:r>
      <w:r>
        <w:rPr>
          <w:rFonts w:hint="default" w:cs="Times New Roman"/>
          <w:lang w:val="en-US" w:eastAsia="zh-CN"/>
        </w:rPr>
        <w:t>历次</w:t>
      </w:r>
      <w:r>
        <w:rPr>
          <w:rFonts w:cs="Times New Roman"/>
        </w:rPr>
        <w:t>全会精神，紧紧围绕国家和市级重大战略部署，牢牢把握高质量发展主题和新质生产力导向，</w:t>
      </w:r>
      <w:r>
        <w:rPr>
          <w:rFonts w:cs="Times New Roman"/>
          <w:b/>
          <w:bCs/>
        </w:rPr>
        <w:t>加快服务业</w:t>
      </w:r>
      <w:r>
        <w:rPr>
          <w:rFonts w:hint="default" w:cs="Times New Roman"/>
          <w:b/>
          <w:bCs/>
        </w:rPr>
        <w:t>规模扩容</w:t>
      </w:r>
      <w:r>
        <w:rPr>
          <w:rFonts w:cs="Times New Roman"/>
          <w:b/>
          <w:bCs/>
        </w:rPr>
        <w:t>、结构优化和能级跃升，推动服务经济向国际化、数智化、融合化、</w:t>
      </w:r>
      <w:r>
        <w:rPr>
          <w:rFonts w:hint="default" w:cs="Times New Roman"/>
          <w:b/>
          <w:bCs/>
          <w:lang w:val="en-US" w:eastAsia="zh-CN"/>
        </w:rPr>
        <w:t>品牌</w:t>
      </w:r>
      <w:r>
        <w:rPr>
          <w:rFonts w:cs="Times New Roman"/>
          <w:b/>
          <w:bCs/>
        </w:rPr>
        <w:t>化方向迈进，</w:t>
      </w:r>
      <w:r>
        <w:rPr>
          <w:rFonts w:cs="Times New Roman"/>
        </w:rPr>
        <w:t>更好发挥服务业在经济转型升级与人民城市建设中的积极作用。</w:t>
      </w:r>
    </w:p>
    <w:p>
      <w:pPr>
        <w:pStyle w:val="3"/>
        <w:ind w:firstLine="643"/>
        <w:rPr>
          <w:rFonts w:cs="Times New Roman"/>
        </w:rPr>
      </w:pPr>
      <w:bookmarkStart w:id="102" w:name="_Toc201310192"/>
      <w:bookmarkStart w:id="103" w:name="_Toc20612"/>
      <w:bookmarkStart w:id="104" w:name="_Toc22473"/>
      <w:bookmarkStart w:id="105" w:name="_Toc31860"/>
      <w:bookmarkStart w:id="106" w:name="_Toc28226"/>
      <w:r>
        <w:rPr>
          <w:rFonts w:cs="Times New Roman"/>
        </w:rPr>
        <w:t>（二）发展</w:t>
      </w:r>
      <w:r>
        <w:rPr>
          <w:rFonts w:hint="default" w:cs="Times New Roman"/>
          <w:lang w:val="en-US" w:eastAsia="zh-CN"/>
        </w:rPr>
        <w:t>思路</w:t>
      </w:r>
      <w:bookmarkEnd w:id="102"/>
      <w:bookmarkEnd w:id="103"/>
      <w:bookmarkEnd w:id="104"/>
      <w:bookmarkEnd w:id="105"/>
      <w:bookmarkEnd w:id="106"/>
    </w:p>
    <w:p>
      <w:pPr>
        <w:ind w:firstLine="643"/>
        <w:rPr>
          <w:rFonts w:cs="Times New Roman"/>
        </w:rPr>
      </w:pPr>
      <w:r>
        <w:rPr>
          <w:rFonts w:cs="Times New Roman"/>
          <w:b/>
          <w:bCs/>
        </w:rPr>
        <w:t>开放协同，扩大增长潜力。</w:t>
      </w:r>
      <w:r>
        <w:rPr>
          <w:rFonts w:cs="Times New Roman"/>
        </w:rPr>
        <w:t>坚持</w:t>
      </w:r>
      <w:r>
        <w:rPr>
          <w:rFonts w:hint="default" w:ascii="Times New Roman" w:hAnsi="Times New Roman" w:cs="Times New Roman"/>
          <w:lang w:eastAsia="zh-CN"/>
        </w:rPr>
        <w:t>“</w:t>
      </w:r>
      <w:r>
        <w:rPr>
          <w:rFonts w:cs="Times New Roman"/>
        </w:rPr>
        <w:t>引进来</w:t>
      </w:r>
      <w:r>
        <w:rPr>
          <w:rFonts w:hint="default" w:ascii="Times New Roman" w:hAnsi="Times New Roman" w:cs="Times New Roman"/>
          <w:lang w:eastAsia="zh-CN"/>
        </w:rPr>
        <w:t>”“</w:t>
      </w:r>
      <w:r>
        <w:rPr>
          <w:rFonts w:cs="Times New Roman"/>
        </w:rPr>
        <w:t>走出去</w:t>
      </w:r>
      <w:r>
        <w:rPr>
          <w:rFonts w:hint="default" w:ascii="Times New Roman" w:hAnsi="Times New Roman" w:cs="Times New Roman"/>
          <w:lang w:eastAsia="zh-CN"/>
        </w:rPr>
        <w:t>”</w:t>
      </w:r>
      <w:r>
        <w:rPr>
          <w:rFonts w:cs="Times New Roman"/>
        </w:rPr>
        <w:t>双向发力</w:t>
      </w:r>
      <w:r>
        <w:rPr>
          <w:rFonts w:hint="eastAsia" w:cs="Times New Roman"/>
          <w:lang w:eastAsia="zh-CN"/>
        </w:rPr>
        <w:t>，</w:t>
      </w:r>
      <w:r>
        <w:rPr>
          <w:rFonts w:hint="eastAsia" w:cs="Times New Roman"/>
          <w:lang w:val="en-US" w:eastAsia="zh-CN"/>
        </w:rPr>
        <w:t>依托</w:t>
      </w:r>
      <w:r>
        <w:rPr>
          <w:rFonts w:cs="Times New Roman"/>
        </w:rPr>
        <w:t>自贸区、虹桥国际开放枢纽等平台集聚高端服务资源</w:t>
      </w:r>
      <w:r>
        <w:rPr>
          <w:rFonts w:hint="eastAsia" w:cs="Times New Roman"/>
          <w:lang w:eastAsia="zh-CN"/>
        </w:rPr>
        <w:t>，</w:t>
      </w:r>
      <w:r>
        <w:rPr>
          <w:rFonts w:cs="Times New Roman"/>
        </w:rPr>
        <w:t>鼓励本地服务企业拓展海外市场。</w:t>
      </w:r>
    </w:p>
    <w:p>
      <w:pPr>
        <w:ind w:firstLine="643"/>
        <w:rPr>
          <w:rFonts w:cs="Times New Roman"/>
        </w:rPr>
      </w:pPr>
      <w:r>
        <w:rPr>
          <w:rFonts w:cs="Times New Roman"/>
          <w:b/>
          <w:bCs/>
        </w:rPr>
        <w:t>创新驱动，强化数智赋能。</w:t>
      </w:r>
      <w:r>
        <w:rPr>
          <w:rFonts w:cs="Times New Roman"/>
        </w:rPr>
        <w:t>抢抓数字技术</w:t>
      </w:r>
      <w:r>
        <w:rPr>
          <w:rFonts w:hint="eastAsia" w:cs="Times New Roman"/>
          <w:lang w:val="en-US" w:eastAsia="zh-CN"/>
        </w:rPr>
        <w:t>变革</w:t>
      </w:r>
      <w:r>
        <w:rPr>
          <w:rFonts w:cs="Times New Roman"/>
        </w:rPr>
        <w:t>机遇</w:t>
      </w:r>
      <w:r>
        <w:rPr>
          <w:rFonts w:hint="eastAsia" w:cs="Times New Roman"/>
          <w:lang w:eastAsia="zh-CN"/>
        </w:rPr>
        <w:t>，</w:t>
      </w:r>
      <w:r>
        <w:rPr>
          <w:rFonts w:hint="eastAsia" w:cs="Times New Roman"/>
          <w:lang w:val="en-US" w:eastAsia="zh-CN"/>
        </w:rPr>
        <w:t>深化</w:t>
      </w:r>
      <w:r>
        <w:rPr>
          <w:rFonts w:cs="Times New Roman"/>
        </w:rPr>
        <w:t>产学研协同创新</w:t>
      </w:r>
      <w:r>
        <w:rPr>
          <w:rFonts w:hint="eastAsia" w:cs="Times New Roman"/>
          <w:lang w:eastAsia="zh-CN"/>
        </w:rPr>
        <w:t>，</w:t>
      </w:r>
      <w:r>
        <w:rPr>
          <w:rFonts w:cs="Times New Roman"/>
        </w:rPr>
        <w:t>聚焦工业服务业、数字服务业等重点领域培育服务业创新载体</w:t>
      </w:r>
      <w:r>
        <w:rPr>
          <w:rFonts w:hint="eastAsia" w:cs="Times New Roman"/>
          <w:lang w:val="en-US" w:eastAsia="zh-CN"/>
        </w:rPr>
        <w:t>与</w:t>
      </w:r>
      <w:r>
        <w:rPr>
          <w:rFonts w:cs="Times New Roman"/>
        </w:rPr>
        <w:t>标杆企业。</w:t>
      </w:r>
    </w:p>
    <w:p>
      <w:pPr>
        <w:ind w:firstLine="643"/>
        <w:rPr>
          <w:rFonts w:cs="Times New Roman"/>
          <w:b/>
          <w:bCs/>
        </w:rPr>
      </w:pPr>
      <w:r>
        <w:rPr>
          <w:rFonts w:cs="Times New Roman"/>
          <w:b/>
          <w:bCs/>
        </w:rPr>
        <w:t>产业联动，实现融合发展。</w:t>
      </w:r>
      <w:r>
        <w:rPr>
          <w:rFonts w:cs="Times New Roman"/>
        </w:rPr>
        <w:t>大力推进两业融合，推动生产性服务业嵌入先进制造业全过程，促进金融、物流、商贸、旅游、文化、会展等</w:t>
      </w:r>
      <w:r>
        <w:rPr>
          <w:rFonts w:hint="eastAsia" w:cs="Times New Roman"/>
          <w:lang w:val="en-US" w:eastAsia="zh-CN"/>
        </w:rPr>
        <w:t>服务业</w:t>
      </w:r>
      <w:r>
        <w:rPr>
          <w:rFonts w:cs="Times New Roman"/>
        </w:rPr>
        <w:t>跨界融合。</w:t>
      </w:r>
    </w:p>
    <w:p>
      <w:pPr>
        <w:ind w:firstLine="643"/>
        <w:rPr>
          <w:rFonts w:cs="Times New Roman"/>
          <w:b/>
          <w:bCs/>
        </w:rPr>
      </w:pPr>
      <w:r>
        <w:rPr>
          <w:rFonts w:cs="Times New Roman"/>
          <w:b/>
          <w:bCs/>
        </w:rPr>
        <w:t>能级提升，促进高质量发展。</w:t>
      </w:r>
      <w:r>
        <w:rPr>
          <w:rFonts w:cs="Times New Roman"/>
        </w:rPr>
        <w:t>提升服务业集聚区的承载能力和辐射能力，</w:t>
      </w:r>
      <w:r>
        <w:rPr>
          <w:rFonts w:hint="eastAsia" w:cs="Times New Roman"/>
          <w:lang w:val="en-US" w:eastAsia="zh-CN"/>
        </w:rPr>
        <w:t>集聚</w:t>
      </w:r>
      <w:r>
        <w:rPr>
          <w:rFonts w:cs="Times New Roman"/>
        </w:rPr>
        <w:t>总部经济、平台经济，推动服务企业向专业化、品牌化、国际化方向发展。</w:t>
      </w:r>
    </w:p>
    <w:p>
      <w:pPr>
        <w:pStyle w:val="3"/>
        <w:ind w:firstLine="643"/>
        <w:rPr>
          <w:rFonts w:cs="Times New Roman"/>
        </w:rPr>
      </w:pPr>
      <w:bookmarkStart w:id="107" w:name="_Toc672"/>
      <w:bookmarkStart w:id="108" w:name="_Toc15626"/>
      <w:bookmarkStart w:id="109" w:name="_Toc16779"/>
      <w:bookmarkStart w:id="110" w:name="_Toc6069"/>
      <w:bookmarkStart w:id="111" w:name="_Toc201310193"/>
      <w:r>
        <w:rPr>
          <w:rFonts w:cs="Times New Roman"/>
        </w:rPr>
        <w:t>（三）发展目标</w:t>
      </w:r>
      <w:bookmarkEnd w:id="107"/>
      <w:bookmarkEnd w:id="108"/>
      <w:bookmarkEnd w:id="109"/>
      <w:bookmarkEnd w:id="110"/>
      <w:bookmarkEnd w:id="111"/>
    </w:p>
    <w:p>
      <w:pPr>
        <w:widowControl w:val="0"/>
        <w:ind w:firstLine="640"/>
        <w:rPr>
          <w:rFonts w:hint="eastAsia" w:eastAsia="仿宋" w:cs="Times New Roman"/>
          <w:lang w:eastAsia="zh-CN"/>
        </w:rPr>
      </w:pPr>
      <w:r>
        <w:rPr>
          <w:rFonts w:cs="Times New Roman"/>
        </w:rPr>
        <w:t>到</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期末，加速形成创新活跃、优质高效、开放融合的现代服务业新格局</w:t>
      </w:r>
      <w:r>
        <w:rPr>
          <w:rFonts w:hint="eastAsia" w:eastAsia="仿宋" w:cs="Times New Roman"/>
          <w:lang w:eastAsia="zh-CN"/>
        </w:rPr>
        <w:t>。</w:t>
      </w:r>
    </w:p>
    <w:p>
      <w:pPr>
        <w:ind w:firstLine="643"/>
        <w:rPr>
          <w:rFonts w:cs="Times New Roman"/>
        </w:rPr>
      </w:pPr>
      <w:r>
        <w:rPr>
          <w:rFonts w:cs="Times New Roman"/>
          <w:b/>
          <w:bCs/>
        </w:rPr>
        <w:t>总量规模跨上新台阶。</w:t>
      </w:r>
      <w:r>
        <w:rPr>
          <w:rFonts w:cs="Times New Roman"/>
        </w:rPr>
        <w:t>到2030年，第三产业增加值占全区生产总值比重维持在75%左右，</w:t>
      </w:r>
      <w:r>
        <w:rPr>
          <w:rFonts w:hint="default" w:cs="Times New Roman"/>
        </w:rPr>
        <w:t>规模以上</w:t>
      </w:r>
      <w:r>
        <w:rPr>
          <w:rFonts w:cs="Times New Roman"/>
        </w:rPr>
        <w:t>服务</w:t>
      </w:r>
      <w:r>
        <w:rPr>
          <w:rFonts w:cs="Times New Roman"/>
          <w:highlight w:val="none"/>
        </w:rPr>
        <w:t>业营业收入达到</w:t>
      </w:r>
      <w:r>
        <w:rPr>
          <w:rFonts w:hint="default" w:ascii="Times New Roman" w:hAnsi="Times New Roman" w:cs="Times New Roman"/>
          <w:highlight w:val="none"/>
          <w:lang w:eastAsia="zh-CN"/>
        </w:rPr>
        <w:t>4</w:t>
      </w:r>
      <w:r>
        <w:rPr>
          <w:rFonts w:hint="default" w:ascii="Times New Roman" w:hAnsi="Times New Roman" w:cs="Times New Roman"/>
          <w:highlight w:val="none"/>
          <w:lang w:val="en-US" w:eastAsia="zh-CN"/>
        </w:rPr>
        <w:t>100</w:t>
      </w:r>
      <w:r>
        <w:rPr>
          <w:rFonts w:cs="Times New Roman"/>
          <w:highlight w:val="none"/>
        </w:rPr>
        <w:t>亿元，</w:t>
      </w:r>
      <w:r>
        <w:rPr>
          <w:rFonts w:hint="default" w:cs="Times New Roman"/>
          <w:highlight w:val="none"/>
        </w:rPr>
        <w:t>限额以上</w:t>
      </w:r>
      <w:r>
        <w:rPr>
          <w:rFonts w:cs="Times New Roman"/>
          <w:highlight w:val="none"/>
        </w:rPr>
        <w:t>商品销售总额、社会消费品零售总额分别达到</w:t>
      </w:r>
      <w:r>
        <w:rPr>
          <w:rFonts w:hint="default" w:cs="Times New Roman"/>
          <w:highlight w:val="none"/>
          <w:lang w:eastAsia="zh-CN"/>
        </w:rPr>
        <w:t>9</w:t>
      </w:r>
      <w:r>
        <w:rPr>
          <w:rFonts w:hint="default" w:ascii="Times New Roman" w:hAnsi="Times New Roman" w:cs="Times New Roman"/>
          <w:highlight w:val="none"/>
          <w:lang w:val="en-US" w:eastAsia="zh-CN"/>
        </w:rPr>
        <w:t>330</w:t>
      </w:r>
      <w:r>
        <w:rPr>
          <w:rFonts w:cs="Times New Roman"/>
          <w:highlight w:val="none"/>
        </w:rPr>
        <w:t>亿元、16</w:t>
      </w:r>
      <w:r>
        <w:rPr>
          <w:rFonts w:hint="default" w:cs="Times New Roman"/>
          <w:highlight w:val="none"/>
          <w:lang w:eastAsia="zh-CN"/>
        </w:rPr>
        <w:t>8</w:t>
      </w:r>
      <w:r>
        <w:rPr>
          <w:rFonts w:hint="default" w:cs="Times New Roman"/>
          <w:highlight w:val="none"/>
          <w:lang w:val="en-US" w:eastAsia="zh-CN"/>
        </w:rPr>
        <w:t>0</w:t>
      </w:r>
      <w:r>
        <w:rPr>
          <w:rFonts w:cs="Times New Roman"/>
          <w:highlight w:val="none"/>
        </w:rPr>
        <w:t>亿元，</w:t>
      </w:r>
      <w:r>
        <w:rPr>
          <w:rFonts w:ascii="Times New Roman" w:hAnsi="Times New Roman" w:eastAsia="仿宋_GB2312" w:cs="Times New Roman"/>
          <w:kern w:val="2"/>
          <w:sz w:val="32"/>
          <w:szCs w:val="24"/>
          <w:highlight w:val="none"/>
          <w14:ligatures w14:val="standardContextual"/>
        </w:rPr>
        <w:t>外贸进出口总额</w:t>
      </w:r>
      <w:r>
        <w:rPr>
          <w:rFonts w:hint="default" w:cs="Times New Roman"/>
          <w:kern w:val="2"/>
          <w:sz w:val="32"/>
          <w:szCs w:val="24"/>
          <w:highlight w:val="none"/>
          <w:lang w:val="en-US" w:eastAsia="zh-CN"/>
          <w14:ligatures w14:val="standardContextual"/>
        </w:rPr>
        <w:t>达到2</w:t>
      </w:r>
      <w:r>
        <w:rPr>
          <w:rFonts w:hint="default" w:ascii="Times New Roman" w:hAnsi="Times New Roman" w:cs="Times New Roman"/>
          <w:kern w:val="2"/>
          <w:sz w:val="32"/>
          <w:szCs w:val="24"/>
          <w:highlight w:val="none"/>
          <w:lang w:val="en-US" w:eastAsia="zh-CN"/>
          <w14:ligatures w14:val="standardContextual"/>
        </w:rPr>
        <w:t>930</w:t>
      </w:r>
      <w:r>
        <w:rPr>
          <w:rFonts w:hint="default" w:cs="Times New Roman"/>
          <w:kern w:val="2"/>
          <w:sz w:val="32"/>
          <w:szCs w:val="24"/>
          <w:highlight w:val="none"/>
          <w:lang w:val="en-US" w:eastAsia="zh-CN"/>
          <w14:ligatures w14:val="standardContextual"/>
        </w:rPr>
        <w:t>亿元</w:t>
      </w:r>
      <w:r>
        <w:rPr>
          <w:rFonts w:cs="Times New Roman"/>
        </w:rPr>
        <w:t>。</w:t>
      </w:r>
    </w:p>
    <w:p>
      <w:pPr>
        <w:ind w:firstLine="643"/>
        <w:rPr>
          <w:rFonts w:cs="Times New Roman"/>
        </w:rPr>
      </w:pPr>
      <w:r>
        <w:rPr>
          <w:rFonts w:hint="default" w:cs="Times New Roman"/>
          <w:b/>
          <w:bCs/>
          <w:highlight w:val="none"/>
          <w:lang w:val="en-US" w:eastAsia="zh-CN"/>
        </w:rPr>
        <w:t>优势</w:t>
      </w:r>
      <w:r>
        <w:rPr>
          <w:rFonts w:cs="Times New Roman"/>
          <w:b/>
          <w:bCs/>
          <w:highlight w:val="none"/>
        </w:rPr>
        <w:t>特色</w:t>
      </w:r>
      <w:r>
        <w:rPr>
          <w:rFonts w:hint="default" w:cs="Times New Roman"/>
          <w:b/>
          <w:bCs/>
          <w:highlight w:val="none"/>
          <w:lang w:val="en-US" w:eastAsia="zh-CN"/>
        </w:rPr>
        <w:t>实现</w:t>
      </w:r>
      <w:r>
        <w:rPr>
          <w:rFonts w:cs="Times New Roman"/>
          <w:b/>
          <w:bCs/>
          <w:highlight w:val="none"/>
        </w:rPr>
        <w:t>新进展。</w:t>
      </w:r>
      <w:r>
        <w:rPr>
          <w:rFonts w:hint="default" w:cs="Times New Roman"/>
          <w:b/>
          <w:bCs/>
          <w:highlight w:val="none"/>
          <w:lang w:val="en-US" w:eastAsia="zh-CN"/>
        </w:rPr>
        <w:t>三</w:t>
      </w:r>
      <w:r>
        <w:rPr>
          <w:rFonts w:hint="default" w:cs="Times New Roman"/>
          <w:b w:val="0"/>
          <w:bCs w:val="0"/>
          <w:highlight w:val="none"/>
          <w:lang w:val="en-US" w:eastAsia="zh-CN"/>
        </w:rPr>
        <w:t>大</w:t>
      </w:r>
      <w:r>
        <w:rPr>
          <w:rFonts w:cs="Times New Roman"/>
          <w:highlight w:val="none"/>
        </w:rPr>
        <w:t>支柱产业营收年均增长快于服务业整体增</w:t>
      </w:r>
      <w:r>
        <w:rPr>
          <w:rFonts w:cs="Times New Roman"/>
        </w:rPr>
        <w:t>速，</w:t>
      </w:r>
      <w:r>
        <w:rPr>
          <w:rFonts w:hint="default" w:cs="Times New Roman"/>
        </w:rPr>
        <w:t>规模以上</w:t>
      </w:r>
      <w:r>
        <w:rPr>
          <w:rFonts w:cs="Times New Roman"/>
        </w:rPr>
        <w:t>高技术服务业营收达到</w:t>
      </w:r>
      <w:r>
        <w:rPr>
          <w:rFonts w:hint="default" w:ascii="Times New Roman" w:hAnsi="Times New Roman" w:cs="Times New Roman"/>
          <w:lang w:eastAsia="zh-CN"/>
        </w:rPr>
        <w:t>1</w:t>
      </w:r>
      <w:r>
        <w:rPr>
          <w:rFonts w:hint="default" w:ascii="Times New Roman" w:hAnsi="Times New Roman" w:cs="Times New Roman"/>
          <w:lang w:val="en-US" w:eastAsia="zh-CN"/>
        </w:rPr>
        <w:t>570</w:t>
      </w:r>
      <w:r>
        <w:rPr>
          <w:rFonts w:cs="Times New Roman"/>
        </w:rPr>
        <w:t>亿元，数字新业态和新型国际贸易形态蓬勃发展，网上零售额交易规模</w:t>
      </w:r>
      <w:r>
        <w:rPr>
          <w:rFonts w:hint="default" w:cs="Times New Roman"/>
          <w:lang w:val="en-US" w:eastAsia="zh-CN"/>
        </w:rPr>
        <w:t>持续</w:t>
      </w:r>
      <w:r>
        <w:rPr>
          <w:rFonts w:cs="Times New Roman"/>
        </w:rPr>
        <w:t>增长，加快向数字化转型与商业模式创新转变。</w:t>
      </w:r>
    </w:p>
    <w:p>
      <w:pPr>
        <w:ind w:firstLine="643"/>
        <w:rPr>
          <w:rFonts w:cs="Times New Roman"/>
          <w:highlight w:val="none"/>
        </w:rPr>
      </w:pPr>
      <w:r>
        <w:rPr>
          <w:rFonts w:cs="Times New Roman"/>
          <w:b/>
          <w:bCs/>
        </w:rPr>
        <w:t>能级效益取得新突破。</w:t>
      </w:r>
      <w:r>
        <w:rPr>
          <w:rFonts w:cs="Times New Roman"/>
        </w:rPr>
        <w:t>入选上海民营服务业100强企业数量达到10家以上，跨国公司总部数量、市级贸易型总部数量到2030年分别达</w:t>
      </w:r>
      <w:r>
        <w:rPr>
          <w:rFonts w:cs="Times New Roman"/>
          <w:highlight w:val="none"/>
        </w:rPr>
        <w:t>到8</w:t>
      </w:r>
      <w:r>
        <w:rPr>
          <w:rFonts w:hint="default" w:ascii="Times New Roman" w:hAnsi="Times New Roman" w:cs="Times New Roman"/>
          <w:highlight w:val="none"/>
          <w:lang w:eastAsia="zh-CN"/>
        </w:rPr>
        <w:t>6</w:t>
      </w:r>
      <w:r>
        <w:rPr>
          <w:rFonts w:cs="Times New Roman"/>
          <w:highlight w:val="none"/>
        </w:rPr>
        <w:t>家、1</w:t>
      </w:r>
      <w:r>
        <w:rPr>
          <w:rFonts w:hint="default" w:cs="Times New Roman"/>
          <w:highlight w:val="none"/>
          <w:lang w:val="en-US" w:eastAsia="zh-CN"/>
        </w:rPr>
        <w:t>9</w:t>
      </w:r>
      <w:r>
        <w:rPr>
          <w:rFonts w:cs="Times New Roman"/>
          <w:highlight w:val="none"/>
        </w:rPr>
        <w:t>家。</w:t>
      </w:r>
    </w:p>
    <w:p>
      <w:pPr>
        <w:ind w:firstLine="0" w:firstLineChars="0"/>
        <w:rPr>
          <w:rFonts w:cs="Times New Roman"/>
          <w:highlight w:val="none"/>
        </w:rPr>
      </w:pPr>
      <w:r>
        <w:drawing>
          <wp:inline distT="0" distB="0" distL="114300" distR="114300">
            <wp:extent cx="5270500" cy="3642360"/>
            <wp:effectExtent l="0" t="0" r="0"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5270500" cy="3642360"/>
                    </a:xfrm>
                    <a:prstGeom prst="rect">
                      <a:avLst/>
                    </a:prstGeom>
                    <a:noFill/>
                    <a:ln>
                      <a:noFill/>
                    </a:ln>
                  </pic:spPr>
                </pic:pic>
              </a:graphicData>
            </a:graphic>
          </wp:inline>
        </w:drawing>
      </w:r>
    </w:p>
    <w:p>
      <w:pPr>
        <w:pStyle w:val="2"/>
        <w:ind w:firstLine="643"/>
        <w:rPr>
          <w:rFonts w:cs="Times New Roman"/>
        </w:rPr>
      </w:pPr>
      <w:bookmarkStart w:id="112" w:name="_Toc7514"/>
      <w:bookmarkStart w:id="113" w:name="_Toc19534"/>
      <w:bookmarkStart w:id="114" w:name="_Toc11120"/>
      <w:bookmarkStart w:id="115" w:name="_Toc201310194"/>
      <w:bookmarkStart w:id="116" w:name="_Toc9839"/>
      <w:r>
        <w:rPr>
          <w:rFonts w:cs="Times New Roman"/>
        </w:rPr>
        <w:t>三、闵行区</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服务业发展的重点任务</w:t>
      </w:r>
      <w:bookmarkEnd w:id="112"/>
      <w:bookmarkEnd w:id="113"/>
      <w:bookmarkEnd w:id="114"/>
      <w:bookmarkEnd w:id="115"/>
      <w:bookmarkEnd w:id="116"/>
    </w:p>
    <w:p>
      <w:pPr>
        <w:pStyle w:val="3"/>
        <w:ind w:firstLine="643"/>
        <w:rPr>
          <w:rFonts w:cs="Times New Roman"/>
        </w:rPr>
      </w:pPr>
      <w:bookmarkStart w:id="117" w:name="_Toc15647"/>
      <w:bookmarkStart w:id="118" w:name="_Toc1933"/>
      <w:bookmarkStart w:id="119" w:name="_Toc21872"/>
      <w:bookmarkStart w:id="120" w:name="_Toc201310195"/>
      <w:bookmarkStart w:id="121" w:name="_Toc17753"/>
      <w:r>
        <w:rPr>
          <w:rFonts w:cs="Times New Roman"/>
        </w:rPr>
        <w:t>（一）构建</w:t>
      </w:r>
      <w:r>
        <w:rPr>
          <w:rFonts w:hint="default" w:ascii="Times New Roman" w:hAnsi="Times New Roman" w:cs="Times New Roman"/>
          <w:lang w:eastAsia="zh-CN"/>
        </w:rPr>
        <w:t>“</w:t>
      </w:r>
      <w:r>
        <w:rPr>
          <w:rFonts w:hint="default" w:cs="Times New Roman"/>
          <w:lang w:val="en-US" w:eastAsia="zh-CN"/>
        </w:rPr>
        <w:t>3</w:t>
      </w:r>
      <w:r>
        <w:rPr>
          <w:rFonts w:cs="Times New Roman"/>
        </w:rPr>
        <w:t>+4</w:t>
      </w:r>
      <w:r>
        <w:rPr>
          <w:rFonts w:hint="default" w:ascii="Times New Roman" w:hAnsi="Times New Roman" w:cs="Times New Roman"/>
          <w:lang w:eastAsia="zh-CN"/>
        </w:rPr>
        <w:t>”</w:t>
      </w:r>
      <w:r>
        <w:rPr>
          <w:rFonts w:cs="Times New Roman"/>
        </w:rPr>
        <w:t>现代服务业体系，</w:t>
      </w:r>
      <w:r>
        <w:rPr>
          <w:rFonts w:hint="default" w:cs="Times New Roman"/>
          <w:lang w:val="en-US" w:eastAsia="zh-CN"/>
        </w:rPr>
        <w:t>优势</w:t>
      </w:r>
      <w:r>
        <w:rPr>
          <w:rFonts w:cs="Times New Roman"/>
        </w:rPr>
        <w:t>特色</w:t>
      </w:r>
      <w:r>
        <w:rPr>
          <w:rFonts w:hint="default" w:cs="Times New Roman"/>
          <w:lang w:val="en-US" w:eastAsia="zh-CN"/>
        </w:rPr>
        <w:t>实现新进展</w:t>
      </w:r>
      <w:bookmarkEnd w:id="117"/>
      <w:bookmarkEnd w:id="118"/>
      <w:bookmarkEnd w:id="119"/>
      <w:bookmarkEnd w:id="120"/>
      <w:bookmarkEnd w:id="121"/>
    </w:p>
    <w:p>
      <w:pPr>
        <w:ind w:firstLine="640"/>
        <w:rPr>
          <w:rFonts w:cs="Times New Roman"/>
          <w:b/>
          <w:bCs/>
        </w:rPr>
      </w:pP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时期，</w:t>
      </w:r>
      <w:r>
        <w:rPr>
          <w:rFonts w:cs="Times New Roman"/>
          <w:b/>
          <w:bCs/>
        </w:rPr>
        <w:t>着力夯实高端商贸服务、新型制造服务、</w:t>
      </w:r>
      <w:r>
        <w:rPr>
          <w:rFonts w:hint="default" w:cs="Times New Roman"/>
          <w:b/>
          <w:bCs/>
          <w:lang w:val="en-US" w:eastAsia="zh-CN"/>
        </w:rPr>
        <w:t>数字创意服务三</w:t>
      </w:r>
      <w:r>
        <w:rPr>
          <w:rFonts w:cs="Times New Roman"/>
          <w:b/>
          <w:bCs/>
        </w:rPr>
        <w:t>大支柱产业，提升壮大人力资源服务、</w:t>
      </w:r>
      <w:r>
        <w:rPr>
          <w:rFonts w:hint="default" w:cs="Times New Roman"/>
          <w:b/>
          <w:bCs/>
          <w:lang w:eastAsia="zh-CN"/>
        </w:rPr>
        <w:t>专业法律服务</w:t>
      </w:r>
      <w:r>
        <w:rPr>
          <w:rFonts w:cs="Times New Roman"/>
          <w:b/>
          <w:bCs/>
        </w:rPr>
        <w:t>、</w:t>
      </w:r>
      <w:r>
        <w:rPr>
          <w:rFonts w:hint="default" w:cs="Times New Roman"/>
          <w:b/>
          <w:bCs/>
          <w:lang w:eastAsia="zh-CN"/>
        </w:rPr>
        <w:t>金融财税</w:t>
      </w:r>
      <w:r>
        <w:rPr>
          <w:rFonts w:cs="Times New Roman"/>
          <w:b/>
          <w:bCs/>
        </w:rPr>
        <w:t>服务、医疗健康服务四大特色产业，形成创新引领、支柱坚实、特色突出的</w:t>
      </w:r>
      <w:r>
        <w:rPr>
          <w:rFonts w:hint="default" w:ascii="Times New Roman" w:hAnsi="Times New Roman" w:cs="Times New Roman"/>
          <w:b/>
          <w:bCs/>
          <w:lang w:eastAsia="zh-CN"/>
        </w:rPr>
        <w:t>“</w:t>
      </w:r>
      <w:r>
        <w:rPr>
          <w:rFonts w:hint="default" w:cs="Times New Roman"/>
          <w:b/>
          <w:bCs/>
          <w:lang w:val="en-US" w:eastAsia="zh-CN"/>
        </w:rPr>
        <w:t>3</w:t>
      </w:r>
      <w:r>
        <w:rPr>
          <w:rFonts w:cs="Times New Roman"/>
          <w:b/>
          <w:bCs/>
        </w:rPr>
        <w:t>+4</w:t>
      </w:r>
      <w:r>
        <w:rPr>
          <w:rFonts w:hint="default" w:ascii="Times New Roman" w:hAnsi="Times New Roman" w:cs="Times New Roman"/>
          <w:b/>
          <w:bCs/>
          <w:lang w:eastAsia="zh-CN"/>
        </w:rPr>
        <w:t>”</w:t>
      </w:r>
      <w:r>
        <w:rPr>
          <w:rFonts w:cs="Times New Roman"/>
          <w:b/>
          <w:bCs/>
        </w:rPr>
        <w:t>服务业体系。</w:t>
      </w:r>
    </w:p>
    <w:p>
      <w:pPr>
        <w:ind w:firstLine="0" w:firstLineChars="0"/>
        <w:rPr>
          <w:rFonts w:cs="Times New Roman"/>
          <w:b/>
          <w:bCs/>
        </w:rPr>
      </w:pPr>
      <w:r>
        <w:rPr>
          <w:rFonts w:cs="Times New Roman"/>
        </w:rPr>
        <w:drawing>
          <wp:inline distT="0" distB="0" distL="114300" distR="114300">
            <wp:extent cx="5483225" cy="3691890"/>
            <wp:effectExtent l="0" t="0" r="317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483225" cy="3691890"/>
                    </a:xfrm>
                    <a:prstGeom prst="rect">
                      <a:avLst/>
                    </a:prstGeom>
                    <a:noFill/>
                    <a:ln>
                      <a:noFill/>
                    </a:ln>
                  </pic:spPr>
                </pic:pic>
              </a:graphicData>
            </a:graphic>
          </wp:inline>
        </w:drawing>
      </w:r>
      <w:r>
        <w:drawing>
          <wp:inline distT="0" distB="0" distL="114300" distR="114300">
            <wp:extent cx="5273040" cy="424180"/>
            <wp:effectExtent l="0" t="0" r="10160"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273040" cy="424180"/>
                    </a:xfrm>
                    <a:prstGeom prst="rect">
                      <a:avLst/>
                    </a:prstGeom>
                    <a:noFill/>
                    <a:ln>
                      <a:noFill/>
                    </a:ln>
                  </pic:spPr>
                </pic:pic>
              </a:graphicData>
            </a:graphic>
          </wp:inline>
        </w:drawing>
      </w:r>
    </w:p>
    <w:p>
      <w:pPr>
        <w:pStyle w:val="4"/>
        <w:ind w:firstLine="643"/>
        <w:rPr>
          <w:rFonts w:cs="Times New Roman"/>
        </w:rPr>
      </w:pPr>
      <w:bookmarkStart w:id="122" w:name="_Toc31204"/>
      <w:bookmarkStart w:id="123" w:name="_Toc19908"/>
      <w:bookmarkStart w:id="124" w:name="_Toc9940"/>
      <w:bookmarkStart w:id="125" w:name="_Toc26527"/>
      <w:r>
        <w:rPr>
          <w:rFonts w:cs="Times New Roman"/>
        </w:rPr>
        <w:t>1、夯实高端商贸服务集聚优势</w:t>
      </w:r>
      <w:bookmarkEnd w:id="122"/>
      <w:bookmarkEnd w:id="123"/>
      <w:bookmarkEnd w:id="124"/>
      <w:bookmarkEnd w:id="125"/>
    </w:p>
    <w:p>
      <w:pPr>
        <w:ind w:firstLine="640"/>
        <w:rPr>
          <w:rFonts w:cs="Times New Roman"/>
        </w:rPr>
      </w:pPr>
      <w:r>
        <w:rPr>
          <w:rFonts w:cs="Times New Roman"/>
        </w:rPr>
        <w:t>依托</w:t>
      </w:r>
      <w:r>
        <w:rPr>
          <w:rFonts w:hint="default" w:cs="Times New Roman"/>
          <w:lang w:eastAsia="zh-CN"/>
        </w:rPr>
        <w:t>虹桥国际中央商务区</w:t>
      </w:r>
      <w:r>
        <w:rPr>
          <w:rFonts w:cs="Times New Roman"/>
        </w:rPr>
        <w:t>（闵行）</w:t>
      </w:r>
      <w:r>
        <w:rPr>
          <w:rFonts w:hint="default" w:cs="Times New Roman"/>
          <w:lang w:eastAsia="zh-CN"/>
        </w:rPr>
        <w:t>、</w:t>
      </w:r>
      <w:r>
        <w:rPr>
          <w:rFonts w:hint="default" w:cs="Times New Roman"/>
          <w:lang w:val="en-US" w:eastAsia="zh-CN"/>
        </w:rPr>
        <w:t>漕河泾综保区等</w:t>
      </w:r>
      <w:r>
        <w:rPr>
          <w:rFonts w:cs="Times New Roman"/>
        </w:rPr>
        <w:t>重大功能平台</w:t>
      </w:r>
      <w:r>
        <w:rPr>
          <w:rFonts w:hint="default" w:cs="Times New Roman"/>
          <w:lang w:val="en-US" w:eastAsia="zh-CN"/>
        </w:rPr>
        <w:t>以及</w:t>
      </w:r>
      <w:r>
        <w:rPr>
          <w:rFonts w:hint="eastAsia" w:cs="Times New Roman"/>
          <w:lang w:val="en-US" w:eastAsia="zh-CN"/>
        </w:rPr>
        <w:t>多层次</w:t>
      </w:r>
      <w:r>
        <w:rPr>
          <w:rFonts w:hint="default" w:cs="Times New Roman"/>
          <w:lang w:val="en-US" w:eastAsia="zh-CN"/>
        </w:rPr>
        <w:t>商业中心资源，</w:t>
      </w:r>
      <w:r>
        <w:rPr>
          <w:rFonts w:hint="eastAsia" w:cs="Times New Roman"/>
          <w:lang w:val="en-US" w:eastAsia="zh-CN"/>
        </w:rPr>
        <w:t>聚焦贸易升级与消费创新双向发力，全方位提升商贸商业能级。</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期末，</w:t>
      </w:r>
      <w:r>
        <w:rPr>
          <w:rFonts w:hint="default" w:cs="Times New Roman"/>
          <w:lang w:val="en-US" w:eastAsia="zh-CN"/>
        </w:rPr>
        <w:t>高端</w:t>
      </w:r>
      <w:r>
        <w:rPr>
          <w:rFonts w:cs="Times New Roman"/>
        </w:rPr>
        <w:t>商贸</w:t>
      </w:r>
      <w:r>
        <w:rPr>
          <w:rFonts w:hint="default" w:cs="Times New Roman"/>
          <w:lang w:val="en-US" w:eastAsia="zh-CN"/>
        </w:rPr>
        <w:t>服务</w:t>
      </w:r>
      <w:r>
        <w:rPr>
          <w:rFonts w:cs="Times New Roman"/>
        </w:rPr>
        <w:t>产业营业收入</w:t>
      </w:r>
      <w:r>
        <w:rPr>
          <w:rFonts w:hint="default" w:cs="Times New Roman"/>
          <w:lang w:val="en-US" w:eastAsia="zh-CN"/>
        </w:rPr>
        <w:t>实现65</w:t>
      </w:r>
      <w:r>
        <w:rPr>
          <w:rFonts w:cs="Times New Roman"/>
        </w:rPr>
        <w:t>00亿元。</w:t>
      </w:r>
    </w:p>
    <w:p>
      <w:pPr>
        <w:pStyle w:val="60"/>
        <w:ind w:firstLine="643"/>
        <w:rPr>
          <w:rFonts w:hint="default" w:eastAsia="仿宋_GB2312"/>
          <w:lang w:val="en-US" w:eastAsia="zh-CN"/>
        </w:rPr>
      </w:pPr>
      <w:r>
        <w:t>（1）</w:t>
      </w:r>
      <w:r>
        <w:rPr>
          <w:rFonts w:hint="default"/>
          <w:lang w:val="en-US" w:eastAsia="zh-CN"/>
        </w:rPr>
        <w:t>商贸服务</w:t>
      </w:r>
    </w:p>
    <w:p>
      <w:pPr>
        <w:ind w:firstLine="643"/>
        <w:rPr>
          <w:rFonts w:cs="Times New Roman"/>
        </w:rPr>
      </w:pPr>
      <w:r>
        <w:rPr>
          <w:rFonts w:cs="Times New Roman"/>
          <w:b/>
          <w:bCs/>
        </w:rPr>
        <w:t>深化内贸市场体系建设。</w:t>
      </w:r>
      <w:r>
        <w:rPr>
          <w:rFonts w:hint="eastAsia" w:cs="Times New Roman"/>
          <w:b w:val="0"/>
          <w:bCs w:val="0"/>
          <w:lang w:val="en-US" w:eastAsia="zh-CN"/>
        </w:rPr>
        <w:t>壮大</w:t>
      </w:r>
      <w:r>
        <w:rPr>
          <w:rFonts w:cs="Times New Roman"/>
        </w:rPr>
        <w:t>机械设备、汽车及后市场、纺织服装</w:t>
      </w:r>
      <w:r>
        <w:rPr>
          <w:rFonts w:hint="eastAsia" w:cs="Times New Roman"/>
          <w:lang w:eastAsia="zh-CN"/>
        </w:rPr>
        <w:t>、</w:t>
      </w:r>
      <w:r>
        <w:rPr>
          <w:rFonts w:cs="Times New Roman"/>
        </w:rPr>
        <w:t>日用品、医药和医疗器械等</w:t>
      </w:r>
      <w:r>
        <w:rPr>
          <w:rFonts w:hint="eastAsia" w:cs="Times New Roman"/>
          <w:lang w:val="en-US" w:eastAsia="zh-CN"/>
        </w:rPr>
        <w:t>优势品类</w:t>
      </w:r>
      <w:r>
        <w:rPr>
          <w:rFonts w:cs="Times New Roman"/>
        </w:rPr>
        <w:t>，支持商贸平台、专业市场</w:t>
      </w:r>
      <w:r>
        <w:rPr>
          <w:rFonts w:hint="eastAsia" w:cs="Times New Roman"/>
          <w:lang w:val="en-US" w:eastAsia="zh-CN"/>
        </w:rPr>
        <w:t>拓展</w:t>
      </w:r>
      <w:r>
        <w:rPr>
          <w:rFonts w:cs="Times New Roman"/>
        </w:rPr>
        <w:t>集采分销、展示体验</w:t>
      </w:r>
      <w:r>
        <w:rPr>
          <w:rFonts w:hint="eastAsia" w:cs="Times New Roman"/>
          <w:lang w:eastAsia="zh-CN"/>
        </w:rPr>
        <w:t>、</w:t>
      </w:r>
      <w:r>
        <w:rPr>
          <w:rFonts w:cs="Times New Roman"/>
        </w:rPr>
        <w:t>O2O</w:t>
      </w:r>
      <w:r>
        <w:rPr>
          <w:rFonts w:hint="eastAsia" w:cs="Times New Roman"/>
          <w:lang w:val="en-US" w:eastAsia="zh-CN"/>
        </w:rPr>
        <w:t>融合运营</w:t>
      </w:r>
      <w:r>
        <w:rPr>
          <w:rFonts w:cs="Times New Roman"/>
        </w:rPr>
        <w:t>等新模式。推动传统仓储</w:t>
      </w:r>
      <w:r>
        <w:rPr>
          <w:rFonts w:hint="eastAsia" w:cs="Times New Roman"/>
          <w:lang w:val="en-US" w:eastAsia="zh-CN"/>
        </w:rPr>
        <w:t>物流</w:t>
      </w:r>
      <w:r>
        <w:rPr>
          <w:rFonts w:cs="Times New Roman"/>
        </w:rPr>
        <w:t>智慧化、平台化转型。支持</w:t>
      </w:r>
      <w:r>
        <w:rPr>
          <w:rFonts w:hint="eastAsia" w:cs="Times New Roman"/>
          <w:lang w:val="en-US" w:eastAsia="zh-CN"/>
        </w:rPr>
        <w:t>龙头</w:t>
      </w:r>
      <w:r>
        <w:rPr>
          <w:rFonts w:cs="Times New Roman"/>
        </w:rPr>
        <w:t>企业建设</w:t>
      </w:r>
      <w:r>
        <w:rPr>
          <w:rFonts w:hint="eastAsia" w:cs="Times New Roman"/>
          <w:lang w:val="en-US" w:eastAsia="zh-CN"/>
        </w:rPr>
        <w:t>数字化</w:t>
      </w:r>
      <w:r>
        <w:rPr>
          <w:rFonts w:cs="Times New Roman"/>
        </w:rPr>
        <w:t>供应链管理平台。</w:t>
      </w:r>
    </w:p>
    <w:p>
      <w:pPr>
        <w:ind w:firstLine="643"/>
        <w:rPr>
          <w:rFonts w:cs="Times New Roman"/>
        </w:rPr>
      </w:pPr>
      <w:r>
        <w:rPr>
          <w:rFonts w:cs="Times New Roman"/>
          <w:b/>
          <w:bCs/>
        </w:rPr>
        <w:t>做精做优货物贸易</w:t>
      </w:r>
      <w:r>
        <w:rPr>
          <w:rFonts w:cs="Times New Roman"/>
        </w:rPr>
        <w:t>。</w:t>
      </w:r>
      <w:r>
        <w:rPr>
          <w:rFonts w:hint="eastAsia" w:cs="Times New Roman"/>
          <w:lang w:val="en-US" w:eastAsia="zh-CN"/>
        </w:rPr>
        <w:t>壮大</w:t>
      </w:r>
      <w:r>
        <w:rPr>
          <w:rFonts w:cs="Times New Roman"/>
        </w:rPr>
        <w:t>咖啡、红酒等成熟消费品</w:t>
      </w:r>
      <w:r>
        <w:rPr>
          <w:rFonts w:hint="default" w:cs="Times New Roman"/>
          <w:lang w:val="en-US" w:eastAsia="zh-CN"/>
        </w:rPr>
        <w:t>贸易</w:t>
      </w:r>
      <w:r>
        <w:rPr>
          <w:rFonts w:cs="Times New Roman"/>
        </w:rPr>
        <w:t>，重点引进医疗器械、低空经济、生产性工业品等高端</w:t>
      </w:r>
      <w:r>
        <w:rPr>
          <w:rFonts w:hint="default" w:cs="Times New Roman"/>
          <w:lang w:val="en-US" w:eastAsia="zh-CN"/>
        </w:rPr>
        <w:t>专业商贸主体</w:t>
      </w:r>
      <w:r>
        <w:rPr>
          <w:rFonts w:cs="Times New Roman"/>
        </w:rPr>
        <w:t>。</w:t>
      </w:r>
      <w:r>
        <w:rPr>
          <w:rFonts w:hint="eastAsia" w:cs="Times New Roman"/>
          <w:lang w:val="en-US" w:eastAsia="zh-CN"/>
        </w:rPr>
        <w:t>激活</w:t>
      </w:r>
      <w:r>
        <w:rPr>
          <w:rFonts w:cs="Times New Roman"/>
          <w:szCs w:val="32"/>
        </w:rPr>
        <w:t>虹桥进口商品展示交易中心</w:t>
      </w:r>
      <w:r>
        <w:rPr>
          <w:rFonts w:hint="eastAsia" w:cs="Times New Roman"/>
          <w:szCs w:val="32"/>
          <w:lang w:eastAsia="zh-CN"/>
        </w:rPr>
        <w:t>、</w:t>
      </w:r>
      <w:r>
        <w:rPr>
          <w:rFonts w:cs="Times New Roman"/>
        </w:rPr>
        <w:t>虹桥</w:t>
      </w:r>
      <w:r>
        <w:rPr>
          <w:rFonts w:hint="default" w:cs="Times New Roman"/>
          <w:lang w:val="en-US" w:eastAsia="zh-CN"/>
        </w:rPr>
        <w:t>商务区</w:t>
      </w:r>
      <w:r>
        <w:rPr>
          <w:rFonts w:cs="Times New Roman"/>
        </w:rPr>
        <w:t>保税物流中心（B型）</w:t>
      </w:r>
      <w:r>
        <w:rPr>
          <w:rFonts w:hint="eastAsia" w:cs="Times New Roman"/>
          <w:lang w:val="en-US" w:eastAsia="zh-CN"/>
        </w:rPr>
        <w:t>平台价值</w:t>
      </w:r>
      <w:r>
        <w:rPr>
          <w:rFonts w:cs="Times New Roman"/>
        </w:rPr>
        <w:t>，拓展</w:t>
      </w:r>
      <w:r>
        <w:rPr>
          <w:rFonts w:hint="default" w:ascii="Times New Roman" w:hAnsi="Times New Roman" w:cs="Times New Roman"/>
          <w:lang w:eastAsia="zh-CN"/>
        </w:rPr>
        <w:t>“</w:t>
      </w:r>
      <w:r>
        <w:rPr>
          <w:rFonts w:cs="Times New Roman"/>
        </w:rPr>
        <w:t>前店+后仓、批发+零售、线上+线下</w:t>
      </w:r>
      <w:r>
        <w:rPr>
          <w:rFonts w:hint="default" w:ascii="Times New Roman" w:hAnsi="Times New Roman" w:cs="Times New Roman"/>
          <w:lang w:eastAsia="zh-CN"/>
        </w:rPr>
        <w:t>”</w:t>
      </w:r>
      <w:r>
        <w:rPr>
          <w:rFonts w:cs="Times New Roman"/>
        </w:rPr>
        <w:t>等功能模式，探索跨关区保税展示交易等创新业务。</w:t>
      </w:r>
      <w:r>
        <w:rPr>
          <w:rFonts w:hint="eastAsia" w:cs="Times New Roman"/>
          <w:lang w:val="en-US" w:eastAsia="zh-CN"/>
        </w:rPr>
        <w:t>深化</w:t>
      </w:r>
      <w:r>
        <w:rPr>
          <w:rFonts w:hint="default" w:ascii="Times New Roman" w:hAnsi="Times New Roman" w:cs="Times New Roman"/>
          <w:lang w:eastAsia="zh-CN"/>
        </w:rPr>
        <w:t>“</w:t>
      </w:r>
      <w:r>
        <w:rPr>
          <w:rFonts w:cs="Times New Roman"/>
        </w:rPr>
        <w:t>丝路电商</w:t>
      </w:r>
      <w:r>
        <w:rPr>
          <w:rFonts w:hint="default" w:ascii="Times New Roman" w:hAnsi="Times New Roman" w:cs="Times New Roman"/>
          <w:lang w:eastAsia="zh-CN"/>
        </w:rPr>
        <w:t>”</w:t>
      </w:r>
      <w:r>
        <w:rPr>
          <w:rFonts w:cs="Times New Roman"/>
        </w:rPr>
        <w:t>辐射</w:t>
      </w:r>
      <w:r>
        <w:rPr>
          <w:rFonts w:hint="eastAsia" w:cs="Times New Roman"/>
          <w:lang w:val="en-US" w:eastAsia="zh-CN"/>
        </w:rPr>
        <w:t>效应</w:t>
      </w:r>
      <w:r>
        <w:rPr>
          <w:rFonts w:cs="Times New Roman"/>
        </w:rPr>
        <w:t>，</w:t>
      </w:r>
      <w:r>
        <w:rPr>
          <w:rFonts w:hint="eastAsia" w:cs="Times New Roman"/>
          <w:lang w:val="en-US" w:eastAsia="zh-CN"/>
        </w:rPr>
        <w:t>集聚</w:t>
      </w:r>
      <w:r>
        <w:rPr>
          <w:rFonts w:cs="Times New Roman"/>
        </w:rPr>
        <w:t>跨境电商</w:t>
      </w:r>
      <w:r>
        <w:rPr>
          <w:rFonts w:hint="eastAsia" w:cs="Times New Roman"/>
          <w:lang w:val="en-US" w:eastAsia="zh-CN"/>
        </w:rPr>
        <w:t>资源，推动</w:t>
      </w:r>
      <w:r>
        <w:rPr>
          <w:rFonts w:cs="Times New Roman"/>
        </w:rPr>
        <w:t>传统外贸企业</w:t>
      </w:r>
      <w:r>
        <w:rPr>
          <w:rFonts w:hint="eastAsia" w:cs="Times New Roman"/>
          <w:lang w:val="en-US" w:eastAsia="zh-CN"/>
        </w:rPr>
        <w:t>数字化转型、</w:t>
      </w:r>
      <w:r>
        <w:rPr>
          <w:rFonts w:cs="Times New Roman"/>
        </w:rPr>
        <w:t>开拓国际新兴市场。</w:t>
      </w:r>
      <w:r>
        <w:rPr>
          <w:rFonts w:hint="default" w:cs="Times New Roman"/>
        </w:rPr>
        <w:t>支持区域内企业纳入</w:t>
      </w:r>
      <w:r>
        <w:rPr>
          <w:rFonts w:hint="default" w:ascii="Times New Roman" w:hAnsi="Times New Roman" w:cs="Times New Roman"/>
          <w:lang w:eastAsia="zh-CN"/>
        </w:rPr>
        <w:t>“</w:t>
      </w:r>
      <w:r>
        <w:rPr>
          <w:rFonts w:hint="default" w:cs="Times New Roman"/>
        </w:rPr>
        <w:t>离岸经贸业务企业名单</w:t>
      </w:r>
      <w:r>
        <w:rPr>
          <w:rFonts w:hint="default" w:ascii="Times New Roman" w:hAnsi="Times New Roman" w:cs="Times New Roman"/>
          <w:lang w:eastAsia="zh-CN"/>
        </w:rPr>
        <w:t>”</w:t>
      </w:r>
      <w:r>
        <w:rPr>
          <w:rFonts w:cs="Times New Roman"/>
        </w:rPr>
        <w:t>。</w:t>
      </w:r>
    </w:p>
    <w:p>
      <w:pPr>
        <w:ind w:firstLine="643"/>
        <w:rPr>
          <w:rFonts w:cs="Times New Roman"/>
        </w:rPr>
      </w:pPr>
      <w:r>
        <w:rPr>
          <w:rFonts w:cs="Times New Roman"/>
          <w:b/>
          <w:bCs/>
        </w:rPr>
        <w:t>推动数字贸易、服务贸易高质量发展</w:t>
      </w:r>
      <w:r>
        <w:rPr>
          <w:rFonts w:hint="default" w:cs="Times New Roman"/>
          <w:b/>
          <w:bCs/>
          <w:lang w:val="en-US" w:eastAsia="zh-CN"/>
        </w:rPr>
        <w:t>。</w:t>
      </w:r>
      <w:r>
        <w:rPr>
          <w:rFonts w:cs="Times New Roman"/>
        </w:rPr>
        <w:t>构建数字内容企业出海特色高能级功能性平台，培育出口重点企业。推动先进制造业领军企业开展</w:t>
      </w:r>
      <w:r>
        <w:rPr>
          <w:rFonts w:hint="default" w:ascii="Times New Roman" w:hAnsi="Times New Roman" w:cs="Times New Roman"/>
          <w:lang w:eastAsia="zh-CN"/>
        </w:rPr>
        <w:t>“</w:t>
      </w:r>
      <w:r>
        <w:rPr>
          <w:rFonts w:cs="Times New Roman"/>
        </w:rPr>
        <w:t>人工智能+</w:t>
      </w:r>
      <w:r>
        <w:rPr>
          <w:rFonts w:hint="default" w:ascii="Times New Roman" w:hAnsi="Times New Roman" w:cs="Times New Roman"/>
          <w:lang w:eastAsia="zh-CN"/>
        </w:rPr>
        <w:t>”</w:t>
      </w:r>
      <w:r>
        <w:rPr>
          <w:rFonts w:cs="Times New Roman"/>
        </w:rPr>
        <w:t>行动，</w:t>
      </w:r>
      <w:r>
        <w:rPr>
          <w:rFonts w:hint="default" w:cs="Times New Roman"/>
          <w:lang w:val="en-US" w:eastAsia="zh-CN"/>
        </w:rPr>
        <w:t>整合</w:t>
      </w:r>
      <w:r>
        <w:rPr>
          <w:rFonts w:cs="Times New Roman"/>
        </w:rPr>
        <w:t>打造工业智算特色离岸外包生态。深入实施全球数字贸易港建设，</w:t>
      </w:r>
      <w:r>
        <w:rPr>
          <w:rFonts w:hint="default" w:cs="Times New Roman"/>
          <w:lang w:val="en-US" w:eastAsia="zh-CN"/>
        </w:rPr>
        <w:t>积极</w:t>
      </w:r>
      <w:r>
        <w:rPr>
          <w:rFonts w:cs="Times New Roman"/>
        </w:rPr>
        <w:t>创建国家跨境电商示范园区和国家数字服务出口基地。</w:t>
      </w:r>
      <w:r>
        <w:rPr>
          <w:rFonts w:hint="eastAsia" w:cs="Times New Roman"/>
          <w:lang w:val="en-US" w:eastAsia="zh-CN"/>
        </w:rPr>
        <w:t>依托</w:t>
      </w:r>
      <w:r>
        <w:rPr>
          <w:rFonts w:cs="Times New Roman"/>
        </w:rPr>
        <w:t>InnoMatch</w:t>
      </w:r>
      <w:r>
        <w:rPr>
          <w:rFonts w:hint="eastAsia" w:cs="Times New Roman"/>
          <w:lang w:val="en-US" w:eastAsia="zh-CN"/>
        </w:rPr>
        <w:t>平台提升跨境技术贸易能级，依托</w:t>
      </w:r>
      <w:r>
        <w:rPr>
          <w:rFonts w:cs="Times New Roman"/>
        </w:rPr>
        <w:t>新虹桥国际医学中心</w:t>
      </w:r>
      <w:r>
        <w:rPr>
          <w:rFonts w:hint="eastAsia" w:cs="Times New Roman"/>
          <w:lang w:val="en-US" w:eastAsia="zh-CN"/>
        </w:rPr>
        <w:t>发展国际</w:t>
      </w:r>
      <w:r>
        <w:rPr>
          <w:rFonts w:cs="Times New Roman"/>
        </w:rPr>
        <w:t>医疗服务贸易</w:t>
      </w:r>
      <w:r>
        <w:rPr>
          <w:rFonts w:hint="eastAsia" w:cs="Times New Roman"/>
          <w:lang w:eastAsia="zh-CN"/>
        </w:rPr>
        <w:t>，</w:t>
      </w:r>
      <w:r>
        <w:rPr>
          <w:rFonts w:hint="eastAsia" w:cs="Times New Roman"/>
          <w:lang w:val="en-US" w:eastAsia="zh-CN"/>
        </w:rPr>
        <w:t>推动</w:t>
      </w:r>
      <w:r>
        <w:rPr>
          <w:rFonts w:cs="Times New Roman"/>
        </w:rPr>
        <w:t>研发设计、检验检测</w:t>
      </w:r>
      <w:r>
        <w:rPr>
          <w:rFonts w:hint="eastAsia" w:cs="Times New Roman"/>
          <w:lang w:eastAsia="zh-CN"/>
        </w:rPr>
        <w:t>、</w:t>
      </w:r>
      <w:r>
        <w:rPr>
          <w:rFonts w:cs="Times New Roman"/>
        </w:rPr>
        <w:t>人力资源等向</w:t>
      </w:r>
      <w:r>
        <w:rPr>
          <w:rFonts w:hint="default" w:ascii="Times New Roman" w:hAnsi="Times New Roman" w:cs="Times New Roman"/>
          <w:lang w:eastAsia="zh-CN"/>
        </w:rPr>
        <w:t>“</w:t>
      </w:r>
      <w:r>
        <w:rPr>
          <w:rFonts w:cs="Times New Roman"/>
        </w:rPr>
        <w:t>一站式解决方案提供商</w:t>
      </w:r>
      <w:r>
        <w:rPr>
          <w:rFonts w:hint="default" w:ascii="Times New Roman" w:hAnsi="Times New Roman" w:cs="Times New Roman"/>
          <w:lang w:eastAsia="zh-CN"/>
        </w:rPr>
        <w:t>”</w:t>
      </w:r>
      <w:r>
        <w:rPr>
          <w:rFonts w:cs="Times New Roman"/>
        </w:rPr>
        <w:t>转型</w:t>
      </w:r>
      <w:r>
        <w:rPr>
          <w:rFonts w:hint="eastAsia" w:cs="Times New Roman"/>
          <w:lang w:eastAsia="zh-CN"/>
        </w:rPr>
        <w:t>，</w:t>
      </w:r>
      <w:r>
        <w:rPr>
          <w:rFonts w:hint="eastAsia" w:cs="Times New Roman"/>
          <w:lang w:val="en-US" w:eastAsia="zh-CN"/>
        </w:rPr>
        <w:t>持续扩大</w:t>
      </w:r>
      <w:r>
        <w:rPr>
          <w:rFonts w:cs="Times New Roman"/>
        </w:rPr>
        <w:t>漕河泾综保区保税维修、保税研发业务规模。</w:t>
      </w:r>
    </w:p>
    <w:p>
      <w:pPr>
        <w:pStyle w:val="60"/>
        <w:ind w:firstLine="643"/>
        <w:rPr>
          <w:rFonts w:hint="default" w:eastAsia="仿宋_GB2312"/>
          <w:lang w:val="en-US" w:eastAsia="zh-CN"/>
        </w:rPr>
      </w:pPr>
      <w:bookmarkStart w:id="126" w:name="_Toc180"/>
      <w:r>
        <w:t>（</w:t>
      </w:r>
      <w:r>
        <w:rPr>
          <w:rFonts w:hint="default"/>
          <w:lang w:val="en-US" w:eastAsia="zh-CN"/>
        </w:rPr>
        <w:t>2</w:t>
      </w:r>
      <w:r>
        <w:t>）</w:t>
      </w:r>
      <w:r>
        <w:rPr>
          <w:rFonts w:hint="default"/>
          <w:lang w:val="en-US" w:eastAsia="zh-CN"/>
        </w:rPr>
        <w:t>商业服务</w:t>
      </w:r>
    </w:p>
    <w:bookmarkEnd w:id="126"/>
    <w:p>
      <w:pPr>
        <w:pStyle w:val="60"/>
        <w:outlineLvl w:val="9"/>
        <w:rPr>
          <w:rFonts w:hint="default" w:cs="Times New Roman"/>
          <w:b w:val="0"/>
          <w:bCs w:val="0"/>
          <w:szCs w:val="30"/>
          <w:lang w:val="en-US"/>
        </w:rPr>
      </w:pPr>
      <w:r>
        <w:rPr>
          <w:rFonts w:cs="Times New Roman"/>
          <w:b/>
          <w:bCs w:val="0"/>
        </w:rPr>
        <w:t>推动</w:t>
      </w:r>
      <w:r>
        <w:rPr>
          <w:rFonts w:hint="default" w:ascii="Times New Roman" w:hAnsi="Times New Roman" w:cs="Times New Roman"/>
          <w:b/>
          <w:bCs w:val="0"/>
          <w:lang w:eastAsia="zh-CN"/>
        </w:rPr>
        <w:t>“</w:t>
      </w:r>
      <w:r>
        <w:rPr>
          <w:rFonts w:cs="Times New Roman"/>
          <w:b/>
          <w:bCs w:val="0"/>
        </w:rPr>
        <w:t>1+2+6+N</w:t>
      </w:r>
      <w:r>
        <w:rPr>
          <w:rFonts w:hint="default" w:ascii="Times New Roman" w:hAnsi="Times New Roman" w:cs="Times New Roman"/>
          <w:b/>
          <w:bCs w:val="0"/>
          <w:lang w:eastAsia="zh-CN"/>
        </w:rPr>
        <w:t>”</w:t>
      </w:r>
      <w:r>
        <w:rPr>
          <w:rFonts w:cs="Times New Roman"/>
          <w:b/>
          <w:bCs w:val="0"/>
        </w:rPr>
        <w:t>的商业空间格局</w:t>
      </w:r>
      <w:r>
        <w:rPr>
          <w:rStyle w:val="25"/>
          <w:rFonts w:cs="Times New Roman"/>
          <w:b/>
          <w:bCs w:val="0"/>
          <w:vertAlign w:val="superscript"/>
        </w:rPr>
        <w:footnoteReference w:id="4"/>
      </w:r>
      <w:r>
        <w:rPr>
          <w:rFonts w:cs="Times New Roman"/>
          <w:b/>
          <w:bCs w:val="0"/>
        </w:rPr>
        <w:t>体系化特色化发展</w:t>
      </w:r>
      <w:r>
        <w:rPr>
          <w:rFonts w:hint="default" w:cs="Times New Roman"/>
          <w:b/>
          <w:bCs w:val="0"/>
          <w:lang w:eastAsia="zh-CN"/>
        </w:rPr>
        <w:t>。</w:t>
      </w:r>
      <w:r>
        <w:rPr>
          <w:rFonts w:hint="eastAsia" w:cs="Times New Roman"/>
          <w:b w:val="0"/>
          <w:bCs/>
          <w:lang w:val="en-US" w:eastAsia="zh-CN"/>
        </w:rPr>
        <w:t>做强</w:t>
      </w:r>
      <w:r>
        <w:rPr>
          <w:rFonts w:cs="Times New Roman"/>
          <w:b w:val="0"/>
          <w:bCs/>
        </w:rPr>
        <w:t>虹桥国际级消费集聚区，引进更多国内外中高端消费品牌首店、旗舰店、</w:t>
      </w:r>
      <w:r>
        <w:rPr>
          <w:rFonts w:cs="Times New Roman"/>
          <w:b w:val="0"/>
          <w:bCs w:val="0"/>
        </w:rPr>
        <w:t>快闪店，发展保税展销、离境退税，</w:t>
      </w:r>
      <w:r>
        <w:rPr>
          <w:rFonts w:hint="eastAsia" w:cs="Times New Roman"/>
          <w:b w:val="0"/>
          <w:bCs w:val="0"/>
          <w:lang w:val="en-US" w:eastAsia="zh-CN"/>
        </w:rPr>
        <w:t>打造</w:t>
      </w:r>
      <w:r>
        <w:rPr>
          <w:rFonts w:cs="Times New Roman"/>
          <w:b w:val="0"/>
          <w:bCs w:val="0"/>
        </w:rPr>
        <w:t>上海西翼</w:t>
      </w:r>
      <w:r>
        <w:rPr>
          <w:rFonts w:hint="eastAsia" w:cs="Times New Roman"/>
          <w:b w:val="0"/>
          <w:bCs w:val="0"/>
          <w:lang w:val="en-US" w:eastAsia="zh-CN"/>
        </w:rPr>
        <w:t>高端</w:t>
      </w:r>
      <w:r>
        <w:rPr>
          <w:rFonts w:cs="Times New Roman"/>
          <w:b w:val="0"/>
          <w:bCs w:val="0"/>
        </w:rPr>
        <w:t>商业门户</w:t>
      </w:r>
      <w:r>
        <w:rPr>
          <w:rFonts w:hint="eastAsia" w:cs="Times New Roman"/>
          <w:b w:val="0"/>
          <w:bCs w:val="0"/>
          <w:lang w:eastAsia="zh-CN"/>
        </w:rPr>
        <w:t>。</w:t>
      </w:r>
      <w:r>
        <w:rPr>
          <w:rFonts w:hint="eastAsia" w:cs="Times New Roman"/>
          <w:b w:val="0"/>
          <w:bCs w:val="0"/>
          <w:lang w:val="en-US" w:eastAsia="zh-CN"/>
        </w:rPr>
        <w:t>深化</w:t>
      </w:r>
      <w:r>
        <w:rPr>
          <w:rFonts w:cs="Times New Roman"/>
          <w:b w:val="0"/>
          <w:bCs w:val="0"/>
        </w:rPr>
        <w:t>吴中路商业中心</w:t>
      </w:r>
      <w:r>
        <w:rPr>
          <w:rFonts w:hint="default" w:ascii="Times New Roman" w:hAnsi="Times New Roman" w:cs="Times New Roman"/>
          <w:b w:val="0"/>
          <w:bCs w:val="0"/>
          <w:lang w:eastAsia="zh-CN"/>
        </w:rPr>
        <w:t>“</w:t>
      </w:r>
      <w:r>
        <w:rPr>
          <w:rFonts w:cs="Times New Roman"/>
          <w:b w:val="0"/>
          <w:bCs w:val="0"/>
        </w:rPr>
        <w:t>夜虹桥潮流街区</w:t>
      </w:r>
      <w:r>
        <w:rPr>
          <w:rFonts w:hint="default" w:ascii="Times New Roman" w:hAnsi="Times New Roman" w:cs="Times New Roman"/>
          <w:b w:val="0"/>
          <w:bCs w:val="0"/>
          <w:lang w:eastAsia="zh-CN"/>
        </w:rPr>
        <w:t>”</w:t>
      </w:r>
      <w:r>
        <w:rPr>
          <w:rFonts w:hint="eastAsia" w:cs="Times New Roman"/>
          <w:b w:val="0"/>
          <w:bCs w:val="0"/>
          <w:lang w:val="en-US" w:eastAsia="zh-CN"/>
        </w:rPr>
        <w:t>建设，持续擦亮</w:t>
      </w:r>
      <w:r>
        <w:rPr>
          <w:rFonts w:cs="Times New Roman"/>
          <w:b w:val="0"/>
          <w:bCs w:val="0"/>
        </w:rPr>
        <w:t>上海市都市运动中心地标</w:t>
      </w:r>
      <w:r>
        <w:rPr>
          <w:rFonts w:hint="eastAsia" w:cs="Times New Roman"/>
          <w:b w:val="0"/>
          <w:bCs w:val="0"/>
          <w:lang w:eastAsia="zh-CN"/>
        </w:rPr>
        <w:t>；</w:t>
      </w:r>
      <w:r>
        <w:rPr>
          <w:rFonts w:hint="eastAsia" w:cs="Times New Roman"/>
          <w:b w:val="0"/>
          <w:bCs w:val="0"/>
          <w:lang w:val="en-US" w:eastAsia="zh-CN"/>
        </w:rPr>
        <w:t>稳步推进</w:t>
      </w:r>
      <w:r>
        <w:rPr>
          <w:rFonts w:cs="Times New Roman"/>
          <w:b w:val="0"/>
          <w:bCs w:val="0"/>
        </w:rPr>
        <w:t>莘庄商业中心</w:t>
      </w:r>
      <w:r>
        <w:rPr>
          <w:rFonts w:hint="eastAsia" w:cs="Times New Roman"/>
          <w:b w:val="0"/>
          <w:bCs w:val="0"/>
          <w:lang w:val="en-US" w:eastAsia="zh-CN"/>
        </w:rPr>
        <w:t>迭代升级，打造</w:t>
      </w:r>
      <w:r>
        <w:rPr>
          <w:rFonts w:cs="Times New Roman"/>
          <w:b w:val="0"/>
          <w:bCs w:val="0"/>
        </w:rPr>
        <w:t>新一代城市综合体。提升大零号湾、七宝、南方、银都</w:t>
      </w:r>
      <w:r>
        <w:rPr>
          <w:rFonts w:cs="Times New Roman"/>
          <w:b w:val="0"/>
          <w:bCs w:val="0"/>
          <w:highlight w:val="none"/>
        </w:rPr>
        <w:t>路、颛桥、浦江等地区级商业中心，</w:t>
      </w: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支持打造</w:t>
      </w: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青春、</w:t>
      </w: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银发、宠物、绿色</w:t>
      </w:r>
      <w:r>
        <w:rPr>
          <w:rFonts w:hint="default" w:ascii="Times New Roman" w:hAnsi="Times New Roman" w:cs="Times New Roman"/>
          <w:b w:val="0"/>
          <w:bCs w:val="0"/>
          <w:color w:val="000000" w:themeColor="text1"/>
          <w:sz w:val="32"/>
          <w:szCs w:val="32"/>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科技</w:t>
      </w: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等主题商业空间</w:t>
      </w:r>
      <w:r>
        <w:rPr>
          <w:rFonts w:hint="default" w:ascii="Times New Roman" w:hAnsi="Times New Roman" w:cs="Times New Roman"/>
          <w:b w:val="0"/>
          <w:bCs w:val="0"/>
          <w:color w:val="000000" w:themeColor="text1"/>
          <w:sz w:val="32"/>
          <w:szCs w:val="32"/>
          <w:highlight w:val="none"/>
          <w:lang w:eastAsia="zh-CN"/>
          <w14:textFill>
            <w14:solidFill>
              <w14:schemeClr w14:val="tx1"/>
            </w14:solidFill>
          </w14:textFill>
        </w:rPr>
        <w:t>，</w:t>
      </w:r>
      <w:r>
        <w:rPr>
          <w:rFonts w:hint="eastAsia" w:cs="Times New Roman"/>
          <w:b w:val="0"/>
          <w:bCs w:val="0"/>
          <w:color w:val="000000" w:themeColor="text1"/>
          <w:sz w:val="32"/>
          <w:szCs w:val="32"/>
          <w:highlight w:val="none"/>
          <w:lang w:val="en-US" w:eastAsia="zh-CN"/>
          <w14:textFill>
            <w14:solidFill>
              <w14:schemeClr w14:val="tx1"/>
            </w14:solidFill>
          </w14:textFill>
        </w:rPr>
        <w:t>丰富</w:t>
      </w: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外摆、市集</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、夜市等消费场景</w:t>
      </w:r>
      <w:r>
        <w:rPr>
          <w:rFonts w:cs="Times New Roman"/>
          <w:b w:val="0"/>
          <w:bCs w:val="0"/>
          <w:szCs w:val="30"/>
        </w:rPr>
        <w:t>。</w:t>
      </w:r>
      <w:r>
        <w:rPr>
          <w:rFonts w:hint="eastAsia" w:cs="Times New Roman"/>
          <w:b w:val="0"/>
          <w:bCs w:val="0"/>
          <w:szCs w:val="30"/>
          <w:lang w:val="en-US" w:eastAsia="zh-CN"/>
        </w:rPr>
        <w:t>激活</w:t>
      </w:r>
      <w:r>
        <w:rPr>
          <w:rFonts w:cs="Times New Roman"/>
          <w:b w:val="0"/>
          <w:bCs w:val="0"/>
          <w:szCs w:val="30"/>
        </w:rPr>
        <w:t>韩国街、老外街、</w:t>
      </w:r>
      <w:r>
        <w:rPr>
          <w:rFonts w:hint="default" w:cs="Times New Roman"/>
          <w:b w:val="0"/>
          <w:bCs w:val="0"/>
          <w:szCs w:val="30"/>
          <w:lang w:val="en-US" w:eastAsia="zh-CN"/>
        </w:rPr>
        <w:t>环</w:t>
      </w:r>
      <w:r>
        <w:rPr>
          <w:rFonts w:cs="Times New Roman"/>
          <w:b w:val="0"/>
          <w:bCs w:val="0"/>
          <w:szCs w:val="30"/>
        </w:rPr>
        <w:t>锦江乐园</w:t>
      </w:r>
      <w:r>
        <w:rPr>
          <w:rFonts w:cs="Times New Roman"/>
          <w:b w:val="0"/>
          <w:bCs w:val="0"/>
          <w:szCs w:val="30"/>
          <w:highlight w:val="none"/>
        </w:rPr>
        <w:t>、龙茗路、金平路</w:t>
      </w:r>
      <w:r>
        <w:rPr>
          <w:rFonts w:hint="default" w:cs="Times New Roman"/>
          <w:b w:val="0"/>
          <w:bCs w:val="0"/>
          <w:szCs w:val="30"/>
          <w:highlight w:val="none"/>
          <w:lang w:eastAsia="zh-CN"/>
        </w:rPr>
        <w:t>、</w:t>
      </w:r>
      <w:r>
        <w:rPr>
          <w:rFonts w:hint="default" w:cs="Times New Roman"/>
          <w:b w:val="0"/>
          <w:bCs w:val="0"/>
          <w:szCs w:val="30"/>
          <w:highlight w:val="none"/>
          <w:lang w:val="en-US" w:eastAsia="zh-CN"/>
        </w:rPr>
        <w:t>光华路</w:t>
      </w:r>
      <w:r>
        <w:rPr>
          <w:rFonts w:cs="Times New Roman"/>
          <w:b w:val="0"/>
          <w:bCs w:val="0"/>
          <w:szCs w:val="30"/>
          <w:highlight w:val="none"/>
        </w:rPr>
        <w:t>等特色街区，七宝、召稼楼等古镇古村</w:t>
      </w:r>
      <w:r>
        <w:rPr>
          <w:rFonts w:hint="default" w:cs="Times New Roman"/>
          <w:b w:val="0"/>
          <w:bCs w:val="0"/>
          <w:szCs w:val="30"/>
          <w:highlight w:val="none"/>
          <w:lang w:val="en-US" w:eastAsia="zh-CN"/>
        </w:rPr>
        <w:t>以及马桥网球小镇，</w:t>
      </w:r>
      <w:r>
        <w:rPr>
          <w:rFonts w:cs="Times New Roman"/>
          <w:b w:val="0"/>
          <w:bCs w:val="0"/>
          <w:szCs w:val="30"/>
          <w:highlight w:val="none"/>
        </w:rPr>
        <w:t>积极发展</w:t>
      </w:r>
      <w:r>
        <w:rPr>
          <w:rFonts w:hint="default" w:ascii="Times New Roman" w:hAnsi="Times New Roman" w:cs="Times New Roman"/>
          <w:b w:val="0"/>
          <w:bCs w:val="0"/>
          <w:highlight w:val="none"/>
          <w:lang w:eastAsia="zh-CN"/>
        </w:rPr>
        <w:t>“</w:t>
      </w:r>
      <w:r>
        <w:rPr>
          <w:rFonts w:cs="Times New Roman"/>
          <w:b w:val="0"/>
          <w:bCs w:val="0"/>
          <w:szCs w:val="30"/>
          <w:highlight w:val="none"/>
        </w:rPr>
        <w:t>地标型</w:t>
      </w:r>
      <w:r>
        <w:rPr>
          <w:rFonts w:hint="default" w:ascii="Times New Roman" w:hAnsi="Times New Roman" w:cs="Times New Roman"/>
          <w:b w:val="0"/>
          <w:bCs w:val="0"/>
          <w:highlight w:val="none"/>
          <w:lang w:eastAsia="zh-CN"/>
        </w:rPr>
        <w:t>”</w:t>
      </w:r>
      <w:r>
        <w:rPr>
          <w:rFonts w:hint="default" w:cs="Times New Roman"/>
          <w:b w:val="0"/>
          <w:bCs w:val="0"/>
          <w:szCs w:val="30"/>
          <w:highlight w:val="none"/>
          <w:lang w:val="en-US" w:eastAsia="zh-CN"/>
        </w:rPr>
        <w:t>特色商业IP</w:t>
      </w:r>
      <w:r>
        <w:rPr>
          <w:rFonts w:hint="default" w:cs="Times New Roman"/>
          <w:b w:val="0"/>
          <w:bCs w:val="0"/>
          <w:szCs w:val="30"/>
          <w:highlight w:val="none"/>
          <w:lang w:eastAsia="zh-CN"/>
        </w:rPr>
        <w:t>，</w:t>
      </w:r>
      <w:r>
        <w:rPr>
          <w:rFonts w:hint="default" w:cs="Times New Roman"/>
          <w:b w:val="0"/>
          <w:bCs w:val="0"/>
          <w:szCs w:val="30"/>
          <w:highlight w:val="none"/>
          <w:lang w:val="en-US" w:eastAsia="zh-CN"/>
        </w:rPr>
        <w:t>培育</w:t>
      </w:r>
      <w:r>
        <w:rPr>
          <w:rFonts w:cs="Times New Roman"/>
          <w:b w:val="0"/>
          <w:bCs w:val="0"/>
          <w:szCs w:val="30"/>
          <w:highlight w:val="none"/>
        </w:rPr>
        <w:t>文商旅融合消费。</w:t>
      </w:r>
      <w:r>
        <w:rPr>
          <w:rFonts w:hint="eastAsia" w:cs="Times New Roman"/>
          <w:b w:val="0"/>
          <w:bCs w:val="0"/>
          <w:szCs w:val="30"/>
          <w:highlight w:val="none"/>
          <w:lang w:val="en-US" w:eastAsia="zh-CN"/>
        </w:rPr>
        <w:t>持续完善</w:t>
      </w:r>
      <w:r>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t>15</w:t>
      </w:r>
      <w:r>
        <w:rPr>
          <w:rFonts w:hint="default" w:ascii="Times New Roman" w:hAnsi="Times New Roman" w:eastAsia="仿宋_GB2312" w:cs="Times New Roman"/>
          <w:b w:val="0"/>
          <w:bCs/>
          <w:color w:val="000000" w:themeColor="text1"/>
          <w:sz w:val="32"/>
          <w:szCs w:val="32"/>
          <w14:textFill>
            <w14:solidFill>
              <w14:schemeClr w14:val="tx1"/>
            </w14:solidFill>
          </w14:textFill>
        </w:rPr>
        <w:t>分钟便民生活圈，</w:t>
      </w:r>
      <w:r>
        <w:rPr>
          <w:rFonts w:hint="eastAsia" w:cs="Times New Roman"/>
          <w:b w:val="0"/>
          <w:bCs/>
          <w:color w:val="000000" w:themeColor="text1"/>
          <w:sz w:val="32"/>
          <w:szCs w:val="32"/>
          <w:lang w:val="en-US" w:eastAsia="zh-CN"/>
          <w14:textFill>
            <w14:solidFill>
              <w14:schemeClr w14:val="tx1"/>
            </w14:solidFill>
          </w14:textFill>
        </w:rPr>
        <w:t>优化菜市场、</w:t>
      </w:r>
      <w:r>
        <w:rPr>
          <w:rFonts w:hint="default" w:ascii="Times New Roman" w:hAnsi="Times New Roman" w:eastAsia="仿宋_GB2312" w:cs="Times New Roman"/>
          <w:b w:val="0"/>
          <w:bCs/>
          <w:color w:val="000000" w:themeColor="text1"/>
          <w:sz w:val="32"/>
          <w:szCs w:val="32"/>
          <w14:textFill>
            <w14:solidFill>
              <w14:schemeClr w14:val="tx1"/>
            </w14:solidFill>
          </w14:textFill>
        </w:rPr>
        <w:t>餐饮、</w:t>
      </w:r>
      <w:r>
        <w:rPr>
          <w:rFonts w:hint="default" w:ascii="Times New Roman" w:hAnsi="Times New Roman" w:eastAsia="仿宋_GB2312" w:cs="Times New Roman"/>
          <w:b w:val="0"/>
          <w:i w:val="0"/>
          <w:iCs w:val="0"/>
          <w:caps w:val="0"/>
          <w:color w:val="000000" w:themeColor="text1"/>
          <w:spacing w:val="0"/>
          <w:sz w:val="32"/>
          <w:szCs w:val="32"/>
          <w:shd w:val="clear"/>
          <w14:textFill>
            <w14:solidFill>
              <w14:schemeClr w14:val="tx1"/>
            </w14:solidFill>
          </w14:textFill>
        </w:rPr>
        <w:t>养老、</w:t>
      </w:r>
      <w:r>
        <w:rPr>
          <w:rFonts w:hint="default" w:ascii="Times New Roman" w:hAnsi="Times New Roman" w:cs="Times New Roman"/>
          <w:b w:val="0"/>
          <w:i w:val="0"/>
          <w:iCs w:val="0"/>
          <w:caps w:val="0"/>
          <w:color w:val="000000" w:themeColor="text1"/>
          <w:spacing w:val="0"/>
          <w:sz w:val="32"/>
          <w:szCs w:val="32"/>
          <w:shd w:val="clear"/>
          <w:lang w:val="en-US" w:eastAsia="zh-CN"/>
          <w14:textFill>
            <w14:solidFill>
              <w14:schemeClr w14:val="tx1"/>
            </w14:solidFill>
          </w14:textFill>
        </w:rPr>
        <w:t>到家服务等</w:t>
      </w:r>
      <w:r>
        <w:rPr>
          <w:rFonts w:hint="eastAsia" w:cs="Times New Roman"/>
          <w:b w:val="0"/>
          <w:i w:val="0"/>
          <w:iCs w:val="0"/>
          <w:caps w:val="0"/>
          <w:color w:val="000000" w:themeColor="text1"/>
          <w:spacing w:val="0"/>
          <w:sz w:val="32"/>
          <w:szCs w:val="32"/>
          <w:shd w:val="clear"/>
          <w:lang w:val="en-US" w:eastAsia="zh-CN"/>
          <w14:textFill>
            <w14:solidFill>
              <w14:schemeClr w14:val="tx1"/>
            </w14:solidFill>
          </w14:textFill>
        </w:rPr>
        <w:t>业态供给。</w:t>
      </w:r>
    </w:p>
    <w:p>
      <w:pPr>
        <w:pStyle w:val="60"/>
        <w:outlineLvl w:val="9"/>
        <w:rPr>
          <w:rFonts w:cs="Times New Roman"/>
          <w:b w:val="0"/>
          <w:bCs/>
        </w:rPr>
      </w:pPr>
      <w:r>
        <w:rPr>
          <w:rFonts w:hint="default" w:cs="Times New Roman"/>
          <w:b/>
          <w:bCs w:val="0"/>
          <w:szCs w:val="24"/>
        </w:rPr>
        <w:t>打响</w:t>
      </w:r>
      <w:r>
        <w:rPr>
          <w:rFonts w:hint="default" w:ascii="Times New Roman" w:hAnsi="Times New Roman" w:cs="Times New Roman"/>
          <w:b/>
          <w:bCs w:val="0"/>
          <w:szCs w:val="24"/>
          <w:lang w:eastAsia="zh-CN"/>
        </w:rPr>
        <w:t>“</w:t>
      </w:r>
      <w:r>
        <w:rPr>
          <w:rFonts w:hint="default" w:cs="Times New Roman"/>
          <w:b/>
          <w:bCs w:val="0"/>
          <w:szCs w:val="24"/>
        </w:rPr>
        <w:t>闵行购物</w:t>
      </w:r>
      <w:r>
        <w:rPr>
          <w:rFonts w:hint="default" w:ascii="Times New Roman" w:hAnsi="Times New Roman" w:cs="Times New Roman"/>
          <w:b/>
          <w:bCs w:val="0"/>
          <w:szCs w:val="24"/>
          <w:lang w:eastAsia="zh-CN"/>
        </w:rPr>
        <w:t>”</w:t>
      </w:r>
      <w:r>
        <w:rPr>
          <w:rFonts w:hint="default" w:cs="Times New Roman"/>
          <w:b/>
          <w:bCs w:val="0"/>
          <w:szCs w:val="24"/>
        </w:rPr>
        <w:t>品牌，激发消费</w:t>
      </w:r>
      <w:r>
        <w:rPr>
          <w:rFonts w:hint="default" w:cs="Times New Roman"/>
          <w:b/>
          <w:bCs w:val="0"/>
          <w:szCs w:val="24"/>
          <w:lang w:val="en-US" w:eastAsia="zh-CN"/>
        </w:rPr>
        <w:t>市场</w:t>
      </w:r>
      <w:r>
        <w:rPr>
          <w:rFonts w:hint="default" w:cs="Times New Roman"/>
          <w:b/>
          <w:bCs w:val="0"/>
          <w:szCs w:val="24"/>
        </w:rPr>
        <w:t>活力</w:t>
      </w:r>
      <w:r>
        <w:rPr>
          <w:rFonts w:hint="default" w:cs="Times New Roman"/>
          <w:b/>
          <w:bCs w:val="0"/>
          <w:szCs w:val="24"/>
          <w:lang w:eastAsia="zh-CN"/>
        </w:rPr>
        <w:t>。</w:t>
      </w:r>
      <w:r>
        <w:rPr>
          <w:rFonts w:cs="Times New Roman"/>
          <w:b w:val="0"/>
          <w:bCs/>
        </w:rPr>
        <w:t>鼓励雅诗兰黛、路威酩轩、之禾、吾界信息、锅圈等龙头企业</w:t>
      </w:r>
      <w:r>
        <w:rPr>
          <w:rFonts w:hint="eastAsia" w:cs="Times New Roman"/>
          <w:b w:val="0"/>
          <w:bCs/>
          <w:lang w:val="en-US" w:eastAsia="zh-CN"/>
        </w:rPr>
        <w:t>融合设计创意，</w:t>
      </w:r>
      <w:r>
        <w:rPr>
          <w:rFonts w:cs="Times New Roman"/>
          <w:b w:val="0"/>
          <w:bCs/>
        </w:rPr>
        <w:t>形成一批具有</w:t>
      </w:r>
      <w:r>
        <w:rPr>
          <w:rFonts w:hint="eastAsia" w:cs="Times New Roman"/>
          <w:b w:val="0"/>
          <w:bCs/>
          <w:lang w:val="en-US" w:eastAsia="zh-CN"/>
        </w:rPr>
        <w:t>国内外</w:t>
      </w:r>
      <w:r>
        <w:rPr>
          <w:rFonts w:cs="Times New Roman"/>
          <w:b w:val="0"/>
          <w:bCs/>
        </w:rPr>
        <w:t>影响力</w:t>
      </w:r>
      <w:r>
        <w:rPr>
          <w:rFonts w:hint="eastAsia" w:cs="Times New Roman"/>
          <w:b w:val="0"/>
          <w:bCs/>
          <w:lang w:val="en-US" w:eastAsia="zh-CN"/>
        </w:rPr>
        <w:t>的</w:t>
      </w:r>
      <w:r>
        <w:rPr>
          <w:rFonts w:hint="default" w:ascii="Times New Roman" w:hAnsi="Times New Roman" w:cs="Times New Roman"/>
          <w:b w:val="0"/>
          <w:bCs/>
          <w:lang w:eastAsia="zh-CN"/>
        </w:rPr>
        <w:t>“</w:t>
      </w:r>
      <w:r>
        <w:rPr>
          <w:rFonts w:cs="Times New Roman"/>
          <w:b w:val="0"/>
          <w:bCs/>
        </w:rPr>
        <w:t>闵行</w:t>
      </w:r>
      <w:r>
        <w:rPr>
          <w:rFonts w:hint="default" w:cs="Times New Roman"/>
          <w:b w:val="0"/>
          <w:bCs/>
        </w:rPr>
        <w:t>品牌</w:t>
      </w:r>
      <w:r>
        <w:rPr>
          <w:rFonts w:hint="default" w:ascii="Times New Roman" w:hAnsi="Times New Roman" w:cs="Times New Roman"/>
          <w:b w:val="0"/>
          <w:bCs/>
          <w:lang w:eastAsia="zh-CN"/>
        </w:rPr>
        <w:t>”</w:t>
      </w:r>
      <w:r>
        <w:rPr>
          <w:rFonts w:cs="Times New Roman"/>
          <w:b w:val="0"/>
          <w:bCs/>
        </w:rPr>
        <w:t>。壮大首发经济、品牌经济、宠物经济、</w:t>
      </w:r>
      <w:r>
        <w:rPr>
          <w:rFonts w:hint="default" w:cs="Times New Roman"/>
          <w:b w:val="0"/>
          <w:bCs/>
          <w:lang w:val="en-US" w:eastAsia="zh-CN"/>
        </w:rPr>
        <w:t>票根经济、</w:t>
      </w:r>
      <w:r>
        <w:rPr>
          <w:rFonts w:cs="Times New Roman"/>
          <w:b w:val="0"/>
          <w:bCs/>
        </w:rPr>
        <w:t>银发经济、次元经济，</w:t>
      </w:r>
      <w:r>
        <w:rPr>
          <w:rFonts w:hint="default" w:cs="Times New Roman"/>
          <w:b w:val="0"/>
          <w:bCs/>
          <w:lang w:val="en-US" w:eastAsia="zh-CN"/>
        </w:rPr>
        <w:t>发展夜间经济、特色市集、沉浸体验等消费场景，</w:t>
      </w:r>
      <w:r>
        <w:rPr>
          <w:rFonts w:hint="eastAsia" w:cs="Times New Roman"/>
          <w:b w:val="0"/>
          <w:bCs/>
          <w:lang w:val="en-US" w:eastAsia="zh-CN"/>
        </w:rPr>
        <w:t>推动商业</w:t>
      </w:r>
      <w:r>
        <w:rPr>
          <w:rFonts w:cs="Times New Roman"/>
          <w:b w:val="0"/>
          <w:bCs/>
        </w:rPr>
        <w:t>向体验、休闲、定制、文化</w:t>
      </w:r>
      <w:r>
        <w:rPr>
          <w:rFonts w:hint="eastAsia" w:cs="Times New Roman"/>
          <w:b w:val="0"/>
          <w:bCs/>
          <w:lang w:val="en-US" w:eastAsia="zh-CN"/>
        </w:rPr>
        <w:t>融合</w:t>
      </w:r>
      <w:r>
        <w:rPr>
          <w:rFonts w:cs="Times New Roman"/>
          <w:b w:val="0"/>
          <w:bCs/>
        </w:rPr>
        <w:t>等复合功能</w:t>
      </w:r>
      <w:r>
        <w:rPr>
          <w:rFonts w:hint="eastAsia" w:cs="Times New Roman"/>
          <w:b w:val="0"/>
          <w:bCs/>
          <w:lang w:val="en-US" w:eastAsia="zh-CN"/>
        </w:rPr>
        <w:t>升级</w:t>
      </w:r>
      <w:r>
        <w:rPr>
          <w:rFonts w:cs="Times New Roman"/>
          <w:b w:val="0"/>
          <w:bCs/>
        </w:rPr>
        <w:t>。</w:t>
      </w:r>
      <w:r>
        <w:rPr>
          <w:rFonts w:hint="default" w:cs="Times New Roman"/>
          <w:b w:val="0"/>
          <w:bCs/>
          <w:lang w:val="en-US" w:eastAsia="zh-CN"/>
        </w:rPr>
        <w:t>持续举办</w:t>
      </w:r>
      <w:r>
        <w:rPr>
          <w:rFonts w:hint="default" w:ascii="Times New Roman" w:hAnsi="Times New Roman" w:cs="Times New Roman"/>
          <w:b w:val="0"/>
          <w:bCs/>
          <w:lang w:val="en-US" w:eastAsia="zh-CN"/>
        </w:rPr>
        <w:t>“</w:t>
      </w:r>
      <w:r>
        <w:rPr>
          <w:rFonts w:hint="default" w:cs="Times New Roman"/>
          <w:b w:val="0"/>
          <w:bCs/>
          <w:lang w:val="en-US" w:eastAsia="zh-CN"/>
        </w:rPr>
        <w:t>春申美好生活季</w:t>
      </w:r>
      <w:r>
        <w:rPr>
          <w:rFonts w:hint="default" w:ascii="Times New Roman" w:hAnsi="Times New Roman" w:cs="Times New Roman"/>
          <w:b w:val="0"/>
          <w:bCs/>
          <w:lang w:val="en-US" w:eastAsia="zh-CN"/>
        </w:rPr>
        <w:t>”</w:t>
      </w:r>
      <w:r>
        <w:rPr>
          <w:rFonts w:hint="default" w:cs="Times New Roman"/>
          <w:b w:val="0"/>
          <w:bCs/>
          <w:lang w:val="en-US" w:eastAsia="zh-CN"/>
        </w:rPr>
        <w:t>，</w:t>
      </w:r>
      <w:r>
        <w:rPr>
          <w:rFonts w:hint="eastAsia" w:cs="Times New Roman"/>
          <w:b w:val="0"/>
          <w:bCs/>
          <w:lang w:val="en-US" w:eastAsia="zh-CN"/>
        </w:rPr>
        <w:t>打造</w:t>
      </w:r>
      <w:r>
        <w:rPr>
          <w:rFonts w:hint="default" w:ascii="Times New Roman" w:hAnsi="Times New Roman" w:cs="Times New Roman"/>
          <w:b w:val="0"/>
          <w:bCs/>
          <w:lang w:eastAsia="zh-CN"/>
        </w:rPr>
        <w:t>“</w:t>
      </w:r>
      <w:r>
        <w:rPr>
          <w:rFonts w:cs="Times New Roman"/>
          <w:b w:val="0"/>
          <w:bCs/>
        </w:rPr>
        <w:t>月月有主题，场场有亮点</w:t>
      </w:r>
      <w:r>
        <w:rPr>
          <w:rFonts w:hint="default" w:ascii="Times New Roman" w:hAnsi="Times New Roman" w:cs="Times New Roman"/>
          <w:b w:val="0"/>
          <w:bCs/>
          <w:lang w:eastAsia="zh-CN"/>
        </w:rPr>
        <w:t>”</w:t>
      </w:r>
      <w:r>
        <w:rPr>
          <w:rFonts w:hint="eastAsia" w:cs="Times New Roman"/>
          <w:b w:val="0"/>
          <w:bCs/>
          <w:lang w:val="en-US" w:eastAsia="zh-CN"/>
        </w:rPr>
        <w:t>系列促消费活动，丰富消费生活</w:t>
      </w:r>
      <w:r>
        <w:rPr>
          <w:rFonts w:cs="Times New Roman"/>
          <w:b w:val="0"/>
          <w:bCs/>
        </w:rPr>
        <w:t>。</w:t>
      </w:r>
    </w:p>
    <w:p>
      <w:pPr>
        <w:pStyle w:val="4"/>
        <w:ind w:firstLine="643"/>
        <w:rPr>
          <w:rFonts w:cs="Times New Roman"/>
        </w:rPr>
      </w:pPr>
      <w:bookmarkStart w:id="127" w:name="_Toc14056"/>
      <w:bookmarkStart w:id="128" w:name="_Toc4312"/>
      <w:bookmarkStart w:id="129" w:name="_Toc13471"/>
      <w:bookmarkStart w:id="130" w:name="_Toc28974"/>
      <w:r>
        <w:rPr>
          <w:rFonts w:hint="default" w:cs="Times New Roman"/>
          <w:lang w:val="en-US" w:eastAsia="zh-CN"/>
        </w:rPr>
        <w:t>2</w:t>
      </w:r>
      <w:r>
        <w:rPr>
          <w:rFonts w:cs="Times New Roman"/>
        </w:rPr>
        <w:t>、强化新型制造服务功能支撑</w:t>
      </w:r>
      <w:bookmarkEnd w:id="127"/>
      <w:bookmarkEnd w:id="128"/>
      <w:bookmarkEnd w:id="129"/>
      <w:bookmarkEnd w:id="130"/>
    </w:p>
    <w:p>
      <w:pPr>
        <w:ind w:firstLine="640"/>
        <w:rPr>
          <w:rFonts w:cs="Times New Roman"/>
          <w:highlight w:val="none"/>
        </w:rPr>
      </w:pPr>
      <w:r>
        <w:rPr>
          <w:rFonts w:hint="eastAsia" w:cs="Times New Roman"/>
          <w:lang w:val="en-US" w:eastAsia="zh-CN"/>
        </w:rPr>
        <w:t>持续提升</w:t>
      </w:r>
      <w:r>
        <w:rPr>
          <w:rFonts w:hint="default" w:cs="Times New Roman"/>
          <w:highlight w:val="none"/>
        </w:rPr>
        <w:t>研发转化、检验检测、知识产权、工业互联网、创新咨询、</w:t>
      </w:r>
      <w:r>
        <w:rPr>
          <w:rFonts w:cs="Times New Roman"/>
          <w:highlight w:val="none"/>
        </w:rPr>
        <w:t>总集成总承包等专业服务能级</w:t>
      </w:r>
      <w:r>
        <w:rPr>
          <w:rFonts w:cs="Times New Roman"/>
          <w:color w:val="auto"/>
          <w:highlight w:val="none"/>
        </w:rPr>
        <w:t>，</w:t>
      </w:r>
      <w:r>
        <w:rPr>
          <w:rFonts w:hint="eastAsia" w:cs="Times New Roman"/>
          <w:color w:val="auto"/>
          <w:sz w:val="32"/>
          <w:szCs w:val="32"/>
          <w:lang w:val="en-US" w:eastAsia="zh-CN"/>
        </w:rPr>
        <w:t>深化两业</w:t>
      </w:r>
      <w:r>
        <w:rPr>
          <w:rFonts w:cs="Times New Roman"/>
        </w:rPr>
        <w:t>深度融</w:t>
      </w:r>
      <w:r>
        <w:rPr>
          <w:rFonts w:cs="Times New Roman"/>
          <w:highlight w:val="none"/>
        </w:rPr>
        <w:t>合。</w:t>
      </w:r>
      <w:r>
        <w:rPr>
          <w:rFonts w:hint="default" w:ascii="Times New Roman" w:hAnsi="Times New Roman" w:cs="Times New Roman"/>
          <w:highlight w:val="none"/>
          <w:lang w:eastAsia="zh-CN"/>
        </w:rPr>
        <w:t>“</w:t>
      </w:r>
      <w:r>
        <w:rPr>
          <w:rFonts w:cs="Times New Roman"/>
          <w:highlight w:val="none"/>
        </w:rPr>
        <w:t>十五五</w:t>
      </w:r>
      <w:r>
        <w:rPr>
          <w:rFonts w:hint="default" w:ascii="Times New Roman" w:hAnsi="Times New Roman" w:cs="Times New Roman"/>
          <w:highlight w:val="none"/>
          <w:lang w:eastAsia="zh-CN"/>
        </w:rPr>
        <w:t>”</w:t>
      </w:r>
      <w:r>
        <w:rPr>
          <w:rFonts w:cs="Times New Roman"/>
          <w:highlight w:val="none"/>
        </w:rPr>
        <w:t>期末，新</w:t>
      </w:r>
      <w:r>
        <w:rPr>
          <w:rFonts w:hint="default" w:cs="Times New Roman"/>
          <w:highlight w:val="none"/>
        </w:rPr>
        <w:t>型</w:t>
      </w:r>
      <w:r>
        <w:rPr>
          <w:rFonts w:cs="Times New Roman"/>
          <w:highlight w:val="none"/>
        </w:rPr>
        <w:t>制造服务产业营业收入达到</w:t>
      </w:r>
      <w:r>
        <w:rPr>
          <w:rFonts w:hint="default" w:cs="Times New Roman"/>
          <w:highlight w:val="none"/>
          <w:lang w:val="en-US" w:eastAsia="zh-CN"/>
        </w:rPr>
        <w:t>30</w:t>
      </w:r>
      <w:r>
        <w:rPr>
          <w:rFonts w:cs="Times New Roman"/>
          <w:highlight w:val="none"/>
        </w:rPr>
        <w:t>00亿元。</w:t>
      </w:r>
    </w:p>
    <w:p>
      <w:pPr>
        <w:pStyle w:val="60"/>
        <w:ind w:firstLine="643"/>
      </w:pPr>
      <w:r>
        <w:t>（1）科技研发转化</w:t>
      </w:r>
    </w:p>
    <w:p>
      <w:pPr>
        <w:ind w:firstLine="643"/>
        <w:rPr>
          <w:rFonts w:cs="Times New Roman"/>
        </w:rPr>
      </w:pPr>
      <w:r>
        <w:rPr>
          <w:rFonts w:cs="Times New Roman"/>
          <w:b/>
          <w:bCs/>
        </w:rPr>
        <w:t>打造新型研发枢纽，</w:t>
      </w:r>
      <w:r>
        <w:rPr>
          <w:rFonts w:hint="eastAsia" w:cs="Times New Roman"/>
          <w:b/>
          <w:bCs/>
          <w:lang w:val="en-US" w:eastAsia="zh-CN"/>
        </w:rPr>
        <w:t>加速科技成果落地转化</w:t>
      </w:r>
      <w:r>
        <w:rPr>
          <w:rFonts w:cs="Times New Roman"/>
          <w:b/>
          <w:bCs/>
        </w:rPr>
        <w:t>。</w:t>
      </w:r>
      <w:r>
        <w:rPr>
          <w:rFonts w:hint="eastAsia" w:cs="Times New Roman"/>
          <w:lang w:val="en-US" w:eastAsia="zh-CN"/>
        </w:rPr>
        <w:t>支持</w:t>
      </w:r>
      <w:r>
        <w:rPr>
          <w:rFonts w:cs="Times New Roman"/>
        </w:rPr>
        <w:t>上海交大、华师大等围绕</w:t>
      </w:r>
      <w:r>
        <w:rPr>
          <w:rFonts w:hint="default" w:ascii="Times New Roman" w:hAnsi="Times New Roman" w:cs="Times New Roman"/>
          <w:lang w:eastAsia="zh-CN"/>
        </w:rPr>
        <w:t>“</w:t>
      </w:r>
      <w:r>
        <w:rPr>
          <w:rFonts w:hint="default" w:cs="Times New Roman"/>
          <w:lang w:val="en-US" w:eastAsia="zh-CN"/>
        </w:rPr>
        <w:t>3+3+3</w:t>
      </w:r>
      <w:r>
        <w:rPr>
          <w:rFonts w:hint="default" w:ascii="Times New Roman" w:hAnsi="Times New Roman" w:cs="Times New Roman"/>
          <w:lang w:eastAsia="zh-CN"/>
        </w:rPr>
        <w:t>”</w:t>
      </w:r>
      <w:r>
        <w:rPr>
          <w:rStyle w:val="29"/>
          <w:rFonts w:cs="Times New Roman"/>
        </w:rPr>
        <w:footnoteReference w:id="5"/>
      </w:r>
      <w:r>
        <w:rPr>
          <w:rFonts w:cs="Times New Roman"/>
        </w:rPr>
        <w:t>领域</w:t>
      </w:r>
      <w:r>
        <w:rPr>
          <w:rFonts w:hint="eastAsia" w:cs="Times New Roman"/>
          <w:lang w:val="en-US" w:eastAsia="zh-CN"/>
        </w:rPr>
        <w:t>开展</w:t>
      </w:r>
      <w:r>
        <w:rPr>
          <w:rFonts w:cs="Times New Roman"/>
        </w:rPr>
        <w:t>重大基础研究与关键技术攻关项目，</w:t>
      </w:r>
      <w:r>
        <w:rPr>
          <w:rFonts w:hint="eastAsia" w:cs="Times New Roman"/>
          <w:lang w:val="en-US" w:eastAsia="zh-CN"/>
        </w:rPr>
        <w:t>做强</w:t>
      </w:r>
      <w:r>
        <w:rPr>
          <w:rFonts w:cs="Times New Roman"/>
        </w:rPr>
        <w:t>溥渊未来技术学院、</w:t>
      </w:r>
      <w:r>
        <w:rPr>
          <w:rFonts w:hint="default" w:cs="Times New Roman"/>
          <w:szCs w:val="32"/>
        </w:rPr>
        <w:t>港大交叉学科研究中心</w:t>
      </w:r>
      <w:r>
        <w:rPr>
          <w:rFonts w:cs="Times New Roman"/>
        </w:rPr>
        <w:t>等创新平台</w:t>
      </w:r>
      <w:r>
        <w:rPr>
          <w:rFonts w:hint="eastAsia" w:cs="Times New Roman"/>
          <w:lang w:eastAsia="zh-CN"/>
        </w:rPr>
        <w:t>，</w:t>
      </w:r>
      <w:r>
        <w:rPr>
          <w:rFonts w:hint="eastAsia" w:cs="Times New Roman"/>
          <w:lang w:val="en-US" w:eastAsia="zh-CN"/>
        </w:rPr>
        <w:t>加强</w:t>
      </w:r>
      <w:r>
        <w:rPr>
          <w:rFonts w:cs="Times New Roman"/>
        </w:rPr>
        <w:t>产教融合、联合创新。鼓励</w:t>
      </w:r>
      <w:r>
        <w:rPr>
          <w:rFonts w:hint="default" w:cs="Times New Roman"/>
          <w:lang w:val="en-US" w:eastAsia="zh-CN"/>
        </w:rPr>
        <w:t>雅诗兰黛、英特尔、</w:t>
      </w:r>
      <w:r>
        <w:rPr>
          <w:rFonts w:cs="Times New Roman"/>
        </w:rPr>
        <w:t>宁德时代、中国航发商发等领军企业牵头建设开放创新中心。</w:t>
      </w:r>
      <w:r>
        <w:rPr>
          <w:rFonts w:hint="default" w:cs="Times New Roman"/>
          <w:szCs w:val="32"/>
        </w:rPr>
        <w:t>推进</w:t>
      </w:r>
      <w:r>
        <w:rPr>
          <w:rFonts w:hint="eastAsia" w:cs="Times New Roman"/>
          <w:szCs w:val="32"/>
          <w:lang w:val="en-US" w:eastAsia="zh-CN"/>
        </w:rPr>
        <w:t>交大</w:t>
      </w:r>
      <w:r>
        <w:rPr>
          <w:rFonts w:hint="default" w:cs="Times New Roman"/>
          <w:szCs w:val="32"/>
        </w:rPr>
        <w:t>-紫竹、养老科技领域医工交叉</w:t>
      </w:r>
      <w:r>
        <w:rPr>
          <w:rFonts w:hint="eastAsia" w:cs="Times New Roman"/>
          <w:szCs w:val="32"/>
          <w:lang w:val="en-US" w:eastAsia="zh-CN"/>
        </w:rPr>
        <w:t>等</w:t>
      </w:r>
      <w:r>
        <w:rPr>
          <w:rFonts w:hint="default" w:cs="Times New Roman"/>
          <w:szCs w:val="32"/>
        </w:rPr>
        <w:t>概念验证中心建设</w:t>
      </w:r>
      <w:r>
        <w:rPr>
          <w:rFonts w:hint="default" w:cs="Times New Roman"/>
          <w:szCs w:val="32"/>
          <w:lang w:eastAsia="zh-CN"/>
        </w:rPr>
        <w:t>，</w:t>
      </w:r>
      <w:r>
        <w:rPr>
          <w:rFonts w:hint="eastAsia" w:cs="Times New Roman"/>
          <w:szCs w:val="32"/>
          <w:lang w:val="en-US" w:eastAsia="zh-CN"/>
        </w:rPr>
        <w:t>提升</w:t>
      </w:r>
      <w:r>
        <w:rPr>
          <w:rFonts w:hint="default" w:cs="Times New Roman"/>
          <w:szCs w:val="32"/>
        </w:rPr>
        <w:t>大零号湾、司南脑机</w:t>
      </w:r>
      <w:r>
        <w:rPr>
          <w:rFonts w:hint="eastAsia" w:cs="Times New Roman"/>
          <w:szCs w:val="32"/>
          <w:lang w:val="en-US" w:eastAsia="zh-CN"/>
        </w:rPr>
        <w:t>等</w:t>
      </w:r>
      <w:r>
        <w:rPr>
          <w:rFonts w:hint="default" w:cs="Times New Roman"/>
          <w:szCs w:val="32"/>
        </w:rPr>
        <w:t>孵化器服务效能，完善</w:t>
      </w:r>
      <w:r>
        <w:rPr>
          <w:rFonts w:hint="eastAsia" w:cs="Times New Roman"/>
          <w:szCs w:val="32"/>
          <w:lang w:val="en-US" w:eastAsia="zh-CN"/>
        </w:rPr>
        <w:t>硬科技</w:t>
      </w:r>
      <w:r>
        <w:rPr>
          <w:rFonts w:hint="default" w:cs="Times New Roman"/>
          <w:szCs w:val="32"/>
        </w:rPr>
        <w:t>孵化育成体系。依托上海国际技术交易市场</w:t>
      </w:r>
      <w:r>
        <w:rPr>
          <w:rFonts w:hint="default" w:cs="Times New Roman"/>
          <w:szCs w:val="32"/>
          <w:lang w:eastAsia="zh-CN"/>
        </w:rPr>
        <w:t>、</w:t>
      </w:r>
      <w:r>
        <w:rPr>
          <w:rFonts w:hint="default" w:ascii="Times New Roman" w:hAnsi="Times New Roman" w:cs="Times New Roman"/>
        </w:rPr>
        <w:t>InnoMatch</w:t>
      </w:r>
      <w:r>
        <w:rPr>
          <w:rFonts w:hint="eastAsia" w:cs="Times New Roman"/>
          <w:lang w:val="en-US" w:eastAsia="zh-CN"/>
        </w:rPr>
        <w:t>等平台</w:t>
      </w:r>
      <w:r>
        <w:rPr>
          <w:rFonts w:hint="default" w:ascii="Times New Roman" w:hAnsi="Times New Roman" w:cs="Times New Roman"/>
        </w:rPr>
        <w:t>，</w:t>
      </w:r>
      <w:r>
        <w:rPr>
          <w:rFonts w:hint="default" w:cs="Times New Roman"/>
          <w:szCs w:val="32"/>
        </w:rPr>
        <w:t>提升成果转移转化服务水平</w:t>
      </w:r>
      <w:r>
        <w:rPr>
          <w:rFonts w:hint="eastAsia" w:cs="Times New Roman"/>
          <w:szCs w:val="32"/>
          <w:lang w:eastAsia="zh-CN"/>
        </w:rPr>
        <w:t>。</w:t>
      </w:r>
    </w:p>
    <w:p>
      <w:pPr>
        <w:pStyle w:val="60"/>
        <w:ind w:firstLine="643"/>
      </w:pPr>
      <w:r>
        <w:t>（2）制造专业服务</w:t>
      </w:r>
    </w:p>
    <w:p>
      <w:pPr>
        <w:ind w:firstLine="643"/>
        <w:rPr>
          <w:rFonts w:cs="Times New Roman"/>
          <w:b w:val="0"/>
          <w:bCs w:val="0"/>
        </w:rPr>
      </w:pPr>
      <w:r>
        <w:rPr>
          <w:rFonts w:hint="eastAsia" w:cs="Times New Roman"/>
          <w:b/>
          <w:bCs/>
          <w:lang w:val="en-US" w:eastAsia="zh-CN"/>
        </w:rPr>
        <w:t>紧扣制造业发展需求，引育专业服务</w:t>
      </w:r>
      <w:r>
        <w:rPr>
          <w:rFonts w:cs="Times New Roman"/>
          <w:b/>
          <w:bCs/>
        </w:rPr>
        <w:t>机构。</w:t>
      </w:r>
      <w:r>
        <w:rPr>
          <w:rFonts w:hint="eastAsia" w:cs="Times New Roman"/>
          <w:b w:val="0"/>
          <w:bCs w:val="0"/>
          <w:lang w:val="en-US" w:eastAsia="zh-CN"/>
        </w:rPr>
        <w:t>依托</w:t>
      </w:r>
      <w:r>
        <w:rPr>
          <w:rFonts w:cs="Times New Roman"/>
          <w:b w:val="0"/>
          <w:bCs w:val="0"/>
        </w:rPr>
        <w:t>临港浦江、颛桥镇、南虹桥等</w:t>
      </w:r>
      <w:r>
        <w:rPr>
          <w:rFonts w:hint="eastAsia" w:cs="Times New Roman"/>
          <w:b w:val="0"/>
          <w:bCs w:val="0"/>
          <w:lang w:val="en-US" w:eastAsia="zh-CN"/>
        </w:rPr>
        <w:t>重点片区</w:t>
      </w:r>
      <w:r>
        <w:rPr>
          <w:rFonts w:cs="Times New Roman"/>
          <w:b w:val="0"/>
          <w:bCs w:val="0"/>
        </w:rPr>
        <w:t>，</w:t>
      </w:r>
      <w:r>
        <w:rPr>
          <w:rFonts w:hint="eastAsia" w:cs="Times New Roman"/>
          <w:b w:val="0"/>
          <w:bCs w:val="0"/>
          <w:lang w:val="en-US" w:eastAsia="zh-CN"/>
        </w:rPr>
        <w:t>集聚高端</w:t>
      </w:r>
      <w:r>
        <w:rPr>
          <w:rFonts w:cs="Times New Roman"/>
          <w:b w:val="0"/>
          <w:bCs w:val="0"/>
        </w:rPr>
        <w:t>检验检测认证机构</w:t>
      </w:r>
      <w:r>
        <w:rPr>
          <w:rFonts w:hint="eastAsia" w:cs="Times New Roman"/>
          <w:b w:val="0"/>
          <w:bCs w:val="0"/>
          <w:lang w:eastAsia="zh-CN"/>
        </w:rPr>
        <w:t>，</w:t>
      </w:r>
      <w:r>
        <w:rPr>
          <w:rFonts w:hint="eastAsia" w:cs="Times New Roman"/>
          <w:b w:val="0"/>
          <w:bCs w:val="0"/>
          <w:lang w:val="en-US" w:eastAsia="zh-CN"/>
        </w:rPr>
        <w:t>培育特色产业集群</w:t>
      </w:r>
      <w:r>
        <w:rPr>
          <w:rFonts w:cs="Times New Roman"/>
          <w:b w:val="0"/>
          <w:bCs w:val="0"/>
        </w:rPr>
        <w:t>。</w:t>
      </w:r>
      <w:r>
        <w:rPr>
          <w:rFonts w:hint="eastAsia" w:cs="Times New Roman"/>
          <w:b w:val="0"/>
          <w:bCs w:val="0"/>
          <w:lang w:val="en-US" w:eastAsia="zh-CN"/>
        </w:rPr>
        <w:t>做优</w:t>
      </w:r>
      <w:r>
        <w:rPr>
          <w:rFonts w:hint="default" w:ascii="Times New Roman" w:hAnsi="Times New Roman" w:cs="Times New Roman"/>
          <w:b w:val="0"/>
          <w:bCs w:val="0"/>
          <w:lang w:eastAsia="zh-CN"/>
        </w:rPr>
        <w:t>“</w:t>
      </w:r>
      <w:r>
        <w:rPr>
          <w:rFonts w:cs="Times New Roman"/>
          <w:b w:val="0"/>
          <w:bCs w:val="0"/>
        </w:rPr>
        <w:t>闵知惠</w:t>
      </w:r>
      <w:r>
        <w:rPr>
          <w:rFonts w:hint="default" w:ascii="Times New Roman" w:hAnsi="Times New Roman" w:cs="Times New Roman"/>
          <w:b w:val="0"/>
          <w:bCs w:val="0"/>
          <w:lang w:eastAsia="zh-CN"/>
        </w:rPr>
        <w:t>”</w:t>
      </w:r>
      <w:r>
        <w:rPr>
          <w:rFonts w:cs="Times New Roman"/>
          <w:b w:val="0"/>
          <w:bCs w:val="0"/>
        </w:rPr>
        <w:t>专利超市平台，创新知识产权质押融资模式。联合上海技术交易所等平台，</w:t>
      </w:r>
      <w:r>
        <w:rPr>
          <w:rFonts w:hint="eastAsia" w:cs="Times New Roman"/>
          <w:b w:val="0"/>
          <w:bCs w:val="0"/>
          <w:lang w:val="en-US" w:eastAsia="zh-CN"/>
        </w:rPr>
        <w:t>搭建</w:t>
      </w:r>
      <w:r>
        <w:rPr>
          <w:rFonts w:cs="Times New Roman"/>
          <w:b w:val="0"/>
          <w:bCs w:val="0"/>
        </w:rPr>
        <w:t>新能源、高端装备等产业专利池，</w:t>
      </w:r>
      <w:r>
        <w:rPr>
          <w:rFonts w:hint="eastAsia" w:cs="Times New Roman"/>
          <w:b w:val="0"/>
          <w:bCs w:val="0"/>
          <w:lang w:val="en-US" w:eastAsia="zh-CN"/>
        </w:rPr>
        <w:t>赋能</w:t>
      </w:r>
      <w:r>
        <w:rPr>
          <w:rFonts w:cs="Times New Roman"/>
          <w:b w:val="0"/>
          <w:bCs w:val="0"/>
        </w:rPr>
        <w:t>技术交易与专利运营创新。</w:t>
      </w:r>
      <w:r>
        <w:rPr>
          <w:rFonts w:hint="eastAsia" w:cs="Times New Roman"/>
          <w:b w:val="0"/>
          <w:bCs w:val="0"/>
          <w:lang w:val="en-US" w:eastAsia="zh-CN"/>
        </w:rPr>
        <w:t>构建</w:t>
      </w:r>
      <w:r>
        <w:rPr>
          <w:rFonts w:cs="Times New Roman"/>
          <w:b w:val="0"/>
          <w:bCs w:val="0"/>
        </w:rPr>
        <w:t>政产学研用</w:t>
      </w:r>
      <w:r>
        <w:rPr>
          <w:rFonts w:hint="eastAsia" w:cs="Times New Roman"/>
          <w:b w:val="0"/>
          <w:bCs w:val="0"/>
          <w:lang w:val="en-US" w:eastAsia="zh-CN"/>
        </w:rPr>
        <w:t>协同智库网络</w:t>
      </w:r>
      <w:r>
        <w:rPr>
          <w:rFonts w:cs="Times New Roman"/>
          <w:b w:val="0"/>
          <w:bCs w:val="0"/>
        </w:rPr>
        <w:t>，</w:t>
      </w:r>
      <w:r>
        <w:rPr>
          <w:rFonts w:hint="eastAsia" w:cs="Times New Roman"/>
          <w:b w:val="0"/>
          <w:bCs w:val="0"/>
          <w:lang w:val="en-US" w:eastAsia="zh-CN"/>
        </w:rPr>
        <w:t>优化</w:t>
      </w:r>
      <w:r>
        <w:rPr>
          <w:rFonts w:cs="Times New Roman"/>
          <w:b w:val="0"/>
          <w:bCs w:val="0"/>
        </w:rPr>
        <w:t>企业管理、市场、技术咨询服务</w:t>
      </w:r>
      <w:r>
        <w:rPr>
          <w:rFonts w:hint="eastAsia" w:cs="Times New Roman"/>
          <w:b w:val="0"/>
          <w:bCs w:val="0"/>
          <w:lang w:val="en-US" w:eastAsia="zh-CN"/>
        </w:rPr>
        <w:t>供给</w:t>
      </w:r>
      <w:r>
        <w:rPr>
          <w:rFonts w:hint="eastAsia" w:cs="Times New Roman"/>
          <w:b w:val="0"/>
          <w:bCs w:val="0"/>
          <w:lang w:eastAsia="zh-CN"/>
        </w:rPr>
        <w:t>。</w:t>
      </w:r>
    </w:p>
    <w:p>
      <w:pPr>
        <w:pStyle w:val="60"/>
        <w:ind w:firstLine="643"/>
      </w:pPr>
      <w:r>
        <w:t>（3）工业设计服务</w:t>
      </w:r>
    </w:p>
    <w:p>
      <w:pPr>
        <w:ind w:firstLine="643"/>
        <w:rPr>
          <w:rFonts w:cs="Times New Roman"/>
        </w:rPr>
      </w:pPr>
      <w:r>
        <w:rPr>
          <w:rFonts w:hint="eastAsia" w:cs="Times New Roman"/>
          <w:b/>
          <w:bCs/>
          <w:lang w:val="en-US" w:eastAsia="zh-CN"/>
        </w:rPr>
        <w:t>以</w:t>
      </w:r>
      <w:r>
        <w:rPr>
          <w:rFonts w:cs="Times New Roman"/>
          <w:b/>
          <w:bCs/>
        </w:rPr>
        <w:t>工业设计赋能闵行制造，打造</w:t>
      </w:r>
      <w:r>
        <w:rPr>
          <w:rFonts w:hint="eastAsia" w:cs="Times New Roman"/>
          <w:b/>
          <w:bCs/>
          <w:lang w:val="en-US" w:eastAsia="zh-CN"/>
        </w:rPr>
        <w:t>区域特色</w:t>
      </w:r>
      <w:r>
        <w:rPr>
          <w:rFonts w:cs="Times New Roman"/>
          <w:b/>
          <w:bCs/>
        </w:rPr>
        <w:t>产业名片。</w:t>
      </w:r>
      <w:r>
        <w:rPr>
          <w:rFonts w:cs="Times New Roman"/>
        </w:rPr>
        <w:t>围绕航空、航天、船舶、电气、能源等国之重器领域，生物医药、装备制造、机器人等制造业主导行业，支持专业设计企业发展，提升工业设计在高精尖领域标准制定、新材料开发、工业流程智能化等方面的应用水平</w:t>
      </w:r>
      <w:r>
        <w:rPr>
          <w:rFonts w:hint="eastAsia" w:cs="Times New Roman"/>
          <w:lang w:eastAsia="zh-CN"/>
        </w:rPr>
        <w:t>，</w:t>
      </w:r>
      <w:r>
        <w:rPr>
          <w:rFonts w:hint="eastAsia" w:cs="Times New Roman"/>
          <w:lang w:val="en-US" w:eastAsia="zh-CN"/>
        </w:rPr>
        <w:t>培育</w:t>
      </w:r>
      <w:r>
        <w:rPr>
          <w:rFonts w:cs="Times New Roman"/>
        </w:rPr>
        <w:t>绿色设计、智能设等</w:t>
      </w:r>
      <w:r>
        <w:rPr>
          <w:rFonts w:hint="eastAsia" w:cs="Times New Roman"/>
          <w:lang w:val="en-US" w:eastAsia="zh-CN"/>
        </w:rPr>
        <w:t>标杆成果</w:t>
      </w:r>
      <w:r>
        <w:rPr>
          <w:rFonts w:cs="Times New Roman"/>
        </w:rPr>
        <w:t>。</w:t>
      </w:r>
    </w:p>
    <w:p>
      <w:pPr>
        <w:pStyle w:val="60"/>
        <w:ind w:firstLine="643"/>
      </w:pPr>
      <w:r>
        <w:t>（4）供应链服务</w:t>
      </w:r>
    </w:p>
    <w:p>
      <w:pPr>
        <w:ind w:firstLine="0"/>
        <w:jc w:val="left"/>
        <w:rPr>
          <w:rFonts w:cs="Times New Roman"/>
        </w:rPr>
      </w:pPr>
      <w:r>
        <w:rPr>
          <w:rFonts w:cs="Times New Roman"/>
          <w:b/>
          <w:bCs/>
        </w:rPr>
        <w:t>支持供应链服务垂直化、集成化发展。</w:t>
      </w:r>
      <w:r>
        <w:rPr>
          <w:rFonts w:cs="Times New Roman"/>
        </w:rPr>
        <w:t>支持</w:t>
      </w:r>
      <w:r>
        <w:rPr>
          <w:rFonts w:hint="eastAsia" w:cs="Times New Roman"/>
          <w:lang w:val="en-US" w:eastAsia="zh-CN"/>
        </w:rPr>
        <w:t>顺丰、马士基等头部服务商，</w:t>
      </w:r>
      <w:r>
        <w:rPr>
          <w:rFonts w:cs="Times New Roman"/>
        </w:rPr>
        <w:t>面向重点产业打造</w:t>
      </w:r>
      <w:r>
        <w:rPr>
          <w:rFonts w:hint="eastAsia" w:cs="Times New Roman"/>
          <w:lang w:val="en-US" w:eastAsia="zh-CN"/>
        </w:rPr>
        <w:t>数字化</w:t>
      </w:r>
      <w:r>
        <w:rPr>
          <w:rFonts w:cs="Times New Roman"/>
        </w:rPr>
        <w:t>垂直</w:t>
      </w:r>
      <w:r>
        <w:rPr>
          <w:rFonts w:hint="eastAsia" w:cs="Times New Roman"/>
          <w:lang w:val="en-US" w:eastAsia="zh-CN"/>
        </w:rPr>
        <w:t>供应链</w:t>
      </w:r>
      <w:r>
        <w:rPr>
          <w:rFonts w:cs="Times New Roman"/>
        </w:rPr>
        <w:t>平台，</w:t>
      </w:r>
      <w:r>
        <w:rPr>
          <w:rFonts w:hint="eastAsia" w:cs="Times New Roman"/>
          <w:lang w:val="en-US" w:eastAsia="zh-CN"/>
        </w:rPr>
        <w:t>覆盖</w:t>
      </w:r>
      <w:r>
        <w:rPr>
          <w:rFonts w:cs="Times New Roman"/>
        </w:rPr>
        <w:t>研发、采购、生产、销售等</w:t>
      </w:r>
      <w:r>
        <w:rPr>
          <w:rFonts w:hint="eastAsia" w:cs="Times New Roman"/>
          <w:lang w:val="en-US" w:eastAsia="zh-CN"/>
        </w:rPr>
        <w:t>全流程，</w:t>
      </w:r>
      <w:r>
        <w:rPr>
          <w:rFonts w:cs="Times New Roman"/>
        </w:rPr>
        <w:t>提供</w:t>
      </w:r>
      <w:r>
        <w:rPr>
          <w:rFonts w:hint="default" w:cs="Times New Roman"/>
          <w:lang w:val="en-US" w:eastAsia="zh-CN"/>
        </w:rPr>
        <w:t>需求预测</w:t>
      </w:r>
      <w:r>
        <w:rPr>
          <w:rFonts w:hint="eastAsia" w:cs="Times New Roman"/>
          <w:lang w:val="en-US" w:eastAsia="zh-CN"/>
        </w:rPr>
        <w:t>、</w:t>
      </w:r>
      <w:r>
        <w:rPr>
          <w:rFonts w:ascii="Times New Roman" w:hAnsi="Times New Roman" w:eastAsia="仿宋_GB2312" w:cs="Times New Roman"/>
          <w:kern w:val="2"/>
          <w:sz w:val="32"/>
          <w:szCs w:val="24"/>
          <w:lang w:val="en-US" w:eastAsia="zh-CN" w:bidi="ar"/>
          <w14:ligatures w14:val="standardContextual"/>
        </w:rPr>
        <w:t>质量追溯、库存优化等数字化服务。</w:t>
      </w:r>
      <w:r>
        <w:rPr>
          <w:rFonts w:hint="eastAsia" w:cs="Times New Roman"/>
          <w:kern w:val="2"/>
          <w:sz w:val="32"/>
          <w:szCs w:val="24"/>
          <w:lang w:val="en-US" w:eastAsia="zh-CN" w:bidi="ar"/>
          <w14:ligatures w14:val="standardContextual"/>
        </w:rPr>
        <w:t>支持</w:t>
      </w:r>
      <w:r>
        <w:rPr>
          <w:rFonts w:cs="Times New Roman"/>
        </w:rPr>
        <w:t>建设集产品数据、供应商管理、仓储配送、售后服务于一体的集成型供应链管理系统。</w:t>
      </w:r>
    </w:p>
    <w:p>
      <w:pPr>
        <w:pStyle w:val="60"/>
        <w:ind w:firstLine="643"/>
      </w:pPr>
      <w:r>
        <w:t>（5）总集成总承包服务</w:t>
      </w:r>
    </w:p>
    <w:p>
      <w:pPr>
        <w:ind w:firstLine="643"/>
        <w:rPr>
          <w:rFonts w:cs="Times New Roman"/>
        </w:rPr>
      </w:pPr>
      <w:r>
        <w:rPr>
          <w:rFonts w:cs="Times New Roman"/>
          <w:b/>
          <w:bCs/>
        </w:rPr>
        <w:t>鼓励制造企业向总集成总承包延伸。</w:t>
      </w:r>
      <w:r>
        <w:rPr>
          <w:rFonts w:cs="Times New Roman"/>
        </w:rPr>
        <w:t>支持制造企业</w:t>
      </w:r>
      <w:r>
        <w:rPr>
          <w:rFonts w:hint="eastAsia" w:cs="Times New Roman"/>
          <w:lang w:val="en-US" w:eastAsia="zh-CN"/>
        </w:rPr>
        <w:t>重构经营模式，打造</w:t>
      </w:r>
      <w:r>
        <w:rPr>
          <w:rFonts w:hint="default" w:ascii="Times New Roman" w:hAnsi="Times New Roman" w:cs="Times New Roman"/>
          <w:lang w:eastAsia="zh-CN"/>
        </w:rPr>
        <w:t>“</w:t>
      </w:r>
      <w:r>
        <w:rPr>
          <w:rFonts w:cs="Times New Roman"/>
        </w:rPr>
        <w:t>硬件+软件+平台+服务</w:t>
      </w:r>
      <w:r>
        <w:rPr>
          <w:rFonts w:hint="default" w:ascii="Times New Roman" w:hAnsi="Times New Roman" w:cs="Times New Roman"/>
          <w:lang w:eastAsia="zh-CN"/>
        </w:rPr>
        <w:t>”</w:t>
      </w:r>
      <w:r>
        <w:rPr>
          <w:rFonts w:cs="Times New Roman"/>
        </w:rPr>
        <w:t>的系统解决方案，</w:t>
      </w:r>
      <w:r>
        <w:rPr>
          <w:rFonts w:hint="eastAsia" w:cs="Times New Roman"/>
          <w:lang w:val="en-US" w:eastAsia="zh-CN"/>
        </w:rPr>
        <w:t>培养</w:t>
      </w:r>
      <w:r>
        <w:rPr>
          <w:rFonts w:cs="Times New Roman"/>
        </w:rPr>
        <w:t>市级服务型制造示范企业</w:t>
      </w:r>
      <w:r>
        <w:rPr>
          <w:rFonts w:hint="eastAsia" w:cs="Times New Roman"/>
          <w:lang w:val="en-US" w:eastAsia="zh-CN"/>
        </w:rPr>
        <w:t>和</w:t>
      </w:r>
      <w:r>
        <w:rPr>
          <w:rFonts w:cs="Times New Roman"/>
        </w:rPr>
        <w:t>总集成总承包链主企业。支持三菱电梯、季丰电子、南华兰陵等标杆企业</w:t>
      </w:r>
      <w:r>
        <w:rPr>
          <w:rFonts w:hint="eastAsia" w:cs="Times New Roman"/>
          <w:lang w:val="en-US" w:eastAsia="zh-CN"/>
        </w:rPr>
        <w:t>持续提升</w:t>
      </w:r>
      <w:r>
        <w:rPr>
          <w:rFonts w:cs="Times New Roman"/>
        </w:rPr>
        <w:t>服务要素产出</w:t>
      </w:r>
      <w:r>
        <w:rPr>
          <w:rFonts w:hint="eastAsia" w:cs="Times New Roman"/>
          <w:lang w:val="en-US" w:eastAsia="zh-CN"/>
        </w:rPr>
        <w:t>占比</w:t>
      </w:r>
      <w:r>
        <w:rPr>
          <w:rFonts w:hint="default" w:cs="Times New Roman"/>
        </w:rPr>
        <w:t>，推广制造服务一体化新模式</w:t>
      </w:r>
      <w:r>
        <w:rPr>
          <w:rFonts w:cs="Times New Roman"/>
        </w:rPr>
        <w:t>。</w:t>
      </w:r>
    </w:p>
    <w:p>
      <w:pPr>
        <w:pStyle w:val="4"/>
        <w:ind w:firstLine="643"/>
        <w:rPr>
          <w:rFonts w:cs="Times New Roman"/>
        </w:rPr>
      </w:pPr>
      <w:bookmarkStart w:id="131" w:name="_Toc4224"/>
      <w:bookmarkStart w:id="132" w:name="_Toc20253"/>
      <w:bookmarkStart w:id="133" w:name="_Toc22563"/>
      <w:bookmarkStart w:id="134" w:name="_Toc24253"/>
      <w:r>
        <w:rPr>
          <w:rFonts w:hint="default" w:cs="Times New Roman"/>
          <w:lang w:val="en-US" w:eastAsia="zh-CN"/>
        </w:rPr>
        <w:t>3</w:t>
      </w:r>
      <w:r>
        <w:rPr>
          <w:rFonts w:cs="Times New Roman"/>
        </w:rPr>
        <w:t>、激活</w:t>
      </w:r>
      <w:r>
        <w:rPr>
          <w:rFonts w:hint="default" w:cs="Times New Roman"/>
          <w:lang w:val="en-US" w:eastAsia="zh-CN"/>
        </w:rPr>
        <w:t>数字创意</w:t>
      </w:r>
      <w:r>
        <w:rPr>
          <w:rFonts w:cs="Times New Roman"/>
        </w:rPr>
        <w:t>服务新兴动能</w:t>
      </w:r>
      <w:bookmarkEnd w:id="131"/>
      <w:bookmarkEnd w:id="132"/>
      <w:bookmarkEnd w:id="133"/>
      <w:bookmarkEnd w:id="134"/>
    </w:p>
    <w:p>
      <w:pPr>
        <w:ind w:firstLine="640"/>
        <w:rPr>
          <w:rFonts w:cs="Times New Roman"/>
        </w:rPr>
      </w:pPr>
      <w:r>
        <w:rPr>
          <w:rFonts w:hint="eastAsia" w:cs="Times New Roman"/>
          <w:lang w:val="en-US" w:eastAsia="zh-CN"/>
        </w:rPr>
        <w:t>强化</w:t>
      </w:r>
      <w:r>
        <w:rPr>
          <w:rFonts w:cs="Times New Roman"/>
        </w:rPr>
        <w:t>软件信息、</w:t>
      </w:r>
      <w:r>
        <w:rPr>
          <w:rFonts w:hint="eastAsia" w:cs="Times New Roman"/>
          <w:lang w:val="en-US" w:eastAsia="zh-CN"/>
        </w:rPr>
        <w:t>数字内容</w:t>
      </w:r>
      <w:r>
        <w:rPr>
          <w:rFonts w:cs="Times New Roman"/>
        </w:rPr>
        <w:t>优势，</w:t>
      </w:r>
      <w:r>
        <w:rPr>
          <w:rFonts w:hint="eastAsia" w:cs="Times New Roman"/>
          <w:lang w:val="en-US" w:eastAsia="zh-CN"/>
        </w:rPr>
        <w:t>凸显</w:t>
      </w:r>
      <w:r>
        <w:rPr>
          <w:rFonts w:cs="Times New Roman"/>
        </w:rPr>
        <w:t>产业集群效应</w:t>
      </w:r>
      <w:r>
        <w:rPr>
          <w:rFonts w:hint="eastAsia" w:cs="Times New Roman"/>
          <w:lang w:eastAsia="zh-CN"/>
        </w:rPr>
        <w:t>，</w:t>
      </w:r>
      <w:r>
        <w:rPr>
          <w:rFonts w:hint="eastAsia" w:cs="Times New Roman"/>
          <w:lang w:val="en-US" w:eastAsia="zh-CN"/>
        </w:rPr>
        <w:t>构建区域特色数字创意服务产业体系。</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期末，推动数字</w:t>
      </w:r>
      <w:r>
        <w:rPr>
          <w:rFonts w:hint="default" w:cs="Times New Roman"/>
          <w:lang w:val="en-US" w:eastAsia="zh-CN"/>
        </w:rPr>
        <w:t>创意服务</w:t>
      </w:r>
      <w:r>
        <w:rPr>
          <w:rFonts w:cs="Times New Roman"/>
        </w:rPr>
        <w:t>产业营业收入达到1</w:t>
      </w:r>
      <w:r>
        <w:rPr>
          <w:rFonts w:hint="default" w:cs="Times New Roman"/>
          <w:lang w:val="en-US" w:eastAsia="zh-CN"/>
        </w:rPr>
        <w:t>7</w:t>
      </w:r>
      <w:r>
        <w:rPr>
          <w:rFonts w:cs="Times New Roman"/>
        </w:rPr>
        <w:t>00亿元。</w:t>
      </w:r>
    </w:p>
    <w:p>
      <w:pPr>
        <w:pStyle w:val="60"/>
        <w:ind w:firstLine="643"/>
      </w:pPr>
      <w:r>
        <w:t>（1）加强软件信息</w:t>
      </w:r>
      <w:r>
        <w:rPr>
          <w:rFonts w:hint="default"/>
          <w:lang w:val="en-US" w:eastAsia="zh-CN"/>
        </w:rPr>
        <w:t>创新</w:t>
      </w:r>
      <w:r>
        <w:t>开发与场景应用</w:t>
      </w:r>
    </w:p>
    <w:p>
      <w:pPr>
        <w:ind w:firstLine="643"/>
        <w:rPr>
          <w:rFonts w:cs="Times New Roman"/>
        </w:rPr>
      </w:pPr>
      <w:r>
        <w:rPr>
          <w:rFonts w:ascii="Times New Roman" w:hAnsi="Times New Roman" w:eastAsia="仿宋_GB2312" w:cs="Times New Roman"/>
          <w:b/>
          <w:bCs/>
          <w:i w:val="0"/>
          <w:iCs w:val="0"/>
          <w:caps w:val="0"/>
          <w:spacing w:val="0"/>
          <w:sz w:val="32"/>
          <w:szCs w:val="24"/>
          <w:shd w:val="clear" w:fill="auto"/>
        </w:rPr>
        <w:t>以人工智能创新赋能，推动软信业提质增效、迭代升级</w:t>
      </w:r>
      <w:r>
        <w:rPr>
          <w:rFonts w:cs="Times New Roman"/>
          <w:b/>
          <w:bCs/>
        </w:rPr>
        <w:t>。</w:t>
      </w:r>
      <w:r>
        <w:rPr>
          <w:rFonts w:hint="default" w:ascii="Times New Roman" w:hAnsi="Times New Roman" w:eastAsia="仿宋_GB2312" w:cs="Times New Roman"/>
          <w:b w:val="0"/>
          <w:bCs w:val="0"/>
          <w:sz w:val="32"/>
          <w:szCs w:val="24"/>
          <w:lang w:val="en-US" w:eastAsia="zh-CN"/>
        </w:rPr>
        <w:t>聚焦航天、航空、汽车等制造企业软件系统</w:t>
      </w:r>
      <w:r>
        <w:rPr>
          <w:rFonts w:cs="Times New Roman"/>
        </w:rPr>
        <w:t>，信息安全、互动娱乐、专业服务等优势服务业企业软件系统，支持通用软件</w:t>
      </w:r>
      <w:r>
        <w:rPr>
          <w:rFonts w:hint="eastAsia" w:cs="Times New Roman"/>
          <w:lang w:eastAsia="zh-CN"/>
        </w:rPr>
        <w:t>、</w:t>
      </w:r>
      <w:r>
        <w:rPr>
          <w:rFonts w:cs="Times New Roman"/>
        </w:rPr>
        <w:t>通用操作系统</w:t>
      </w:r>
      <w:r>
        <w:rPr>
          <w:rFonts w:hint="eastAsia" w:cs="Times New Roman"/>
          <w:lang w:val="en-US" w:eastAsia="zh-CN"/>
        </w:rPr>
        <w:t>以及</w:t>
      </w:r>
      <w:r>
        <w:rPr>
          <w:rFonts w:hint="default" w:cs="Times New Roman"/>
          <w:lang w:val="en-US" w:eastAsia="zh-CN"/>
        </w:rPr>
        <w:t>行业模型、</w:t>
      </w:r>
      <w:r>
        <w:rPr>
          <w:rFonts w:hint="eastAsia" w:cs="Times New Roman"/>
          <w:lang w:val="en-US" w:eastAsia="zh-CN"/>
        </w:rPr>
        <w:t>AI</w:t>
      </w:r>
      <w:r>
        <w:rPr>
          <w:rFonts w:hint="default" w:cs="Times New Roman"/>
          <w:lang w:val="en-US" w:eastAsia="zh-CN"/>
        </w:rPr>
        <w:t>应用智能体</w:t>
      </w:r>
      <w:r>
        <w:rPr>
          <w:rFonts w:hint="eastAsia" w:cs="Times New Roman"/>
          <w:lang w:val="en-US" w:eastAsia="zh-CN"/>
        </w:rPr>
        <w:t>研发</w:t>
      </w:r>
      <w:r>
        <w:rPr>
          <w:rFonts w:hint="default" w:cs="Times New Roman"/>
          <w:lang w:val="en-US" w:eastAsia="zh-CN"/>
        </w:rPr>
        <w:t>，支持</w:t>
      </w:r>
      <w:r>
        <w:rPr>
          <w:rFonts w:hint="default" w:ascii="Times New Roman" w:hAnsi="Times New Roman" w:cs="Times New Roman"/>
          <w:b w:val="0"/>
          <w:bCs w:val="0"/>
          <w:i w:val="0"/>
          <w:iCs w:val="0"/>
          <w:caps w:val="0"/>
          <w:spacing w:val="0"/>
          <w:sz w:val="32"/>
          <w:szCs w:val="24"/>
          <w:shd w:val="clear"/>
          <w:lang w:eastAsia="zh-CN"/>
        </w:rPr>
        <w:t>“</w:t>
      </w:r>
      <w:r>
        <w:rPr>
          <w:rFonts w:ascii="Times New Roman" w:hAnsi="Times New Roman" w:eastAsia="仿宋_GB2312" w:cs="Times New Roman"/>
          <w:b w:val="0"/>
          <w:bCs w:val="0"/>
          <w:i w:val="0"/>
          <w:iCs w:val="0"/>
          <w:caps w:val="0"/>
          <w:spacing w:val="0"/>
          <w:sz w:val="32"/>
          <w:szCs w:val="24"/>
          <w:shd w:val="clear"/>
        </w:rPr>
        <w:t>软件+云服务</w:t>
      </w:r>
      <w:r>
        <w:rPr>
          <w:rFonts w:hint="default" w:ascii="Times New Roman" w:hAnsi="Times New Roman" w:cs="Times New Roman"/>
          <w:b w:val="0"/>
          <w:bCs w:val="0"/>
          <w:i w:val="0"/>
          <w:iCs w:val="0"/>
          <w:caps w:val="0"/>
          <w:spacing w:val="0"/>
          <w:sz w:val="32"/>
          <w:szCs w:val="24"/>
          <w:shd w:val="clear"/>
          <w:lang w:eastAsia="zh-CN"/>
        </w:rPr>
        <w:t>”</w:t>
      </w:r>
      <w:r>
        <w:rPr>
          <w:rFonts w:hint="eastAsia" w:cs="Times New Roman"/>
          <w:b w:val="0"/>
          <w:bCs w:val="0"/>
          <w:i w:val="0"/>
          <w:iCs w:val="0"/>
          <w:caps w:val="0"/>
          <w:spacing w:val="0"/>
          <w:sz w:val="32"/>
          <w:szCs w:val="24"/>
          <w:shd w:val="clear"/>
          <w:lang w:val="en-US" w:eastAsia="zh-CN"/>
        </w:rPr>
        <w:t>模式</w:t>
      </w:r>
      <w:r>
        <w:rPr>
          <w:rFonts w:cs="Times New Roman"/>
        </w:rPr>
        <w:t>。加快推进重点行业、关键领域信息系统软硬件产品应用</w:t>
      </w:r>
      <w:r>
        <w:rPr>
          <w:rFonts w:hint="eastAsia" w:cs="Times New Roman"/>
          <w:lang w:eastAsia="zh-CN"/>
        </w:rPr>
        <w:t>，</w:t>
      </w:r>
      <w:r>
        <w:rPr>
          <w:rFonts w:hint="default" w:cs="Times New Roman"/>
          <w:lang w:val="en-US" w:eastAsia="zh-CN"/>
        </w:rPr>
        <w:t>搭建</w:t>
      </w:r>
      <w:r>
        <w:rPr>
          <w:rStyle w:val="25"/>
          <w:rFonts w:ascii="Times New Roman" w:hAnsi="Times New Roman" w:eastAsia="仿宋_GB2312" w:cs="Times New Roman"/>
          <w:b w:val="0"/>
          <w:bCs w:val="0"/>
          <w:i w:val="0"/>
          <w:iCs w:val="0"/>
          <w:caps w:val="0"/>
          <w:spacing w:val="0"/>
          <w:sz w:val="32"/>
          <w:szCs w:val="24"/>
          <w:shd w:val="clear" w:fill="FFFFFF"/>
        </w:rPr>
        <w:t>安全合规的</w:t>
      </w:r>
      <w:r>
        <w:rPr>
          <w:rFonts w:hint="default" w:cs="Times New Roman"/>
          <w:b w:val="0"/>
          <w:bCs w:val="0"/>
          <w:i w:val="0"/>
          <w:iCs w:val="0"/>
          <w:caps w:val="0"/>
          <w:spacing w:val="0"/>
          <w:sz w:val="32"/>
          <w:szCs w:val="24"/>
          <w:shd w:val="clear"/>
          <w:lang w:val="en-US" w:eastAsia="zh-CN"/>
        </w:rPr>
        <w:t>自主云平台。</w:t>
      </w:r>
      <w:r>
        <w:rPr>
          <w:rFonts w:cs="Times New Roman"/>
        </w:rPr>
        <w:t>积极布局人工智能在互动娱乐、工业制造、</w:t>
      </w:r>
      <w:r>
        <w:rPr>
          <w:rFonts w:hint="default" w:cs="Times New Roman"/>
          <w:lang w:val="en-US" w:eastAsia="zh-CN"/>
        </w:rPr>
        <w:t>智能驾驶、</w:t>
      </w:r>
      <w:r>
        <w:rPr>
          <w:rFonts w:cs="Times New Roman"/>
        </w:rPr>
        <w:t>产品营销等领域的应用。</w:t>
      </w:r>
    </w:p>
    <w:p>
      <w:pPr>
        <w:pStyle w:val="60"/>
        <w:ind w:firstLine="643"/>
      </w:pPr>
      <w:r>
        <w:t>（2）做强做优数字内容产业生态</w:t>
      </w:r>
    </w:p>
    <w:p>
      <w:pPr>
        <w:ind w:firstLine="643"/>
        <w:rPr>
          <w:rFonts w:cs="Times New Roman"/>
        </w:rPr>
      </w:pPr>
      <w:r>
        <w:rPr>
          <w:rFonts w:cs="Times New Roman"/>
          <w:b/>
          <w:bCs/>
        </w:rPr>
        <w:t>培育游戏电竞生态圈</w:t>
      </w:r>
      <w:r>
        <w:rPr>
          <w:rFonts w:hint="eastAsia" w:cs="Times New Roman"/>
          <w:b/>
          <w:bCs/>
          <w:lang w:eastAsia="zh-CN"/>
        </w:rPr>
        <w:t>，</w:t>
      </w:r>
      <w:r>
        <w:rPr>
          <w:rFonts w:cs="Times New Roman"/>
        </w:rPr>
        <w:t>以沐瞳、莉莉丝等重点企业为引领，支持移动游戏产业平台化发展、链式发展、出海发展。打造</w:t>
      </w:r>
      <w:r>
        <w:rPr>
          <w:rFonts w:hint="eastAsia" w:cs="Times New Roman"/>
          <w:lang w:val="en-US" w:eastAsia="zh-CN"/>
        </w:rPr>
        <w:t>专业</w:t>
      </w:r>
      <w:r>
        <w:rPr>
          <w:rFonts w:cs="Times New Roman"/>
        </w:rPr>
        <w:t>游戏孵化器</w:t>
      </w:r>
      <w:r>
        <w:rPr>
          <w:rFonts w:hint="eastAsia" w:cs="Times New Roman"/>
          <w:lang w:eastAsia="zh-CN"/>
        </w:rPr>
        <w:t>，</w:t>
      </w:r>
      <w:r>
        <w:rPr>
          <w:rFonts w:hint="eastAsia" w:cs="Times New Roman"/>
          <w:lang w:val="en-US" w:eastAsia="zh-CN"/>
        </w:rPr>
        <w:t>支持</w:t>
      </w:r>
      <w:r>
        <w:rPr>
          <w:rFonts w:cs="Times New Roman"/>
        </w:rPr>
        <w:t>精品游戏</w:t>
      </w:r>
      <w:r>
        <w:rPr>
          <w:rFonts w:hint="eastAsia" w:cs="Times New Roman"/>
          <w:lang w:val="en-US" w:eastAsia="zh-CN"/>
        </w:rPr>
        <w:t>研发与技术服务企业。</w:t>
      </w:r>
      <w:r>
        <w:rPr>
          <w:rFonts w:cs="Times New Roman"/>
        </w:rPr>
        <w:t>依托上海电竞中心，打造以战队和赛事为中心的电竞产业生态圈</w:t>
      </w:r>
      <w:r>
        <w:rPr>
          <w:rFonts w:hint="eastAsia" w:cs="Times New Roman"/>
          <w:lang w:eastAsia="zh-CN"/>
        </w:rPr>
        <w:t>，</w:t>
      </w:r>
      <w:r>
        <w:rPr>
          <w:rFonts w:cs="Times New Roman"/>
        </w:rPr>
        <w:t>建设上海全球电竞之都的重要承载区。</w:t>
      </w:r>
    </w:p>
    <w:p>
      <w:pPr>
        <w:ind w:firstLine="643"/>
        <w:rPr>
          <w:rFonts w:cs="Times New Roman"/>
        </w:rPr>
      </w:pPr>
      <w:r>
        <w:rPr>
          <w:rFonts w:cs="Times New Roman"/>
          <w:b/>
          <w:bCs/>
        </w:rPr>
        <w:t>构建网络视听全产业链条。</w:t>
      </w:r>
      <w:r>
        <w:rPr>
          <w:rFonts w:cs="Times New Roman"/>
        </w:rPr>
        <w:t>依托东方智媒城、中国（上海）网络视听产业基地，充分发挥国家广电总局、上海文广集团资源，探索在地融合发展路径，加大产业链核心企业集聚力度，</w:t>
      </w:r>
      <w:r>
        <w:rPr>
          <w:rFonts w:hint="eastAsia" w:cs="Times New Roman"/>
          <w:lang w:val="en-US" w:eastAsia="zh-CN"/>
        </w:rPr>
        <w:t>加强</w:t>
      </w:r>
      <w:r>
        <w:rPr>
          <w:rFonts w:hint="default" w:cs="Times New Roman"/>
          <w:lang w:val="en-US" w:eastAsia="zh-CN"/>
        </w:rPr>
        <w:t>引入</w:t>
      </w:r>
      <w:r>
        <w:rPr>
          <w:rStyle w:val="25"/>
          <w:rFonts w:ascii="Times New Roman" w:hAnsi="Times New Roman" w:eastAsia="仿宋_GB2312" w:cs="Times New Roman"/>
          <w:b w:val="0"/>
          <w:bCs w:val="0"/>
          <w:i w:val="0"/>
          <w:iCs w:val="0"/>
          <w:caps w:val="0"/>
          <w:spacing w:val="0"/>
          <w:sz w:val="32"/>
          <w:szCs w:val="24"/>
          <w:shd w:val="clear" w:fill="FFFFFF"/>
        </w:rPr>
        <w:t>短视频、VR/AR沉浸式视频等新型平台</w:t>
      </w:r>
      <w:r>
        <w:rPr>
          <w:rStyle w:val="25"/>
          <w:rFonts w:hint="eastAsia" w:cs="Times New Roman"/>
          <w:b w:val="0"/>
          <w:bCs w:val="0"/>
          <w:i w:val="0"/>
          <w:iCs w:val="0"/>
          <w:caps w:val="0"/>
          <w:spacing w:val="0"/>
          <w:sz w:val="32"/>
          <w:szCs w:val="24"/>
          <w:shd w:val="clear" w:fill="FFFFFF"/>
          <w:lang w:val="en-US" w:eastAsia="zh-CN"/>
        </w:rPr>
        <w:t>以及上下游企业</w:t>
      </w:r>
      <w:r>
        <w:rPr>
          <w:rFonts w:hint="eastAsia" w:cs="Times New Roman"/>
          <w:lang w:eastAsia="zh-CN"/>
        </w:rPr>
        <w:t>，</w:t>
      </w:r>
      <w:r>
        <w:rPr>
          <w:rFonts w:cs="Times New Roman"/>
        </w:rPr>
        <w:t>鼓励人工智能、大数据、云计算技术等在网络视听产业中的融合应用。</w:t>
      </w:r>
    </w:p>
    <w:p>
      <w:pPr>
        <w:ind w:firstLine="643"/>
        <w:rPr>
          <w:rFonts w:hint="default" w:ascii="Times New Roman" w:hAnsi="Times New Roman" w:eastAsia="仿宋_GB2312" w:cs="Times New Roman"/>
          <w:b w:val="0"/>
          <w:bCs w:val="0"/>
          <w:i w:val="0"/>
          <w:iCs w:val="0"/>
          <w:caps w:val="0"/>
          <w:spacing w:val="0"/>
          <w:sz w:val="32"/>
          <w:szCs w:val="24"/>
          <w:shd w:val="clear"/>
          <w:lang w:val="en-US" w:eastAsia="zh-CN"/>
        </w:rPr>
      </w:pPr>
      <w:r>
        <w:rPr>
          <w:rFonts w:cs="Times New Roman"/>
          <w:b/>
          <w:bCs/>
        </w:rPr>
        <w:t>促进数字传媒融合发展。</w:t>
      </w:r>
      <w:r>
        <w:rPr>
          <w:rFonts w:cs="Times New Roman"/>
        </w:rPr>
        <w:t>发挥上海报业集团、上海世纪出版集团等</w:t>
      </w:r>
      <w:r>
        <w:rPr>
          <w:rFonts w:hint="eastAsia" w:cs="Times New Roman"/>
          <w:lang w:val="en-US" w:eastAsia="zh-CN"/>
        </w:rPr>
        <w:t>优势</w:t>
      </w:r>
      <w:r>
        <w:rPr>
          <w:rFonts w:cs="Times New Roman"/>
        </w:rPr>
        <w:t>，大力发展书刊出版、版权贸易等业务</w:t>
      </w:r>
      <w:r>
        <w:rPr>
          <w:rFonts w:hint="default" w:cs="Times New Roman"/>
          <w:lang w:eastAsia="zh-CN"/>
        </w:rPr>
        <w:t>，</w:t>
      </w:r>
      <w:r>
        <w:rPr>
          <w:rFonts w:hint="default" w:cs="Times New Roman"/>
          <w:lang w:val="en-US" w:eastAsia="zh-CN"/>
        </w:rPr>
        <w:t>培育</w:t>
      </w:r>
      <w:r>
        <w:rPr>
          <w:rFonts w:ascii="Times New Roman" w:hAnsi="Times New Roman" w:eastAsia="仿宋_GB2312" w:cs="Times New Roman"/>
          <w:b w:val="0"/>
          <w:bCs w:val="0"/>
          <w:i w:val="0"/>
          <w:iCs w:val="0"/>
          <w:caps w:val="0"/>
          <w:spacing w:val="0"/>
          <w:sz w:val="32"/>
          <w:szCs w:val="24"/>
          <w:shd w:val="clear"/>
        </w:rPr>
        <w:t>垂直</w:t>
      </w:r>
      <w:r>
        <w:rPr>
          <w:rFonts w:hint="eastAsia" w:cs="Times New Roman"/>
          <w:b w:val="0"/>
          <w:bCs w:val="0"/>
          <w:i w:val="0"/>
          <w:iCs w:val="0"/>
          <w:caps w:val="0"/>
          <w:spacing w:val="0"/>
          <w:sz w:val="32"/>
          <w:szCs w:val="24"/>
          <w:shd w:val="clear"/>
          <w:lang w:val="en-US" w:eastAsia="zh-CN"/>
        </w:rPr>
        <w:t>数字媒体，</w:t>
      </w:r>
      <w:r>
        <w:rPr>
          <w:rFonts w:hint="default" w:cs="Times New Roman"/>
          <w:b w:val="0"/>
          <w:bCs w:val="0"/>
          <w:i w:val="0"/>
          <w:iCs w:val="0"/>
          <w:caps w:val="0"/>
          <w:spacing w:val="0"/>
          <w:sz w:val="32"/>
          <w:szCs w:val="24"/>
          <w:shd w:val="clear"/>
          <w:lang w:val="en-US" w:eastAsia="zh-CN"/>
        </w:rPr>
        <w:t>积极推进</w:t>
      </w:r>
      <w:r>
        <w:rPr>
          <w:rFonts w:cs="Times New Roman"/>
        </w:rPr>
        <w:t>媒体数字化转型</w:t>
      </w:r>
      <w:r>
        <w:rPr>
          <w:rFonts w:hint="default" w:cs="Times New Roman"/>
          <w:b w:val="0"/>
          <w:bCs w:val="0"/>
          <w:i w:val="0"/>
          <w:iCs w:val="0"/>
          <w:caps w:val="0"/>
          <w:spacing w:val="0"/>
          <w:sz w:val="32"/>
          <w:szCs w:val="24"/>
          <w:shd w:val="clear"/>
          <w:lang w:eastAsia="zh-CN"/>
        </w:rPr>
        <w:t>。</w:t>
      </w:r>
    </w:p>
    <w:p>
      <w:pPr>
        <w:ind w:firstLine="643"/>
        <w:rPr>
          <w:rFonts w:cs="Times New Roman"/>
        </w:rPr>
      </w:pPr>
      <w:r>
        <w:rPr>
          <w:rFonts w:cs="Times New Roman"/>
          <w:b/>
          <w:bCs/>
        </w:rPr>
        <w:t>构建数字广告跨圈联动生态。</w:t>
      </w:r>
      <w:r>
        <w:rPr>
          <w:rFonts w:cs="Times New Roman"/>
        </w:rPr>
        <w:t>鼓励广告企业加大在</w:t>
      </w:r>
      <w:r>
        <w:rPr>
          <w:rFonts w:hint="default" w:cs="Times New Roman"/>
          <w:lang w:val="en-US" w:eastAsia="zh-CN"/>
        </w:rPr>
        <w:t>生成式AI、</w:t>
      </w:r>
      <w:r>
        <w:rPr>
          <w:rStyle w:val="25"/>
          <w:rFonts w:ascii="Times New Roman" w:hAnsi="Times New Roman" w:eastAsia="仿宋_GB2312" w:cs="Times New Roman"/>
          <w:b w:val="0"/>
          <w:bCs w:val="0"/>
          <w:i w:val="0"/>
          <w:iCs w:val="0"/>
          <w:caps w:val="0"/>
          <w:spacing w:val="0"/>
          <w:sz w:val="32"/>
          <w:szCs w:val="24"/>
          <w:shd w:val="clear" w:fill="FFFFFF"/>
        </w:rPr>
        <w:t>数字孪生、数据可视化、边缘计算</w:t>
      </w:r>
      <w:r>
        <w:rPr>
          <w:rFonts w:cs="Times New Roman"/>
        </w:rPr>
        <w:t>等新兴技术领域研发投入。加强品牌建设，培育一批具有全国影响力的广告创意品牌，提升闵行区广告产业的话语权。</w:t>
      </w:r>
    </w:p>
    <w:p>
      <w:pPr>
        <w:pStyle w:val="4"/>
        <w:ind w:firstLine="643"/>
        <w:rPr>
          <w:rFonts w:cs="Times New Roman"/>
        </w:rPr>
      </w:pPr>
      <w:bookmarkStart w:id="135" w:name="_Toc29173"/>
      <w:bookmarkStart w:id="136" w:name="_Toc25533"/>
      <w:bookmarkStart w:id="137" w:name="_Toc18845"/>
      <w:bookmarkStart w:id="138" w:name="_Toc5340"/>
      <w:r>
        <w:rPr>
          <w:rFonts w:hint="default" w:cs="Times New Roman"/>
          <w:lang w:val="en-US" w:eastAsia="zh-CN"/>
        </w:rPr>
        <w:t>4</w:t>
      </w:r>
      <w:r>
        <w:rPr>
          <w:rFonts w:cs="Times New Roman"/>
        </w:rPr>
        <w:t>、推动人力资源服务提质升级</w:t>
      </w:r>
      <w:bookmarkEnd w:id="135"/>
      <w:bookmarkEnd w:id="136"/>
      <w:bookmarkEnd w:id="137"/>
      <w:bookmarkEnd w:id="138"/>
    </w:p>
    <w:p>
      <w:pPr>
        <w:ind w:firstLine="0"/>
        <w:jc w:val="left"/>
        <w:rPr>
          <w:rFonts w:cs="Times New Roman"/>
        </w:rPr>
      </w:pPr>
      <w:r>
        <w:rPr>
          <w:rFonts w:ascii="Times New Roman" w:hAnsi="Times New Roman" w:eastAsia="仿宋_GB2312" w:cs="Times New Roman"/>
          <w:kern w:val="2"/>
          <w:sz w:val="32"/>
          <w:szCs w:val="24"/>
          <w:lang w:val="en-US" w:eastAsia="zh-CN" w:bidi="ar"/>
          <w14:ligatures w14:val="standardContextual"/>
        </w:rPr>
        <w:t>推动人力资源服务业向品牌化、国际化升级，</w:t>
      </w:r>
      <w:r>
        <w:rPr>
          <w:rFonts w:hint="default" w:cs="Times New Roman"/>
        </w:rPr>
        <w:t>到2030年，</w:t>
      </w:r>
      <w:r>
        <w:rPr>
          <w:rFonts w:cs="Times New Roman"/>
        </w:rPr>
        <w:t>中国上海人力资源服务产业园虹桥园累计入驻人力资源类企业350家以上。</w:t>
      </w:r>
      <w:r>
        <w:rPr>
          <w:rFonts w:hint="eastAsia" w:cs="Times New Roman"/>
          <w:lang w:val="en-US" w:eastAsia="zh-CN"/>
        </w:rPr>
        <w:t>重点</w:t>
      </w:r>
      <w:r>
        <w:rPr>
          <w:rFonts w:ascii="Times New Roman" w:hAnsi="Times New Roman" w:eastAsia="仿宋_GB2312" w:cs="Times New Roman"/>
          <w:kern w:val="2"/>
          <w:sz w:val="32"/>
          <w:szCs w:val="24"/>
          <w:lang w:val="en-US" w:eastAsia="zh-CN" w:bidi="ar"/>
          <w14:ligatures w14:val="standardContextual"/>
        </w:rPr>
        <w:t>引育高级人才寻访、测评、培训等中高端业态</w:t>
      </w:r>
      <w:r>
        <w:rPr>
          <w:rFonts w:hint="eastAsia" w:cs="Times New Roman"/>
          <w:kern w:val="2"/>
          <w:sz w:val="32"/>
          <w:szCs w:val="24"/>
          <w:lang w:val="en-US" w:eastAsia="zh-CN" w:bidi="ar"/>
          <w14:ligatures w14:val="standardContextual"/>
        </w:rPr>
        <w:t>，集聚</w:t>
      </w:r>
      <w:r>
        <w:rPr>
          <w:rFonts w:ascii="Times New Roman" w:hAnsi="Times New Roman" w:eastAsia="仿宋_GB2312" w:cs="Times New Roman"/>
          <w:kern w:val="2"/>
          <w:sz w:val="32"/>
          <w:szCs w:val="24"/>
          <w:lang w:val="en-US" w:eastAsia="zh-CN" w:bidi="ar"/>
          <w14:ligatures w14:val="standardContextual"/>
        </w:rPr>
        <w:t>数字化服务机构</w:t>
      </w:r>
      <w:r>
        <w:rPr>
          <w:rFonts w:hint="eastAsia" w:cs="Times New Roman"/>
          <w:kern w:val="2"/>
          <w:sz w:val="32"/>
          <w:szCs w:val="24"/>
          <w:lang w:val="en-US" w:eastAsia="zh-CN" w:bidi="ar"/>
          <w14:ligatures w14:val="standardContextual"/>
        </w:rPr>
        <w:t>。</w:t>
      </w:r>
      <w:r>
        <w:rPr>
          <w:rFonts w:ascii="Times New Roman" w:hAnsi="Times New Roman" w:eastAsia="仿宋_GB2312" w:cs="Times New Roman"/>
          <w:kern w:val="2"/>
          <w:sz w:val="32"/>
          <w:szCs w:val="24"/>
          <w:lang w:val="en-US" w:eastAsia="zh-CN" w:bidi="ar"/>
          <w14:ligatures w14:val="standardContextual"/>
        </w:rPr>
        <w:t>持续优化“虹人汇”、HQTP国际人才会客厅等特色品牌</w:t>
      </w:r>
      <w:r>
        <w:rPr>
          <w:rFonts w:hint="eastAsia" w:cs="Times New Roman"/>
          <w:kern w:val="2"/>
          <w:sz w:val="32"/>
          <w:szCs w:val="24"/>
          <w:lang w:val="en-US" w:eastAsia="zh-CN" w:bidi="ar"/>
          <w14:ligatures w14:val="standardContextual"/>
        </w:rPr>
        <w:t>，依托</w:t>
      </w:r>
      <w:r>
        <w:rPr>
          <w:rFonts w:cs="Times New Roman"/>
        </w:rPr>
        <w:t>大零号湾</w:t>
      </w:r>
      <w:r>
        <w:rPr>
          <w:rFonts w:hint="default" w:ascii="Times New Roman" w:hAnsi="Times New Roman" w:cs="Times New Roman"/>
          <w:lang w:eastAsia="zh-CN"/>
        </w:rPr>
        <w:t>“</w:t>
      </w:r>
      <w:r>
        <w:rPr>
          <w:rFonts w:cs="Times New Roman"/>
        </w:rPr>
        <w:t>海聚英才</w:t>
      </w:r>
      <w:r>
        <w:rPr>
          <w:rFonts w:hint="default" w:ascii="Times New Roman" w:hAnsi="Times New Roman" w:cs="Times New Roman"/>
          <w:lang w:eastAsia="zh-CN"/>
        </w:rPr>
        <w:t>”</w:t>
      </w:r>
      <w:r>
        <w:rPr>
          <w:rFonts w:cs="Times New Roman"/>
        </w:rPr>
        <w:t>创业城</w:t>
      </w:r>
      <w:r>
        <w:rPr>
          <w:rFonts w:hint="eastAsia" w:cs="Times New Roman"/>
          <w:lang w:val="en-US" w:eastAsia="zh-CN"/>
        </w:rPr>
        <w:t>及</w:t>
      </w:r>
      <w:r>
        <w:rPr>
          <w:rFonts w:hint="default" w:ascii="Times New Roman" w:hAnsi="Times New Roman" w:cs="Times New Roman"/>
          <w:lang w:eastAsia="zh-CN"/>
        </w:rPr>
        <w:t>“</w:t>
      </w:r>
      <w:r>
        <w:rPr>
          <w:rFonts w:cs="Times New Roman"/>
        </w:rPr>
        <w:t>海创云</w:t>
      </w:r>
      <w:r>
        <w:rPr>
          <w:rFonts w:hint="default" w:ascii="Times New Roman" w:hAnsi="Times New Roman" w:cs="Times New Roman"/>
          <w:lang w:eastAsia="zh-CN"/>
        </w:rPr>
        <w:t>”</w:t>
      </w:r>
      <w:r>
        <w:rPr>
          <w:rFonts w:cs="Times New Roman"/>
        </w:rPr>
        <w:t>平台，</w:t>
      </w:r>
      <w:r>
        <w:rPr>
          <w:rFonts w:hint="eastAsia" w:cs="Times New Roman"/>
          <w:lang w:val="en-US" w:eastAsia="zh-CN"/>
        </w:rPr>
        <w:t>服务</w:t>
      </w:r>
      <w:r>
        <w:rPr>
          <w:rFonts w:cs="Times New Roman"/>
        </w:rPr>
        <w:t>全球优秀人才。</w:t>
      </w:r>
      <w:r>
        <w:rPr>
          <w:rFonts w:ascii="Times New Roman" w:hAnsi="Times New Roman" w:eastAsia="仿宋_GB2312" w:cs="Times New Roman"/>
          <w:kern w:val="2"/>
          <w:sz w:val="32"/>
          <w:szCs w:val="24"/>
          <w:lang w:val="en-US" w:eastAsia="zh-CN" w:bidi="ar"/>
          <w14:ligatures w14:val="standardContextual"/>
        </w:rPr>
        <w:t>深化产业国际化发展，</w:t>
      </w:r>
      <w:r>
        <w:rPr>
          <w:rFonts w:hint="eastAsia" w:cs="Times New Roman"/>
          <w:kern w:val="2"/>
          <w:sz w:val="32"/>
          <w:szCs w:val="24"/>
          <w:lang w:val="en-US" w:eastAsia="zh-CN" w:bidi="ar"/>
          <w14:ligatures w14:val="standardContextual"/>
        </w:rPr>
        <w:t>集聚</w:t>
      </w:r>
      <w:r>
        <w:rPr>
          <w:rFonts w:cs="Times New Roman"/>
          <w:lang w:bidi="ar"/>
        </w:rPr>
        <w:t>全球服务外包、国际人才培训</w:t>
      </w:r>
      <w:r>
        <w:rPr>
          <w:rFonts w:hint="eastAsia" w:cs="Times New Roman"/>
          <w:lang w:val="en-US" w:eastAsia="zh-CN" w:bidi="ar"/>
        </w:rPr>
        <w:t>咨询</w:t>
      </w:r>
      <w:r>
        <w:rPr>
          <w:rFonts w:cs="Times New Roman"/>
          <w:lang w:bidi="ar"/>
        </w:rPr>
        <w:t>、全球数字服务解决方案等高能级企业</w:t>
      </w:r>
      <w:r>
        <w:rPr>
          <w:rFonts w:hint="eastAsia" w:cs="Times New Roman"/>
          <w:lang w:eastAsia="zh-CN" w:bidi="ar"/>
        </w:rPr>
        <w:t>，</w:t>
      </w:r>
      <w:r>
        <w:rPr>
          <w:rFonts w:hint="eastAsia" w:cs="Times New Roman"/>
          <w:lang w:val="en-US" w:eastAsia="zh-CN" w:bidi="ar"/>
        </w:rPr>
        <w:t>联动本土企业及合作伙伴，</w:t>
      </w:r>
      <w:r>
        <w:rPr>
          <w:rFonts w:cs="Times New Roman"/>
          <w:b w:val="0"/>
          <w:bCs w:val="0"/>
          <w:lang w:bidi="ar"/>
        </w:rPr>
        <w:t>赋能出海入华企业人才配置。</w:t>
      </w:r>
    </w:p>
    <w:p>
      <w:pPr>
        <w:pStyle w:val="4"/>
        <w:ind w:firstLine="643"/>
        <w:rPr>
          <w:rFonts w:cs="Times New Roman"/>
        </w:rPr>
      </w:pPr>
      <w:bookmarkStart w:id="139" w:name="_Toc6660"/>
      <w:bookmarkStart w:id="140" w:name="_Toc25210"/>
      <w:bookmarkStart w:id="141" w:name="_Toc17859"/>
      <w:bookmarkStart w:id="142" w:name="_Toc21606"/>
      <w:r>
        <w:rPr>
          <w:rFonts w:hint="default" w:cs="Times New Roman"/>
          <w:lang w:val="en-US" w:eastAsia="zh-CN"/>
        </w:rPr>
        <w:t>5</w:t>
      </w:r>
      <w:r>
        <w:rPr>
          <w:rFonts w:cs="Times New Roman"/>
        </w:rPr>
        <w:t>、优化</w:t>
      </w:r>
      <w:r>
        <w:rPr>
          <w:rFonts w:hint="default" w:cs="Times New Roman"/>
          <w:lang w:eastAsia="zh-CN"/>
        </w:rPr>
        <w:t>专业法律服务</w:t>
      </w:r>
      <w:r>
        <w:rPr>
          <w:rFonts w:cs="Times New Roman"/>
        </w:rPr>
        <w:t>专业效能</w:t>
      </w:r>
      <w:bookmarkEnd w:id="139"/>
      <w:bookmarkEnd w:id="140"/>
      <w:bookmarkEnd w:id="141"/>
      <w:bookmarkEnd w:id="142"/>
    </w:p>
    <w:p>
      <w:pPr>
        <w:ind w:firstLine="640"/>
        <w:rPr>
          <w:rFonts w:cs="Times New Roman"/>
        </w:rPr>
      </w:pPr>
      <w:r>
        <w:rPr>
          <w:rFonts w:hint="default" w:ascii="Times New Roman" w:hAnsi="Times New Roman" w:eastAsia="仿宋_GB2312" w:cs="Times New Roman"/>
          <w:b w:val="0"/>
          <w:bCs w:val="0"/>
          <w:kern w:val="2"/>
          <w:sz w:val="32"/>
          <w:szCs w:val="32"/>
          <w:lang w:val="en-US" w:eastAsia="zh-CN" w:bidi="ar-SA"/>
        </w:rPr>
        <w:t>大力发展法律新兴服务，</w:t>
      </w:r>
      <w:r>
        <w:rPr>
          <w:rFonts w:hint="default" w:ascii="Times New Roman" w:hAnsi="Times New Roman" w:eastAsia="仿宋_GB2312" w:cs="Times New Roman"/>
          <w:sz w:val="32"/>
          <w:szCs w:val="32"/>
          <w:lang w:val="en-US" w:eastAsia="zh-CN"/>
        </w:rPr>
        <w:t>加强</w:t>
      </w:r>
      <w:r>
        <w:rPr>
          <w:rFonts w:hint="default" w:ascii="Times New Roman" w:hAnsi="Times New Roman" w:eastAsia="仿宋_GB2312" w:cs="Times New Roman"/>
          <w:sz w:val="32"/>
          <w:szCs w:val="32"/>
        </w:rPr>
        <w:t>国际法律服务机构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品牌综合型</w:t>
      </w:r>
      <w:r>
        <w:rPr>
          <w:rFonts w:hint="eastAsia" w:cs="Times New Roman"/>
          <w:sz w:val="32"/>
          <w:szCs w:val="32"/>
          <w:lang w:val="en-US" w:eastAsia="zh-CN"/>
        </w:rPr>
        <w:t>及专精型</w:t>
      </w:r>
      <w:r>
        <w:rPr>
          <w:rFonts w:hint="default" w:ascii="Times New Roman" w:hAnsi="Times New Roman" w:eastAsia="仿宋_GB2312" w:cs="Times New Roman"/>
          <w:sz w:val="32"/>
          <w:szCs w:val="32"/>
          <w:lang w:val="en-US" w:eastAsia="zh-CN"/>
        </w:rPr>
        <w:t>律师事务所引入</w:t>
      </w:r>
      <w:r>
        <w:rPr>
          <w:rFonts w:hint="eastAsia" w:cs="Times New Roman"/>
          <w:szCs w:val="32"/>
          <w:lang w:eastAsia="zh-CN"/>
        </w:rPr>
        <w:t>，</w:t>
      </w:r>
      <w:r>
        <w:rPr>
          <w:rFonts w:cs="Times New Roman"/>
          <w:szCs w:val="32"/>
        </w:rPr>
        <w:t>到2030年，推动虹桥国际中央法务区集聚法律和泛法律服务机构250家。</w:t>
      </w:r>
      <w:r>
        <w:rPr>
          <w:rFonts w:hint="eastAsia" w:cs="Times New Roman"/>
          <w:b w:val="0"/>
          <w:bCs w:val="0"/>
          <w:szCs w:val="32"/>
          <w:lang w:val="en-US" w:eastAsia="zh-CN"/>
        </w:rPr>
        <w:t>打造</w:t>
      </w:r>
      <w:r>
        <w:rPr>
          <w:rFonts w:cs="Times New Roman"/>
          <w:b w:val="0"/>
          <w:bCs w:val="0"/>
          <w:szCs w:val="32"/>
        </w:rPr>
        <w:t>全链条法律服务体系，</w:t>
      </w:r>
      <w:r>
        <w:rPr>
          <w:rFonts w:cs="Times New Roman"/>
        </w:rPr>
        <w:t>加快吸引</w:t>
      </w:r>
      <w:r>
        <w:rPr>
          <w:rFonts w:cs="Times New Roman"/>
          <w:szCs w:val="32"/>
        </w:rPr>
        <w:t>仲裁、公证、司法鉴定、商事调解</w:t>
      </w:r>
      <w:r>
        <w:rPr>
          <w:rFonts w:hint="eastAsia" w:cs="Times New Roman"/>
          <w:szCs w:val="32"/>
          <w:lang w:val="en-US" w:eastAsia="zh-CN"/>
        </w:rPr>
        <w:t>等专业机构</w:t>
      </w:r>
      <w:r>
        <w:rPr>
          <w:rFonts w:cs="Times New Roman"/>
          <w:szCs w:val="32"/>
        </w:rPr>
        <w:t>，</w:t>
      </w:r>
      <w:r>
        <w:rPr>
          <w:rFonts w:cs="Times New Roman"/>
        </w:rPr>
        <w:t>围绕法律大模型</w:t>
      </w:r>
      <w:r>
        <w:rPr>
          <w:rFonts w:hint="default" w:cs="Times New Roman"/>
          <w:lang w:eastAsia="zh-CN"/>
        </w:rPr>
        <w:t>、</w:t>
      </w:r>
      <w:r>
        <w:rPr>
          <w:rFonts w:hint="eastAsia" w:cs="Times New Roman"/>
          <w:lang w:val="en-US" w:eastAsia="zh-CN"/>
        </w:rPr>
        <w:t>职考培训</w:t>
      </w:r>
      <w:r>
        <w:rPr>
          <w:rFonts w:cs="Times New Roman"/>
        </w:rPr>
        <w:t>等领域精准招商。</w:t>
      </w:r>
      <w:r>
        <w:rPr>
          <w:rFonts w:hint="eastAsia" w:cs="Times New Roman"/>
          <w:lang w:val="en-US" w:eastAsia="zh-CN"/>
        </w:rPr>
        <w:t>深耕涉外法治服务，集聚</w:t>
      </w:r>
      <w:r>
        <w:rPr>
          <w:rFonts w:cs="Times New Roman"/>
        </w:rPr>
        <w:t>国际商法、跨境投资、国际公证认证、海外维权等</w:t>
      </w:r>
      <w:r>
        <w:rPr>
          <w:rFonts w:hint="eastAsia" w:cs="Times New Roman"/>
          <w:lang w:val="en-US" w:eastAsia="zh-CN"/>
        </w:rPr>
        <w:t>服务资源</w:t>
      </w:r>
      <w:r>
        <w:rPr>
          <w:rFonts w:cs="Times New Roman"/>
        </w:rPr>
        <w:t>。</w:t>
      </w:r>
      <w:r>
        <w:rPr>
          <w:rFonts w:hint="eastAsia" w:cs="Times New Roman"/>
          <w:b w:val="0"/>
          <w:bCs w:val="0"/>
          <w:kern w:val="2"/>
          <w:sz w:val="32"/>
          <w:szCs w:val="24"/>
          <w:lang w:val="en-US" w:eastAsia="zh-CN" w:bidi="ar-SA"/>
        </w:rPr>
        <w:t>紧扣</w:t>
      </w:r>
      <w:r>
        <w:rPr>
          <w:rFonts w:hint="default" w:ascii="Times New Roman" w:hAnsi="Times New Roman" w:cs="Times New Roman"/>
          <w:b w:val="0"/>
          <w:bCs w:val="0"/>
          <w:kern w:val="2"/>
          <w:sz w:val="32"/>
          <w:szCs w:val="24"/>
          <w:lang w:val="en-US" w:eastAsia="zh-CN" w:bidi="ar-SA"/>
        </w:rPr>
        <w:t>“</w:t>
      </w:r>
      <w:r>
        <w:rPr>
          <w:rFonts w:hint="default" w:ascii="Times New Roman" w:hAnsi="Times New Roman" w:eastAsia="仿宋_GB2312" w:cs="Times New Roman"/>
          <w:b w:val="0"/>
          <w:bCs w:val="0"/>
          <w:kern w:val="2"/>
          <w:sz w:val="32"/>
          <w:szCs w:val="24"/>
          <w:lang w:val="en-US" w:eastAsia="zh-CN" w:bidi="ar-SA"/>
        </w:rPr>
        <w:t>大零号湾</w:t>
      </w:r>
      <w:r>
        <w:rPr>
          <w:rFonts w:hint="default" w:ascii="Times New Roman" w:hAnsi="Times New Roman" w:cs="Times New Roman"/>
          <w:b w:val="0"/>
          <w:bCs w:val="0"/>
          <w:kern w:val="2"/>
          <w:sz w:val="32"/>
          <w:szCs w:val="24"/>
          <w:lang w:val="en-US" w:eastAsia="zh-CN" w:bidi="ar-SA"/>
        </w:rPr>
        <w:t>”</w:t>
      </w:r>
      <w:r>
        <w:rPr>
          <w:rFonts w:hint="default" w:ascii="Times New Roman" w:hAnsi="Times New Roman" w:eastAsia="仿宋_GB2312" w:cs="Times New Roman"/>
          <w:b w:val="0"/>
          <w:bCs w:val="0"/>
          <w:kern w:val="2"/>
          <w:sz w:val="32"/>
          <w:szCs w:val="24"/>
          <w:lang w:val="en-US" w:eastAsia="zh-CN" w:bidi="ar-SA"/>
        </w:rPr>
        <w:t>科创</w:t>
      </w:r>
      <w:r>
        <w:rPr>
          <w:rFonts w:hint="eastAsia" w:cs="Times New Roman"/>
          <w:b w:val="0"/>
          <w:bCs w:val="0"/>
          <w:kern w:val="2"/>
          <w:sz w:val="32"/>
          <w:szCs w:val="24"/>
          <w:lang w:val="en-US" w:eastAsia="zh-CN" w:bidi="ar-SA"/>
        </w:rPr>
        <w:t>发展需求，</w:t>
      </w:r>
      <w:r>
        <w:rPr>
          <w:rFonts w:hint="default" w:ascii="Times New Roman" w:hAnsi="Times New Roman" w:eastAsia="仿宋_GB2312" w:cs="Times New Roman"/>
          <w:b w:val="0"/>
          <w:bCs w:val="0"/>
          <w:kern w:val="2"/>
          <w:sz w:val="32"/>
          <w:szCs w:val="24"/>
          <w:lang w:val="en-US" w:eastAsia="zh-CN" w:bidi="ar-SA"/>
        </w:rPr>
        <w:t>推进</w:t>
      </w:r>
      <w:r>
        <w:rPr>
          <w:rFonts w:hint="default" w:ascii="Times New Roman" w:hAnsi="Times New Roman" w:cs="Times New Roman"/>
          <w:b w:val="0"/>
          <w:bCs w:val="0"/>
          <w:kern w:val="2"/>
          <w:sz w:val="32"/>
          <w:szCs w:val="24"/>
          <w:lang w:val="en-US" w:eastAsia="zh-CN" w:bidi="ar-SA"/>
        </w:rPr>
        <w:t>“</w:t>
      </w:r>
      <w:r>
        <w:rPr>
          <w:rFonts w:hint="default" w:ascii="Times New Roman" w:hAnsi="Times New Roman" w:eastAsia="仿宋_GB2312" w:cs="Times New Roman"/>
          <w:b w:val="0"/>
          <w:bCs w:val="0"/>
          <w:kern w:val="2"/>
          <w:sz w:val="32"/>
          <w:szCs w:val="24"/>
          <w:lang w:val="en-US" w:eastAsia="zh-CN" w:bidi="ar-SA"/>
        </w:rPr>
        <w:t>一核多点</w:t>
      </w:r>
      <w:r>
        <w:rPr>
          <w:rFonts w:hint="default" w:ascii="Times New Roman" w:hAnsi="Times New Roman" w:cs="Times New Roman"/>
          <w:b w:val="0"/>
          <w:bCs w:val="0"/>
          <w:kern w:val="2"/>
          <w:sz w:val="32"/>
          <w:szCs w:val="24"/>
          <w:lang w:val="en-US" w:eastAsia="zh-CN" w:bidi="ar-SA"/>
        </w:rPr>
        <w:t>”</w:t>
      </w:r>
      <w:r>
        <w:rPr>
          <w:rFonts w:hint="default" w:ascii="Times New Roman" w:hAnsi="Times New Roman" w:eastAsia="仿宋_GB2312" w:cs="Times New Roman"/>
          <w:b w:val="0"/>
          <w:bCs w:val="0"/>
          <w:kern w:val="2"/>
          <w:sz w:val="32"/>
          <w:szCs w:val="24"/>
          <w:lang w:val="en-US" w:eastAsia="zh-CN" w:bidi="ar-SA"/>
        </w:rPr>
        <w:t>法律服务基地（站）建设，派驻专业律师提供法律服务。</w:t>
      </w:r>
      <w:r>
        <w:rPr>
          <w:rFonts w:cs="Times New Roman"/>
        </w:rPr>
        <w:t>推动数字化转型，在知识产权保护、数据合规等</w:t>
      </w:r>
      <w:r>
        <w:rPr>
          <w:rFonts w:hint="eastAsia" w:cs="Times New Roman"/>
          <w:lang w:val="en-US" w:eastAsia="zh-CN"/>
        </w:rPr>
        <w:t>方面</w:t>
      </w:r>
      <w:r>
        <w:rPr>
          <w:rFonts w:cs="Times New Roman"/>
        </w:rPr>
        <w:t>打造法律科技应用场景。</w:t>
      </w:r>
    </w:p>
    <w:p>
      <w:pPr>
        <w:pStyle w:val="4"/>
        <w:ind w:firstLine="643"/>
        <w:rPr>
          <w:rFonts w:cs="Times New Roman"/>
        </w:rPr>
      </w:pPr>
      <w:bookmarkStart w:id="143" w:name="_Toc28403"/>
      <w:bookmarkStart w:id="144" w:name="_Toc31074"/>
      <w:bookmarkStart w:id="145" w:name="_Toc21869"/>
      <w:bookmarkStart w:id="146" w:name="_Toc28632"/>
      <w:r>
        <w:rPr>
          <w:rFonts w:hint="default" w:cs="Times New Roman"/>
          <w:lang w:val="en-US" w:eastAsia="zh-CN"/>
        </w:rPr>
        <w:t>6</w:t>
      </w:r>
      <w:r>
        <w:rPr>
          <w:rFonts w:cs="Times New Roman"/>
        </w:rPr>
        <w:t>、提升</w:t>
      </w:r>
      <w:r>
        <w:rPr>
          <w:rFonts w:hint="default" w:cs="Times New Roman"/>
          <w:lang w:eastAsia="zh-CN"/>
        </w:rPr>
        <w:t>金融财税</w:t>
      </w:r>
      <w:r>
        <w:rPr>
          <w:rFonts w:cs="Times New Roman"/>
        </w:rPr>
        <w:t>服务质量效益</w:t>
      </w:r>
      <w:bookmarkEnd w:id="143"/>
      <w:bookmarkEnd w:id="144"/>
      <w:bookmarkEnd w:id="145"/>
      <w:bookmarkEnd w:id="146"/>
    </w:p>
    <w:p>
      <w:pPr>
        <w:ind w:firstLine="640"/>
        <w:jc w:val="left"/>
        <w:rPr>
          <w:rFonts w:hint="default" w:cs="Times New Roman"/>
          <w:lang w:bidi="ar"/>
        </w:rPr>
      </w:pPr>
      <w:r>
        <w:rPr>
          <w:rFonts w:cs="Times New Roman"/>
        </w:rPr>
        <w:t>发挥全国产融合作试点区、中央财政支持普惠金融发展示范区优势，构建特色突出、多样发展的</w:t>
      </w:r>
      <w:r>
        <w:rPr>
          <w:rFonts w:hint="default" w:cs="Times New Roman"/>
          <w:lang w:eastAsia="zh-CN"/>
        </w:rPr>
        <w:t>金融财税</w:t>
      </w:r>
      <w:r>
        <w:rPr>
          <w:rFonts w:cs="Times New Roman"/>
        </w:rPr>
        <w:t>服务体系</w:t>
      </w:r>
      <w:r>
        <w:rPr>
          <w:rFonts w:hint="eastAsia" w:cs="Times New Roman"/>
          <w:lang w:eastAsia="zh-CN"/>
        </w:rPr>
        <w:t>，</w:t>
      </w:r>
      <w:r>
        <w:rPr>
          <w:rFonts w:hint="default" w:ascii="Times New Roman" w:hAnsi="Times New Roman" w:eastAsia="仿宋_GB2312" w:cs="Times New Roman"/>
          <w:b w:val="0"/>
          <w:bCs w:val="0"/>
          <w:kern w:val="2"/>
          <w:sz w:val="32"/>
          <w:szCs w:val="24"/>
          <w:lang w:val="en-US" w:eastAsia="zh-CN" w:bidi="ar-SA"/>
        </w:rPr>
        <w:t>到2030年集聚金融财税类企业150家以上。</w:t>
      </w:r>
      <w:r>
        <w:rPr>
          <w:rFonts w:ascii="Times New Roman" w:hAnsi="Times New Roman" w:cs="Times New Roman"/>
          <w:b w:val="0"/>
          <w:bCs w:val="0"/>
        </w:rPr>
        <w:t>完善科技金融服务体系</w:t>
      </w:r>
      <w:r>
        <w:rPr>
          <w:rFonts w:hint="eastAsia" w:cs="Times New Roman"/>
          <w:b w:val="0"/>
          <w:bCs w:val="0"/>
          <w:lang w:eastAsia="zh-CN"/>
        </w:rPr>
        <w:t>，</w:t>
      </w:r>
      <w:r>
        <w:rPr>
          <w:rFonts w:hint="default" w:ascii="Times New Roman" w:hAnsi="Times New Roman" w:cs="Times New Roman"/>
          <w:lang w:val="en-US" w:eastAsia="zh-CN"/>
        </w:rPr>
        <w:t>提升绿色金融服务能力水平</w:t>
      </w:r>
      <w:r>
        <w:rPr>
          <w:rFonts w:hint="eastAsia" w:cs="Times New Roman"/>
          <w:lang w:val="en-US" w:eastAsia="zh-CN"/>
        </w:rPr>
        <w:t>，</w:t>
      </w:r>
      <w:r>
        <w:rPr>
          <w:rFonts w:ascii="Times New Roman" w:hAnsi="Times New Roman" w:cs="Times New Roman"/>
          <w:b w:val="0"/>
          <w:bCs w:val="0"/>
        </w:rPr>
        <w:t>加大普惠金融服务力度</w:t>
      </w:r>
      <w:r>
        <w:rPr>
          <w:rFonts w:hint="eastAsia" w:cs="Times New Roman"/>
          <w:b w:val="0"/>
          <w:bCs w:val="0"/>
          <w:lang w:eastAsia="zh-CN"/>
        </w:rPr>
        <w:t>，</w:t>
      </w:r>
      <w:r>
        <w:rPr>
          <w:rFonts w:hint="default" w:ascii="Times New Roman" w:hAnsi="Times New Roman" w:cs="Times New Roman"/>
          <w:lang w:val="en-US" w:eastAsia="zh-CN"/>
        </w:rPr>
        <w:t>加快养老金融发展</w:t>
      </w:r>
      <w:r>
        <w:rPr>
          <w:rFonts w:hint="eastAsia" w:cs="Times New Roman"/>
          <w:lang w:val="en-US" w:eastAsia="zh-CN"/>
        </w:rPr>
        <w:t>，</w:t>
      </w:r>
      <w:r>
        <w:rPr>
          <w:rFonts w:hint="default" w:ascii="Times New Roman" w:hAnsi="Times New Roman" w:cs="Times New Roman"/>
          <w:i w:val="0"/>
          <w:iCs w:val="0"/>
          <w:caps w:val="0"/>
          <w:color w:val="auto"/>
          <w:spacing w:val="0"/>
          <w:kern w:val="2"/>
          <w:sz w:val="32"/>
          <w:szCs w:val="24"/>
          <w:shd w:val="clear"/>
          <w:lang w:val="en-US" w:eastAsia="zh-CN" w:bidi="ar-SA"/>
        </w:rPr>
        <w:t>促进数字金融发展</w:t>
      </w:r>
      <w:r>
        <w:rPr>
          <w:rFonts w:hint="eastAsia" w:cs="Times New Roman"/>
          <w:i w:val="0"/>
          <w:iCs w:val="0"/>
          <w:caps w:val="0"/>
          <w:color w:val="auto"/>
          <w:spacing w:val="0"/>
          <w:kern w:val="2"/>
          <w:sz w:val="32"/>
          <w:szCs w:val="24"/>
          <w:shd w:val="clear"/>
          <w:lang w:val="en-US" w:eastAsia="zh-CN" w:bidi="ar-SA"/>
        </w:rPr>
        <w:t>，</w:t>
      </w:r>
      <w:r>
        <w:rPr>
          <w:rFonts w:ascii="Times New Roman" w:hAnsi="Times New Roman" w:eastAsia="仿宋_GB2312" w:cs="Times New Roman"/>
          <w:kern w:val="2"/>
          <w:sz w:val="32"/>
          <w:szCs w:val="24"/>
          <w:lang w:val="en-US" w:eastAsia="zh-CN" w:bidi="ar"/>
          <w14:ligatures w14:val="standardContextual"/>
        </w:rPr>
        <w:t>推动金融精准赋能</w:t>
      </w:r>
      <w:r>
        <w:rPr>
          <w:rFonts w:hint="eastAsia" w:cs="Times New Roman"/>
          <w:kern w:val="2"/>
          <w:sz w:val="32"/>
          <w:szCs w:val="24"/>
          <w:lang w:val="en-US" w:eastAsia="zh-CN" w:bidi="ar"/>
          <w14:ligatures w14:val="standardContextual"/>
        </w:rPr>
        <w:t>闵行</w:t>
      </w:r>
      <w:r>
        <w:rPr>
          <w:rFonts w:ascii="Times New Roman" w:hAnsi="Times New Roman" w:eastAsia="仿宋_GB2312" w:cs="Times New Roman"/>
          <w:kern w:val="2"/>
          <w:sz w:val="32"/>
          <w:szCs w:val="24"/>
          <w:lang w:val="en-US" w:eastAsia="zh-CN" w:bidi="ar"/>
          <w14:ligatures w14:val="standardContextual"/>
        </w:rPr>
        <w:t>实体经济</w:t>
      </w:r>
      <w:r>
        <w:rPr>
          <w:rFonts w:hint="eastAsia" w:cs="Times New Roman"/>
          <w:kern w:val="2"/>
          <w:sz w:val="32"/>
          <w:szCs w:val="24"/>
          <w:lang w:val="en-US" w:eastAsia="zh-CN" w:bidi="ar"/>
          <w14:ligatures w14:val="standardContextual"/>
        </w:rPr>
        <w:t>。</w:t>
      </w:r>
      <w:r>
        <w:rPr>
          <w:rFonts w:hint="default" w:cs="Times New Roman"/>
          <w:lang w:val="en-US" w:eastAsia="zh-CN" w:bidi="ar"/>
        </w:rPr>
        <w:t>以</w:t>
      </w:r>
      <w:r>
        <w:rPr>
          <w:rFonts w:hint="default" w:ascii="Times New Roman" w:hAnsi="Times New Roman" w:cs="Times New Roman"/>
          <w:b w:val="0"/>
          <w:bCs w:val="0"/>
          <w:lang w:val="en-US" w:eastAsia="zh-CN" w:bidi="ar"/>
        </w:rPr>
        <w:t>“</w:t>
      </w:r>
      <w:r>
        <w:rPr>
          <w:rFonts w:hint="default" w:cs="Times New Roman"/>
          <w:lang w:val="en-US" w:eastAsia="zh-CN" w:bidi="ar"/>
        </w:rPr>
        <w:t>功能+产业</w:t>
      </w:r>
      <w:r>
        <w:rPr>
          <w:rFonts w:hint="default" w:ascii="Times New Roman" w:hAnsi="Times New Roman" w:cs="Times New Roman"/>
          <w:b w:val="0"/>
          <w:bCs w:val="0"/>
          <w:lang w:val="en-US" w:eastAsia="zh-CN" w:bidi="ar"/>
        </w:rPr>
        <w:t>”</w:t>
      </w:r>
      <w:r>
        <w:rPr>
          <w:rFonts w:hint="default" w:cs="Times New Roman"/>
          <w:lang w:val="en-US" w:eastAsia="zh-CN" w:bidi="ar"/>
        </w:rPr>
        <w:t>双轮驱动模式</w:t>
      </w:r>
      <w:r>
        <w:rPr>
          <w:rFonts w:hint="default" w:cs="Times New Roman"/>
          <w:b w:val="0"/>
          <w:bCs w:val="0"/>
          <w:lang w:val="en-US" w:eastAsia="zh-CN" w:bidi="ar"/>
        </w:rPr>
        <w:t>打造财税服务集聚高地</w:t>
      </w:r>
      <w:r>
        <w:rPr>
          <w:rFonts w:hint="eastAsia" w:cs="Times New Roman"/>
          <w:b w:val="0"/>
          <w:bCs w:val="0"/>
          <w:lang w:val="en-US" w:eastAsia="zh-CN" w:bidi="ar"/>
        </w:rPr>
        <w:t>，</w:t>
      </w:r>
      <w:r>
        <w:rPr>
          <w:rFonts w:hint="default" w:cs="Times New Roman"/>
          <w:lang w:val="en-US" w:eastAsia="zh-CN" w:bidi="ar"/>
        </w:rPr>
        <w:t>依托立信虹桥研究院、立信虹桥会计中心（暨虹桥现代会计产业园），推进财税人才</w:t>
      </w:r>
      <w:r>
        <w:rPr>
          <w:rFonts w:hint="eastAsia" w:cs="Times New Roman"/>
          <w:lang w:val="en-US" w:eastAsia="zh-CN" w:bidi="ar"/>
        </w:rPr>
        <w:t>培育、</w:t>
      </w:r>
      <w:r>
        <w:rPr>
          <w:rFonts w:hint="default" w:ascii="Times New Roman" w:hAnsi="Times New Roman" w:eastAsia="仿宋_GB2312" w:cs="Times New Roman"/>
          <w:i w:val="0"/>
          <w:iCs w:val="0"/>
          <w:caps w:val="0"/>
          <w:color w:val="auto"/>
          <w:spacing w:val="0"/>
          <w:sz w:val="32"/>
          <w:szCs w:val="24"/>
          <w:shd w:val="clear" w:fill="auto"/>
          <w:lang w:bidi="ar"/>
        </w:rPr>
        <w:t>合规推广</w:t>
      </w:r>
      <w:r>
        <w:rPr>
          <w:rFonts w:hint="eastAsia" w:cs="Times New Roman"/>
          <w:i w:val="0"/>
          <w:iCs w:val="0"/>
          <w:caps w:val="0"/>
          <w:spacing w:val="0"/>
          <w:sz w:val="32"/>
          <w:szCs w:val="24"/>
          <w:shd w:val="clear"/>
          <w:lang w:eastAsia="zh-CN" w:bidi="ar"/>
        </w:rPr>
        <w:t>及</w:t>
      </w:r>
      <w:r>
        <w:rPr>
          <w:rFonts w:hint="default" w:ascii="Times New Roman" w:hAnsi="Times New Roman" w:eastAsia="仿宋_GB2312" w:cs="Times New Roman"/>
          <w:i w:val="0"/>
          <w:iCs w:val="0"/>
          <w:caps w:val="0"/>
          <w:color w:val="auto"/>
          <w:spacing w:val="0"/>
          <w:sz w:val="32"/>
          <w:szCs w:val="24"/>
          <w:shd w:val="clear" w:fill="auto"/>
          <w:lang w:bidi="ar"/>
        </w:rPr>
        <w:t>国际交流</w:t>
      </w:r>
      <w:r>
        <w:rPr>
          <w:rFonts w:hint="default" w:cs="Times New Roman"/>
          <w:i w:val="0"/>
          <w:iCs w:val="0"/>
          <w:caps w:val="0"/>
          <w:spacing w:val="0"/>
          <w:sz w:val="32"/>
          <w:szCs w:val="24"/>
          <w:shd w:val="clear"/>
          <w:lang w:eastAsia="zh-CN" w:bidi="ar"/>
        </w:rPr>
        <w:t>，</w:t>
      </w:r>
      <w:r>
        <w:rPr>
          <w:rFonts w:hint="default" w:cs="Times New Roman"/>
          <w:lang w:val="en-US" w:eastAsia="zh-CN" w:bidi="ar"/>
        </w:rPr>
        <w:t>吸引国内外</w:t>
      </w:r>
      <w:r>
        <w:rPr>
          <w:rFonts w:hint="default" w:ascii="Times New Roman" w:hAnsi="Times New Roman" w:eastAsia="仿宋_GB2312" w:cs="Times New Roman"/>
          <w:i w:val="0"/>
          <w:iCs w:val="0"/>
          <w:caps w:val="0"/>
          <w:color w:val="auto"/>
          <w:spacing w:val="0"/>
          <w:sz w:val="32"/>
          <w:szCs w:val="24"/>
          <w:shd w:val="clear" w:fill="auto"/>
          <w:lang w:bidi="ar"/>
        </w:rPr>
        <w:t>会计、</w:t>
      </w:r>
      <w:r>
        <w:rPr>
          <w:rFonts w:hint="default" w:cs="Times New Roman"/>
          <w:i w:val="0"/>
          <w:iCs w:val="0"/>
          <w:caps w:val="0"/>
          <w:color w:val="auto"/>
          <w:spacing w:val="0"/>
          <w:sz w:val="32"/>
          <w:szCs w:val="24"/>
          <w:shd w:val="clear" w:fill="auto"/>
          <w:lang w:val="en-US" w:eastAsia="zh-CN" w:bidi="ar"/>
        </w:rPr>
        <w:t>审计、</w:t>
      </w:r>
      <w:r>
        <w:rPr>
          <w:rFonts w:hint="default" w:ascii="Times New Roman" w:hAnsi="Times New Roman" w:eastAsia="仿宋_GB2312" w:cs="Times New Roman"/>
          <w:i w:val="0"/>
          <w:iCs w:val="0"/>
          <w:caps w:val="0"/>
          <w:color w:val="auto"/>
          <w:spacing w:val="0"/>
          <w:sz w:val="32"/>
          <w:szCs w:val="24"/>
          <w:shd w:val="clear" w:fill="auto"/>
          <w:lang w:bidi="ar"/>
        </w:rPr>
        <w:t>税务、资产评估等</w:t>
      </w:r>
      <w:r>
        <w:rPr>
          <w:rFonts w:hint="eastAsia" w:cs="Times New Roman"/>
          <w:i w:val="0"/>
          <w:iCs w:val="0"/>
          <w:caps w:val="0"/>
          <w:spacing w:val="0"/>
          <w:sz w:val="32"/>
          <w:szCs w:val="24"/>
          <w:shd w:val="clear"/>
          <w:lang w:val="en-US" w:eastAsia="zh-CN" w:bidi="ar"/>
        </w:rPr>
        <w:t>高端机构，</w:t>
      </w:r>
      <w:r>
        <w:rPr>
          <w:rFonts w:hint="default" w:cs="Times New Roman"/>
          <w:i w:val="0"/>
          <w:iCs w:val="0"/>
          <w:caps w:val="0"/>
          <w:spacing w:val="0"/>
          <w:sz w:val="32"/>
          <w:szCs w:val="24"/>
          <w:shd w:val="clear"/>
          <w:lang w:val="en-US" w:eastAsia="zh-CN" w:bidi="ar"/>
        </w:rPr>
        <w:t>扩大</w:t>
      </w:r>
      <w:r>
        <w:rPr>
          <w:rFonts w:hint="eastAsia" w:cs="Times New Roman"/>
          <w:i w:val="0"/>
          <w:iCs w:val="0"/>
          <w:caps w:val="0"/>
          <w:spacing w:val="0"/>
          <w:sz w:val="32"/>
          <w:szCs w:val="24"/>
          <w:shd w:val="clear"/>
          <w:lang w:val="en-US" w:eastAsia="zh-CN" w:bidi="ar"/>
        </w:rPr>
        <w:t>行业影响力</w:t>
      </w:r>
      <w:r>
        <w:rPr>
          <w:rFonts w:hint="default" w:cs="Times New Roman"/>
          <w:i w:val="0"/>
          <w:iCs w:val="0"/>
          <w:caps w:val="0"/>
          <w:spacing w:val="0"/>
          <w:sz w:val="32"/>
          <w:szCs w:val="24"/>
          <w:shd w:val="clear"/>
          <w:lang w:val="en-US" w:eastAsia="zh-CN" w:bidi="ar"/>
        </w:rPr>
        <w:t>。</w:t>
      </w:r>
    </w:p>
    <w:p>
      <w:pPr>
        <w:pStyle w:val="4"/>
        <w:ind w:firstLine="643"/>
        <w:rPr>
          <w:rFonts w:cs="Times New Roman"/>
        </w:rPr>
      </w:pPr>
      <w:bookmarkStart w:id="147" w:name="_Toc7834"/>
      <w:bookmarkStart w:id="148" w:name="_Toc1259"/>
      <w:bookmarkStart w:id="149" w:name="_Toc7615"/>
      <w:bookmarkStart w:id="150" w:name="_Toc6471"/>
      <w:r>
        <w:rPr>
          <w:rFonts w:hint="default" w:cs="Times New Roman"/>
          <w:lang w:val="en-US" w:eastAsia="zh-CN"/>
        </w:rPr>
        <w:t>7</w:t>
      </w:r>
      <w:r>
        <w:rPr>
          <w:rFonts w:cs="Times New Roman"/>
        </w:rPr>
        <w:t>、鼓励医疗健康服务创新发展</w:t>
      </w:r>
      <w:bookmarkEnd w:id="147"/>
      <w:bookmarkEnd w:id="148"/>
      <w:bookmarkEnd w:id="149"/>
      <w:bookmarkEnd w:id="150"/>
    </w:p>
    <w:p>
      <w:pPr>
        <w:ind w:firstLine="640"/>
        <w:jc w:val="left"/>
        <w:rPr>
          <w:rFonts w:cs="Times New Roman"/>
        </w:rPr>
      </w:pPr>
      <w:r>
        <w:rPr>
          <w:rFonts w:cs="Times New Roman"/>
        </w:rPr>
        <w:t>推动</w:t>
      </w:r>
      <w:r>
        <w:rPr>
          <w:rFonts w:hint="default" w:cs="Times New Roman"/>
          <w:lang w:val="en-US" w:eastAsia="zh-CN"/>
        </w:rPr>
        <w:t>医疗</w:t>
      </w:r>
      <w:r>
        <w:rPr>
          <w:rFonts w:cs="Times New Roman"/>
        </w:rPr>
        <w:t>健康服务业规模发展、集聚发展和创新发展</w:t>
      </w:r>
      <w:r>
        <w:rPr>
          <w:rFonts w:hint="eastAsia" w:cs="Times New Roman"/>
          <w:lang w:eastAsia="zh-CN"/>
        </w:rPr>
        <w:t>，</w:t>
      </w:r>
      <w:r>
        <w:rPr>
          <w:rFonts w:hint="default" w:cs="Times New Roman"/>
        </w:rPr>
        <w:t>到2030年</w:t>
      </w:r>
      <w:r>
        <w:rPr>
          <w:rFonts w:hint="default" w:cs="Times New Roman"/>
          <w:lang w:val="en-US" w:eastAsia="zh-CN"/>
        </w:rPr>
        <w:t>医疗健康服务产业营业收入达到50亿元</w:t>
      </w:r>
      <w:r>
        <w:rPr>
          <w:rFonts w:hint="default" w:cs="Times New Roman"/>
        </w:rPr>
        <w:t>。</w:t>
      </w:r>
      <w:r>
        <w:rPr>
          <w:rFonts w:hint="eastAsia" w:cs="Times New Roman"/>
          <w:lang w:val="en-US" w:eastAsia="zh-CN"/>
        </w:rPr>
        <w:t>依托</w:t>
      </w:r>
      <w:r>
        <w:rPr>
          <w:rFonts w:cs="Times New Roman"/>
        </w:rPr>
        <w:t>华山医院</w:t>
      </w:r>
      <w:r>
        <w:rPr>
          <w:rFonts w:hint="eastAsia" w:cs="Times New Roman"/>
          <w:lang w:eastAsia="zh-CN"/>
        </w:rPr>
        <w:t>，</w:t>
      </w:r>
      <w:r>
        <w:rPr>
          <w:rFonts w:cs="Times New Roman"/>
        </w:rPr>
        <w:t>引入国内外优质医疗机构</w:t>
      </w:r>
      <w:r>
        <w:rPr>
          <w:rFonts w:hint="eastAsia" w:cs="Times New Roman"/>
          <w:lang w:val="en-US" w:eastAsia="zh-CN"/>
        </w:rPr>
        <w:t>与专家工作室</w:t>
      </w:r>
      <w:r>
        <w:rPr>
          <w:rFonts w:cs="Times New Roman"/>
        </w:rPr>
        <w:t>，</w:t>
      </w:r>
      <w:r>
        <w:rPr>
          <w:rFonts w:hint="default" w:cs="Times New Roman"/>
        </w:rPr>
        <w:t>聚焦肿瘤精准治疗、</w:t>
      </w:r>
      <w:r>
        <w:rPr>
          <w:rFonts w:cs="Times New Roman"/>
        </w:rPr>
        <w:t>美容、康复等领域</w:t>
      </w:r>
      <w:r>
        <w:rPr>
          <w:rFonts w:hint="default" w:cs="Times New Roman"/>
        </w:rPr>
        <w:t>提供高品质</w:t>
      </w:r>
      <w:r>
        <w:rPr>
          <w:rFonts w:cs="Times New Roman"/>
        </w:rPr>
        <w:t>医疗服务。依托国家健康旅游示范基地、国际医疗旅游服务试点建设，</w:t>
      </w:r>
      <w:r>
        <w:rPr>
          <w:rFonts w:hint="eastAsia" w:cs="Times New Roman"/>
          <w:lang w:val="en-US" w:eastAsia="zh-CN"/>
        </w:rPr>
        <w:t>培育</w:t>
      </w:r>
      <w:r>
        <w:rPr>
          <w:rFonts w:hint="default" w:ascii="Times New Roman" w:hAnsi="Times New Roman" w:cs="Times New Roman"/>
          <w:lang w:eastAsia="zh-CN"/>
        </w:rPr>
        <w:t>“</w:t>
      </w:r>
      <w:r>
        <w:rPr>
          <w:rFonts w:cs="Times New Roman"/>
        </w:rPr>
        <w:t>医疗+旅游</w:t>
      </w:r>
      <w:r>
        <w:rPr>
          <w:rFonts w:hint="default" w:ascii="Times New Roman" w:hAnsi="Times New Roman" w:cs="Times New Roman"/>
          <w:lang w:eastAsia="zh-CN"/>
        </w:rPr>
        <w:t>”</w:t>
      </w:r>
      <w:r>
        <w:rPr>
          <w:rFonts w:cs="Times New Roman"/>
        </w:rPr>
        <w:t>新模式</w:t>
      </w:r>
      <w:r>
        <w:rPr>
          <w:rFonts w:hint="eastAsia" w:cs="Times New Roman"/>
          <w:lang w:val="en-US" w:eastAsia="zh-CN"/>
        </w:rPr>
        <w:t>业态</w:t>
      </w:r>
      <w:r>
        <w:rPr>
          <w:rFonts w:cs="Times New Roman"/>
        </w:rPr>
        <w:t>，</w:t>
      </w:r>
      <w:r>
        <w:rPr>
          <w:rFonts w:hint="eastAsia" w:cs="Times New Roman"/>
          <w:lang w:val="en-US" w:eastAsia="zh-CN"/>
        </w:rPr>
        <w:t>发展多元健康管理服务。</w:t>
      </w:r>
      <w:r>
        <w:rPr>
          <w:rFonts w:hint="default" w:cs="Times New Roman"/>
          <w:lang w:val="en-US" w:eastAsia="zh-CN"/>
        </w:rPr>
        <w:t>做优新虹桥国际医学中心、上海全球创新医疗器械展训中心、上海脑机接口未来集聚区功能，加快复旦大学虹桥医学创新园区建设，</w:t>
      </w:r>
      <w:r>
        <w:rPr>
          <w:rFonts w:ascii="Times New Roman" w:hAnsi="Times New Roman" w:eastAsia="仿宋_GB2312" w:cs="Times New Roman"/>
          <w:kern w:val="2"/>
          <w:sz w:val="32"/>
          <w:szCs w:val="24"/>
          <w:lang w:val="en-US" w:eastAsia="zh-CN" w:bidi="ar"/>
          <w14:ligatures w14:val="standardContextual"/>
        </w:rPr>
        <w:t>推动数字</w:t>
      </w:r>
      <w:r>
        <w:rPr>
          <w:rFonts w:hint="eastAsia" w:cs="Times New Roman"/>
          <w:kern w:val="2"/>
          <w:sz w:val="32"/>
          <w:szCs w:val="24"/>
          <w:lang w:val="en-US" w:eastAsia="zh-CN" w:bidi="ar"/>
          <w14:ligatures w14:val="standardContextual"/>
        </w:rPr>
        <w:t>医疗</w:t>
      </w:r>
      <w:r>
        <w:rPr>
          <w:rFonts w:ascii="Times New Roman" w:hAnsi="Times New Roman" w:eastAsia="仿宋_GB2312" w:cs="Times New Roman"/>
          <w:kern w:val="2"/>
          <w:sz w:val="32"/>
          <w:szCs w:val="24"/>
          <w:lang w:val="en-US" w:eastAsia="zh-CN" w:bidi="ar"/>
          <w14:ligatures w14:val="standardContextual"/>
        </w:rPr>
        <w:t>、智慧</w:t>
      </w:r>
      <w:r>
        <w:rPr>
          <w:rFonts w:hint="eastAsia" w:cs="Times New Roman"/>
          <w:kern w:val="2"/>
          <w:sz w:val="32"/>
          <w:szCs w:val="24"/>
          <w:lang w:val="en-US" w:eastAsia="zh-CN" w:bidi="ar"/>
          <w14:ligatures w14:val="standardContextual"/>
        </w:rPr>
        <w:t>医疗</w:t>
      </w:r>
      <w:r>
        <w:rPr>
          <w:rFonts w:ascii="Times New Roman" w:hAnsi="Times New Roman" w:eastAsia="仿宋_GB2312" w:cs="Times New Roman"/>
          <w:kern w:val="2"/>
          <w:sz w:val="32"/>
          <w:szCs w:val="24"/>
          <w:lang w:val="en-US" w:eastAsia="zh-CN" w:bidi="ar"/>
          <w14:ligatures w14:val="standardContextual"/>
        </w:rPr>
        <w:t>、未来医疗研发，促进医产学研用融合</w:t>
      </w:r>
      <w:r>
        <w:rPr>
          <w:rFonts w:hint="eastAsia" w:cs="Times New Roman"/>
          <w:kern w:val="2"/>
          <w:sz w:val="32"/>
          <w:szCs w:val="24"/>
          <w:lang w:val="en-US" w:eastAsia="zh-CN" w:bidi="ar"/>
          <w14:ligatures w14:val="standardContextual"/>
        </w:rPr>
        <w:t>。联动上海市养老科技产业园、高校资源以及养老机构，运用</w:t>
      </w:r>
      <w:r>
        <w:rPr>
          <w:rFonts w:cs="Times New Roman"/>
        </w:rPr>
        <w:t>大数据、物联网、AI等技术赋能</w:t>
      </w:r>
      <w:r>
        <w:rPr>
          <w:rFonts w:hint="eastAsia" w:cs="Times New Roman"/>
          <w:lang w:val="en-US" w:eastAsia="zh-CN"/>
        </w:rPr>
        <w:t>智慧康养</w:t>
      </w:r>
      <w:r>
        <w:rPr>
          <w:rFonts w:hint="eastAsia" w:cs="Times New Roman"/>
          <w:lang w:eastAsia="zh-CN"/>
        </w:rPr>
        <w:t>，</w:t>
      </w:r>
      <w:r>
        <w:rPr>
          <w:rFonts w:hint="eastAsia" w:cs="Times New Roman"/>
          <w:lang w:val="en-US" w:eastAsia="zh-CN"/>
        </w:rPr>
        <w:t>培育</w:t>
      </w:r>
      <w:r>
        <w:rPr>
          <w:rFonts w:cs="Times New Roman"/>
        </w:rPr>
        <w:t>上门助浴、陪诊助医等银发经济新业态。</w:t>
      </w:r>
    </w:p>
    <w:p>
      <w:pPr>
        <w:pStyle w:val="3"/>
        <w:ind w:firstLine="643"/>
        <w:rPr>
          <w:rFonts w:cs="Times New Roman"/>
        </w:rPr>
      </w:pPr>
      <w:bookmarkStart w:id="151" w:name="_Toc7152"/>
      <w:bookmarkStart w:id="152" w:name="_Toc18217"/>
      <w:bookmarkStart w:id="153" w:name="_Toc10242"/>
      <w:bookmarkStart w:id="154" w:name="_Toc201310196"/>
      <w:bookmarkStart w:id="155" w:name="_Toc27712"/>
      <w:r>
        <w:rPr>
          <w:rFonts w:cs="Times New Roman"/>
        </w:rPr>
        <w:t>（二）</w:t>
      </w:r>
      <w:bookmarkStart w:id="156" w:name="_Hlk202793071"/>
      <w:r>
        <w:rPr>
          <w:rFonts w:cs="Times New Roman"/>
        </w:rPr>
        <w:t>壮大五类新型经济形态，能级效益取得新突破</w:t>
      </w:r>
      <w:bookmarkEnd w:id="151"/>
      <w:bookmarkEnd w:id="152"/>
      <w:bookmarkEnd w:id="153"/>
      <w:bookmarkEnd w:id="154"/>
      <w:bookmarkEnd w:id="155"/>
      <w:bookmarkEnd w:id="156"/>
    </w:p>
    <w:p>
      <w:pPr>
        <w:ind w:firstLine="640"/>
        <w:rPr>
          <w:rFonts w:cs="Times New Roman"/>
        </w:rPr>
      </w:pPr>
      <w:r>
        <w:rPr>
          <w:rFonts w:cs="Times New Roman"/>
        </w:rPr>
        <w:t>进一步打响总部经济、平台经济、开放经济、数字经济、龙头经济品牌，成为闵行服务业提质升级，经济结构与经济能级提升的重要着力点。</w:t>
      </w:r>
    </w:p>
    <w:p>
      <w:pPr>
        <w:pStyle w:val="4"/>
        <w:ind w:firstLine="643"/>
        <w:rPr>
          <w:rFonts w:cs="Times New Roman"/>
        </w:rPr>
      </w:pPr>
      <w:bookmarkStart w:id="157" w:name="_Toc25495"/>
      <w:bookmarkStart w:id="158" w:name="_Toc31208"/>
      <w:bookmarkStart w:id="159" w:name="_Toc20289"/>
      <w:bookmarkStart w:id="160" w:name="_Toc7748"/>
      <w:r>
        <w:rPr>
          <w:rFonts w:cs="Times New Roman"/>
        </w:rPr>
        <w:t>1、总部经济</w:t>
      </w:r>
      <w:bookmarkEnd w:id="157"/>
      <w:bookmarkEnd w:id="158"/>
      <w:bookmarkEnd w:id="159"/>
      <w:bookmarkEnd w:id="160"/>
    </w:p>
    <w:p>
      <w:pPr>
        <w:ind w:firstLine="643"/>
        <w:rPr>
          <w:rFonts w:cs="Times New Roman"/>
        </w:rPr>
      </w:pPr>
      <w:r>
        <w:rPr>
          <w:rFonts w:cs="Times New Roman"/>
          <w:b/>
          <w:bCs/>
        </w:rPr>
        <w:t>构建高能级、强功能总部经济生态圈。</w:t>
      </w:r>
      <w:r>
        <w:rPr>
          <w:rFonts w:cs="Times New Roman"/>
          <w:b w:val="0"/>
          <w:bCs w:val="0"/>
        </w:rPr>
        <w:t>实施跨国公司总部提升计划，</w:t>
      </w:r>
      <w:r>
        <w:rPr>
          <w:rFonts w:hint="eastAsia" w:cs="Times New Roman"/>
          <w:b w:val="0"/>
          <w:bCs w:val="0"/>
          <w:lang w:val="en-US" w:eastAsia="zh-CN"/>
        </w:rPr>
        <w:t>推动制造类总部</w:t>
      </w:r>
      <w:r>
        <w:rPr>
          <w:rFonts w:cs="Times New Roman"/>
        </w:rPr>
        <w:t>与本地制造业、科技服务业的融合，强化本地供应链延伸和产业协同</w:t>
      </w:r>
      <w:r>
        <w:rPr>
          <w:rFonts w:hint="eastAsia" w:cs="Times New Roman"/>
          <w:lang w:eastAsia="zh-CN"/>
        </w:rPr>
        <w:t>；</w:t>
      </w:r>
      <w:r>
        <w:rPr>
          <w:rFonts w:hint="eastAsia" w:cs="Times New Roman"/>
          <w:lang w:val="en-US" w:eastAsia="zh-CN"/>
        </w:rPr>
        <w:t>加强</w:t>
      </w:r>
      <w:r>
        <w:rPr>
          <w:rFonts w:cs="Times New Roman"/>
        </w:rPr>
        <w:t>咨询、资产管理、影视传媒、人力资源等</w:t>
      </w:r>
      <w:r>
        <w:rPr>
          <w:rFonts w:hint="eastAsia" w:cs="Times New Roman"/>
          <w:lang w:val="en-US" w:eastAsia="zh-CN"/>
        </w:rPr>
        <w:t>服务业总部</w:t>
      </w:r>
      <w:r>
        <w:rPr>
          <w:rFonts w:cs="Times New Roman"/>
        </w:rPr>
        <w:t>商务配套</w:t>
      </w:r>
      <w:r>
        <w:rPr>
          <w:rFonts w:hint="eastAsia" w:cs="Times New Roman"/>
          <w:lang w:val="en-US" w:eastAsia="zh-CN"/>
        </w:rPr>
        <w:t>与要素支持，强化</w:t>
      </w:r>
      <w:r>
        <w:rPr>
          <w:rFonts w:cs="Times New Roman"/>
        </w:rPr>
        <w:t>区域决策、研发设计、资金管理等高附加值功能</w:t>
      </w:r>
      <w:r>
        <w:rPr>
          <w:rFonts w:hint="eastAsia" w:cs="Times New Roman"/>
          <w:lang w:eastAsia="zh-CN"/>
        </w:rPr>
        <w:t>。</w:t>
      </w:r>
      <w:r>
        <w:rPr>
          <w:rFonts w:hint="eastAsia" w:cs="Times New Roman"/>
          <w:lang w:val="en-US" w:eastAsia="zh-CN"/>
        </w:rPr>
        <w:t>抢抓企业出海机遇，</w:t>
      </w:r>
      <w:r>
        <w:rPr>
          <w:rFonts w:cs="Times New Roman"/>
          <w:b/>
          <w:bCs/>
        </w:rPr>
        <w:t>打造长三角</w:t>
      </w:r>
      <w:r>
        <w:rPr>
          <w:rFonts w:hint="default" w:cs="Times New Roman"/>
          <w:b/>
          <w:bCs/>
        </w:rPr>
        <w:t>企业国际化布局</w:t>
      </w:r>
      <w:r>
        <w:rPr>
          <w:rFonts w:cs="Times New Roman"/>
          <w:b/>
          <w:bCs/>
        </w:rPr>
        <w:t>的</w:t>
      </w:r>
      <w:r>
        <w:rPr>
          <w:rFonts w:hint="default" w:cs="Times New Roman"/>
          <w:b/>
          <w:bCs/>
        </w:rPr>
        <w:t>总部集聚新</w:t>
      </w:r>
      <w:r>
        <w:rPr>
          <w:rFonts w:cs="Times New Roman"/>
          <w:b/>
          <w:bCs/>
        </w:rPr>
        <w:t>空间，</w:t>
      </w:r>
      <w:r>
        <w:rPr>
          <w:rFonts w:cs="Times New Roman"/>
        </w:rPr>
        <w:t>吸引更多央国企</w:t>
      </w:r>
      <w:r>
        <w:rPr>
          <w:rFonts w:hint="eastAsia" w:cs="Times New Roman"/>
          <w:lang w:eastAsia="zh-CN"/>
        </w:rPr>
        <w:t>、</w:t>
      </w:r>
      <w:r>
        <w:rPr>
          <w:rFonts w:cs="Times New Roman"/>
        </w:rPr>
        <w:t>领军企业设立总部和</w:t>
      </w:r>
      <w:r>
        <w:rPr>
          <w:rFonts w:hint="eastAsia" w:cs="Times New Roman"/>
          <w:lang w:val="en-US" w:eastAsia="zh-CN"/>
        </w:rPr>
        <w:t>功能性机构，培育</w:t>
      </w:r>
      <w:r>
        <w:rPr>
          <w:rFonts w:cs="Times New Roman"/>
        </w:rPr>
        <w:t>本土跨国公司。</w:t>
      </w:r>
    </w:p>
    <w:p>
      <w:pPr>
        <w:ind w:firstLine="643"/>
        <w:rPr>
          <w:rFonts w:cs="Times New Roman"/>
        </w:rPr>
      </w:pPr>
      <w:r>
        <w:rPr>
          <w:rFonts w:hint="eastAsia" w:cs="Times New Roman"/>
          <w:b/>
          <w:bCs/>
          <w:lang w:val="en-US" w:eastAsia="zh-CN"/>
        </w:rPr>
        <w:t>丰富</w:t>
      </w:r>
      <w:r>
        <w:rPr>
          <w:rFonts w:cs="Times New Roman"/>
          <w:b/>
          <w:bCs/>
        </w:rPr>
        <w:t>多元总部</w:t>
      </w:r>
      <w:r>
        <w:rPr>
          <w:rFonts w:hint="eastAsia" w:cs="Times New Roman"/>
          <w:b/>
          <w:bCs/>
          <w:lang w:val="en-US" w:eastAsia="zh-CN"/>
        </w:rPr>
        <w:t>业态</w:t>
      </w:r>
      <w:r>
        <w:rPr>
          <w:rFonts w:cs="Times New Roman"/>
          <w:b/>
          <w:bCs/>
        </w:rPr>
        <w:t>，构建具有</w:t>
      </w:r>
      <w:r>
        <w:rPr>
          <w:rFonts w:hint="default" w:cs="Times New Roman"/>
          <w:b/>
          <w:bCs/>
        </w:rPr>
        <w:t>垂直领域</w:t>
      </w:r>
      <w:r>
        <w:rPr>
          <w:rFonts w:cs="Times New Roman"/>
          <w:b/>
          <w:bCs/>
        </w:rPr>
        <w:t>产业引领力的总部体系。</w:t>
      </w:r>
      <w:r>
        <w:rPr>
          <w:rFonts w:cs="Times New Roman"/>
        </w:rPr>
        <w:t>依托虹桥国际开放枢纽和进博会带动效应，</w:t>
      </w:r>
      <w:bookmarkStart w:id="161" w:name="_Hlk202792563"/>
      <w:r>
        <w:rPr>
          <w:rFonts w:hint="eastAsia" w:cs="Times New Roman"/>
          <w:lang w:val="en-US" w:eastAsia="zh-CN"/>
        </w:rPr>
        <w:t>吸引</w:t>
      </w:r>
      <w:r>
        <w:rPr>
          <w:rFonts w:cs="Times New Roman"/>
        </w:rPr>
        <w:t>跨国公司</w:t>
      </w:r>
      <w:r>
        <w:rPr>
          <w:rFonts w:hint="default" w:cs="Times New Roman"/>
        </w:rPr>
        <w:t>在闵行</w:t>
      </w:r>
      <w:r>
        <w:rPr>
          <w:rFonts w:cs="Times New Roman"/>
        </w:rPr>
        <w:t>设立</w:t>
      </w:r>
      <w:r>
        <w:rPr>
          <w:rFonts w:hint="default" w:cs="Times New Roman"/>
        </w:rPr>
        <w:t>亚太或中国贸易总部</w:t>
      </w:r>
      <w:bookmarkEnd w:id="161"/>
      <w:r>
        <w:rPr>
          <w:rFonts w:cs="Times New Roman"/>
        </w:rPr>
        <w:t>。</w:t>
      </w:r>
      <w:bookmarkStart w:id="162" w:name="_Hlk202792595"/>
      <w:r>
        <w:rPr>
          <w:rFonts w:cs="Times New Roman"/>
        </w:rPr>
        <w:t>联动</w:t>
      </w:r>
      <w:r>
        <w:rPr>
          <w:rFonts w:hint="default" w:ascii="Times New Roman" w:hAnsi="Times New Roman" w:cs="Times New Roman"/>
          <w:lang w:eastAsia="zh-CN"/>
        </w:rPr>
        <w:t>“</w:t>
      </w:r>
      <w:r>
        <w:rPr>
          <w:rFonts w:cs="Times New Roman"/>
        </w:rPr>
        <w:t>大零号湾</w:t>
      </w:r>
      <w:r>
        <w:rPr>
          <w:rFonts w:hint="default" w:ascii="Times New Roman" w:hAnsi="Times New Roman" w:cs="Times New Roman"/>
          <w:lang w:eastAsia="zh-CN"/>
        </w:rPr>
        <w:t>”</w:t>
      </w:r>
      <w:r>
        <w:rPr>
          <w:rFonts w:cs="Times New Roman"/>
        </w:rPr>
        <w:t>科技创新策源功能区，</w:t>
      </w:r>
      <w:bookmarkEnd w:id="162"/>
      <w:bookmarkStart w:id="163" w:name="_Hlk202792603"/>
      <w:r>
        <w:rPr>
          <w:rFonts w:cs="Times New Roman"/>
        </w:rPr>
        <w:t>培育创新研发类总部</w:t>
      </w:r>
      <w:bookmarkEnd w:id="163"/>
      <w:r>
        <w:rPr>
          <w:rFonts w:hint="default" w:cs="Times New Roman"/>
        </w:rPr>
        <w:t>，</w:t>
      </w:r>
      <w:r>
        <w:rPr>
          <w:rFonts w:cs="Times New Roman"/>
        </w:rPr>
        <w:t>支持具有研发功能的总部企业设立开放共享创新平台。</w:t>
      </w:r>
    </w:p>
    <w:p>
      <w:pPr>
        <w:pStyle w:val="4"/>
        <w:ind w:firstLine="643"/>
        <w:rPr>
          <w:rFonts w:cs="Times New Roman"/>
        </w:rPr>
      </w:pPr>
      <w:bookmarkStart w:id="164" w:name="_Toc2022"/>
      <w:bookmarkStart w:id="165" w:name="_Toc16795"/>
      <w:bookmarkStart w:id="166" w:name="_Toc12014"/>
      <w:bookmarkStart w:id="167" w:name="_Toc6728"/>
      <w:r>
        <w:rPr>
          <w:rFonts w:hint="default" w:cs="Times New Roman"/>
        </w:rPr>
        <w:t>2</w:t>
      </w:r>
      <w:r>
        <w:rPr>
          <w:rFonts w:cs="Times New Roman"/>
        </w:rPr>
        <w:t>、平台经济</w:t>
      </w:r>
      <w:bookmarkEnd w:id="164"/>
      <w:bookmarkEnd w:id="165"/>
      <w:bookmarkEnd w:id="166"/>
      <w:bookmarkEnd w:id="167"/>
    </w:p>
    <w:p>
      <w:pPr>
        <w:ind w:firstLine="643"/>
        <w:rPr>
          <w:rFonts w:cs="Times New Roman"/>
        </w:rPr>
      </w:pPr>
      <w:r>
        <w:rPr>
          <w:rFonts w:cs="Times New Roman"/>
          <w:b/>
          <w:bCs/>
        </w:rPr>
        <w:t>夯实商贸类平台发展优势。</w:t>
      </w:r>
      <w:r>
        <w:rPr>
          <w:rFonts w:cs="Times New Roman"/>
        </w:rPr>
        <w:t>依托虹桥国际中央商务区国际贸易中心新平台优势，提升虹桥商务区保税物流中心（B型）能级，整合虹桥品汇等交易服务平台以及旨福、欧图</w:t>
      </w:r>
      <w:r>
        <w:rPr>
          <w:rFonts w:hint="default" w:cs="Times New Roman"/>
          <w:lang w:eastAsia="zh-CN"/>
        </w:rPr>
        <w:t>、</w:t>
      </w:r>
      <w:r>
        <w:rPr>
          <w:rFonts w:hint="default" w:cs="Times New Roman"/>
          <w:lang w:val="en-US" w:eastAsia="zh-CN"/>
        </w:rPr>
        <w:t>亿电通</w:t>
      </w:r>
      <w:r>
        <w:rPr>
          <w:rFonts w:cs="Times New Roman"/>
        </w:rPr>
        <w:t>等专业电商平台，积极对接</w:t>
      </w:r>
      <w:r>
        <w:rPr>
          <w:rFonts w:hint="default" w:ascii="Times New Roman" w:hAnsi="Times New Roman" w:cs="Times New Roman"/>
          <w:lang w:eastAsia="zh-CN"/>
        </w:rPr>
        <w:t>“</w:t>
      </w:r>
      <w:r>
        <w:rPr>
          <w:rFonts w:cs="Times New Roman"/>
        </w:rPr>
        <w:t>数字进博</w:t>
      </w:r>
      <w:r>
        <w:rPr>
          <w:rFonts w:hint="default" w:ascii="Times New Roman" w:hAnsi="Times New Roman" w:cs="Times New Roman"/>
          <w:lang w:eastAsia="zh-CN"/>
        </w:rPr>
        <w:t>”</w:t>
      </w:r>
      <w:r>
        <w:rPr>
          <w:rFonts w:cs="Times New Roman"/>
        </w:rPr>
        <w:t>，助力商贸企业高效拓展市场。</w:t>
      </w:r>
      <w:r>
        <w:rPr>
          <w:rFonts w:hint="eastAsia" w:cs="Times New Roman"/>
          <w:lang w:val="en-US" w:eastAsia="zh-CN"/>
        </w:rPr>
        <w:t>鼓励</w:t>
      </w:r>
      <w:r>
        <w:rPr>
          <w:rFonts w:cs="Times New Roman"/>
        </w:rPr>
        <w:t>企业自主建设直播、数字化采购、数字化展示与成交、数字交付、数字支付与结算等服务平台。</w:t>
      </w:r>
    </w:p>
    <w:p>
      <w:pPr>
        <w:ind w:firstLine="643"/>
        <w:rPr>
          <w:rFonts w:cs="Times New Roman"/>
        </w:rPr>
      </w:pPr>
      <w:r>
        <w:rPr>
          <w:rFonts w:cs="Times New Roman"/>
          <w:b/>
          <w:bCs/>
        </w:rPr>
        <w:t>打造服务类平台经济新高地。</w:t>
      </w:r>
      <w:r>
        <w:rPr>
          <w:rFonts w:cs="Times New Roman"/>
        </w:rPr>
        <w:t>聚焦专业服务、现代金融、商贸服务</w:t>
      </w:r>
      <w:r>
        <w:rPr>
          <w:rFonts w:hint="default" w:cs="Times New Roman"/>
        </w:rPr>
        <w:t>、</w:t>
      </w:r>
      <w:r>
        <w:rPr>
          <w:rFonts w:cs="Times New Roman"/>
        </w:rPr>
        <w:t>物流等领域，</w:t>
      </w:r>
      <w:r>
        <w:rPr>
          <w:rFonts w:hint="eastAsia" w:cs="Times New Roman"/>
          <w:lang w:val="en-US" w:eastAsia="zh-CN"/>
        </w:rPr>
        <w:t>支持打造</w:t>
      </w:r>
      <w:r>
        <w:rPr>
          <w:rFonts w:hint="default" w:ascii="Times New Roman" w:hAnsi="Times New Roman" w:cs="Times New Roman"/>
          <w:lang w:eastAsia="zh-CN"/>
        </w:rPr>
        <w:t>“</w:t>
      </w:r>
      <w:r>
        <w:rPr>
          <w:rFonts w:cs="Times New Roman"/>
        </w:rPr>
        <w:t>标准化+模块化</w:t>
      </w:r>
      <w:r>
        <w:rPr>
          <w:rFonts w:hint="default" w:ascii="Times New Roman" w:hAnsi="Times New Roman" w:cs="Times New Roman"/>
          <w:lang w:eastAsia="zh-CN"/>
        </w:rPr>
        <w:t>”</w:t>
      </w:r>
      <w:r>
        <w:rPr>
          <w:rFonts w:cs="Times New Roman"/>
        </w:rPr>
        <w:t>产品的服务平台</w:t>
      </w:r>
      <w:r>
        <w:rPr>
          <w:rFonts w:hint="eastAsia" w:cs="Times New Roman"/>
          <w:b/>
          <w:bCs/>
          <w:lang w:eastAsia="zh-CN"/>
        </w:rPr>
        <w:t>。</w:t>
      </w:r>
      <w:r>
        <w:rPr>
          <w:rFonts w:cs="Times New Roman"/>
        </w:rPr>
        <w:t>聚焦科技服务、工业服务等领域，</w:t>
      </w:r>
      <w:r>
        <w:rPr>
          <w:rFonts w:hint="eastAsia" w:cs="Times New Roman"/>
          <w:lang w:val="en-US" w:eastAsia="zh-CN"/>
        </w:rPr>
        <w:t>培育</w:t>
      </w:r>
      <w:r>
        <w:rPr>
          <w:rFonts w:cs="Times New Roman"/>
        </w:rPr>
        <w:t>成果转化平台</w:t>
      </w:r>
      <w:r>
        <w:rPr>
          <w:rFonts w:hint="eastAsia" w:cs="Times New Roman"/>
          <w:lang w:eastAsia="zh-CN"/>
        </w:rPr>
        <w:t>、</w:t>
      </w:r>
      <w:r>
        <w:rPr>
          <w:rFonts w:cs="Times New Roman"/>
        </w:rPr>
        <w:t>工业互联网平台</w:t>
      </w:r>
      <w:r>
        <w:rPr>
          <w:rFonts w:hint="default" w:cs="Times New Roman"/>
        </w:rPr>
        <w:t>，</w:t>
      </w:r>
      <w:r>
        <w:rPr>
          <w:rFonts w:hint="default" w:ascii="Times New Roman" w:hAnsi="Times New Roman" w:eastAsia="仿宋_GB2312" w:cs="Times New Roman"/>
          <w:b w:val="0"/>
          <w:bCs w:val="0"/>
          <w:sz w:val="32"/>
          <w:szCs w:val="24"/>
          <w:lang w:val="en-US" w:eastAsia="zh-CN"/>
        </w:rPr>
        <w:t>持续培育行业通用型平台</w:t>
      </w:r>
      <w:r>
        <w:rPr>
          <w:rFonts w:cs="Times New Roman"/>
        </w:rPr>
        <w:t>。聚焦医疗、游戏、教育等在线生活服务，</w:t>
      </w:r>
      <w:r>
        <w:rPr>
          <w:rFonts w:hint="eastAsia" w:cs="Times New Roman"/>
          <w:lang w:val="en-US" w:eastAsia="zh-CN"/>
        </w:rPr>
        <w:t>培育</w:t>
      </w:r>
      <w:r>
        <w:rPr>
          <w:rFonts w:cs="Times New Roman"/>
        </w:rPr>
        <w:t>新业态</w:t>
      </w:r>
      <w:r>
        <w:rPr>
          <w:rFonts w:hint="eastAsia" w:cs="Times New Roman"/>
          <w:lang w:eastAsia="zh-CN"/>
        </w:rPr>
        <w:t>，</w:t>
      </w:r>
      <w:r>
        <w:rPr>
          <w:rFonts w:hint="eastAsia" w:cs="Times New Roman"/>
          <w:lang w:val="en-US" w:eastAsia="zh-CN"/>
        </w:rPr>
        <w:t>壮大在线服务市场</w:t>
      </w:r>
      <w:r>
        <w:rPr>
          <w:rFonts w:cs="Times New Roman"/>
        </w:rPr>
        <w:t>。</w:t>
      </w:r>
    </w:p>
    <w:p>
      <w:pPr>
        <w:pStyle w:val="4"/>
        <w:ind w:firstLine="643"/>
        <w:rPr>
          <w:rFonts w:cs="Times New Roman"/>
        </w:rPr>
      </w:pPr>
      <w:bookmarkStart w:id="168" w:name="_Toc1840"/>
      <w:bookmarkStart w:id="169" w:name="_Toc17340"/>
      <w:bookmarkStart w:id="170" w:name="_Toc6391"/>
      <w:bookmarkStart w:id="171" w:name="_Toc19643"/>
      <w:r>
        <w:rPr>
          <w:rFonts w:hint="default" w:cs="Times New Roman"/>
        </w:rPr>
        <w:t>3</w:t>
      </w:r>
      <w:r>
        <w:rPr>
          <w:rFonts w:cs="Times New Roman"/>
        </w:rPr>
        <w:t>、开放经济</w:t>
      </w:r>
      <w:bookmarkEnd w:id="168"/>
      <w:bookmarkEnd w:id="169"/>
      <w:bookmarkEnd w:id="170"/>
      <w:bookmarkEnd w:id="171"/>
    </w:p>
    <w:p>
      <w:pPr>
        <w:spacing w:line="360" w:lineRule="auto"/>
        <w:ind w:firstLine="640"/>
        <w:rPr>
          <w:rFonts w:hint="eastAsia" w:eastAsia="仿宋_GB2312" w:cs="Times New Roman"/>
          <w:lang w:eastAsia="zh-CN"/>
        </w:rPr>
      </w:pPr>
      <w:bookmarkStart w:id="172" w:name="_Hlk202792705"/>
      <w:r>
        <w:rPr>
          <w:rFonts w:cs="Times New Roman"/>
          <w:b/>
          <w:bCs/>
        </w:rPr>
        <w:t>围绕关键产业和重点环节，探索打造制度型开放新样板。</w:t>
      </w:r>
      <w:r>
        <w:rPr>
          <w:rFonts w:hint="default" w:ascii="Times New Roman" w:eastAsia="仿宋_GB2312" w:cs="Times New Roman"/>
          <w:sz w:val="32"/>
          <w:szCs w:val="24"/>
        </w:rPr>
        <w:t>主动对标国际高标准经贸规则，</w:t>
      </w:r>
      <w:r>
        <w:rPr>
          <w:rFonts w:cs="Times New Roman"/>
        </w:rPr>
        <w:t>在软信服务、医疗康养、跨境金融、商贸文旅、数据跨境贸易等领域争取承接更多市级、国家级改革任务</w:t>
      </w:r>
      <w:r>
        <w:rPr>
          <w:rFonts w:hint="eastAsia" w:cs="Times New Roman"/>
          <w:lang w:eastAsia="zh-CN"/>
        </w:rPr>
        <w:t>，</w:t>
      </w:r>
      <w:r>
        <w:rPr>
          <w:rFonts w:cs="Times New Roman"/>
        </w:rPr>
        <w:t>推行融合业态准入新模式</w:t>
      </w:r>
      <w:r>
        <w:rPr>
          <w:rFonts w:hint="eastAsia" w:cs="Times New Roman"/>
          <w:lang w:eastAsia="zh-CN"/>
        </w:rPr>
        <w:t>。</w:t>
      </w:r>
    </w:p>
    <w:p>
      <w:pPr>
        <w:ind w:firstLine="643"/>
        <w:rPr>
          <w:rFonts w:cs="Times New Roman"/>
        </w:rPr>
      </w:pPr>
      <w:r>
        <w:rPr>
          <w:rFonts w:cs="Times New Roman"/>
          <w:b/>
          <w:bCs/>
        </w:rPr>
        <w:t>全力打造服务企业</w:t>
      </w:r>
      <w:r>
        <w:rPr>
          <w:rFonts w:hint="default" w:ascii="Times New Roman" w:hAnsi="Times New Roman" w:cs="Times New Roman"/>
          <w:b/>
          <w:bCs/>
          <w:lang w:eastAsia="zh-CN"/>
        </w:rPr>
        <w:t>“</w:t>
      </w:r>
      <w:r>
        <w:rPr>
          <w:rFonts w:cs="Times New Roman"/>
          <w:b/>
          <w:bCs/>
        </w:rPr>
        <w:t>走出去</w:t>
      </w:r>
      <w:r>
        <w:rPr>
          <w:rFonts w:hint="default" w:ascii="Times New Roman" w:hAnsi="Times New Roman" w:cs="Times New Roman"/>
          <w:b/>
          <w:bCs/>
          <w:lang w:eastAsia="zh-CN"/>
        </w:rPr>
        <w:t>”</w:t>
      </w:r>
      <w:r>
        <w:rPr>
          <w:rFonts w:cs="Times New Roman"/>
          <w:b/>
          <w:bCs/>
        </w:rPr>
        <w:t>先行区，优化</w:t>
      </w:r>
      <w:r>
        <w:rPr>
          <w:rFonts w:hint="default" w:ascii="Times New Roman" w:hAnsi="Times New Roman" w:cs="Times New Roman"/>
          <w:b/>
          <w:bCs/>
          <w:lang w:eastAsia="zh-CN"/>
        </w:rPr>
        <w:t>“</w:t>
      </w:r>
      <w:r>
        <w:rPr>
          <w:rFonts w:cs="Times New Roman"/>
          <w:b/>
          <w:bCs/>
        </w:rPr>
        <w:t>入华</w:t>
      </w:r>
      <w:r>
        <w:rPr>
          <w:rFonts w:hint="default" w:ascii="Times New Roman" w:hAnsi="Times New Roman" w:cs="Times New Roman"/>
          <w:b/>
          <w:bCs/>
          <w:lang w:eastAsia="zh-CN"/>
        </w:rPr>
        <w:t>”</w:t>
      </w:r>
      <w:r>
        <w:rPr>
          <w:rFonts w:cs="Times New Roman"/>
          <w:b/>
          <w:bCs/>
        </w:rPr>
        <w:t>服务生态。</w:t>
      </w:r>
      <w:bookmarkEnd w:id="172"/>
      <w:bookmarkStart w:id="173" w:name="_Hlk202792715"/>
      <w:r>
        <w:rPr>
          <w:rFonts w:cs="Times New Roman"/>
        </w:rPr>
        <w:t>支持</w:t>
      </w:r>
      <w:r>
        <w:rPr>
          <w:rFonts w:hint="default" w:cs="Times New Roman"/>
        </w:rPr>
        <w:t>专业</w:t>
      </w:r>
      <w:r>
        <w:rPr>
          <w:rFonts w:cs="Times New Roman"/>
        </w:rPr>
        <w:t>服务机构伴随</w:t>
      </w:r>
      <w:r>
        <w:rPr>
          <w:rFonts w:hint="eastAsia" w:cs="Times New Roman"/>
          <w:lang w:val="en-US" w:eastAsia="zh-CN"/>
        </w:rPr>
        <w:t>制造业</w:t>
      </w:r>
      <w:r>
        <w:rPr>
          <w:rFonts w:cs="Times New Roman"/>
        </w:rPr>
        <w:t>出海，</w:t>
      </w:r>
      <w:r>
        <w:rPr>
          <w:rFonts w:hint="eastAsia" w:cs="Times New Roman"/>
          <w:lang w:val="en-US" w:eastAsia="zh-CN"/>
        </w:rPr>
        <w:t>组建</w:t>
      </w:r>
      <w:r>
        <w:rPr>
          <w:rFonts w:hint="default" w:ascii="Times New Roman" w:hAnsi="Times New Roman" w:cs="Times New Roman"/>
          <w:lang w:eastAsia="zh-CN"/>
        </w:rPr>
        <w:t>“</w:t>
      </w:r>
      <w:r>
        <w:rPr>
          <w:rFonts w:cs="Times New Roman"/>
        </w:rPr>
        <w:t>闵行服务出海团</w:t>
      </w:r>
      <w:r>
        <w:rPr>
          <w:rFonts w:hint="default" w:ascii="Times New Roman" w:hAnsi="Times New Roman" w:cs="Times New Roman"/>
          <w:lang w:eastAsia="zh-CN"/>
        </w:rPr>
        <w:t>”</w:t>
      </w:r>
      <w:r>
        <w:rPr>
          <w:rFonts w:cs="Times New Roman"/>
        </w:rPr>
        <w:t>，积极申报上海市服务企业</w:t>
      </w:r>
      <w:r>
        <w:rPr>
          <w:rFonts w:hint="default" w:ascii="Times New Roman" w:hAnsi="Times New Roman" w:cs="Times New Roman"/>
          <w:lang w:eastAsia="zh-CN"/>
        </w:rPr>
        <w:t>“</w:t>
      </w:r>
      <w:r>
        <w:rPr>
          <w:rFonts w:cs="Times New Roman"/>
        </w:rPr>
        <w:t>走出去</w:t>
      </w:r>
      <w:r>
        <w:rPr>
          <w:rFonts w:hint="default" w:ascii="Times New Roman" w:hAnsi="Times New Roman" w:cs="Times New Roman"/>
          <w:lang w:eastAsia="zh-CN"/>
        </w:rPr>
        <w:t>”</w:t>
      </w:r>
      <w:r>
        <w:rPr>
          <w:rFonts w:cs="Times New Roman"/>
        </w:rPr>
        <w:t>专业机构。发挥自贸区联动创新区政策优势，依托中国国际进口博览会</w:t>
      </w:r>
      <w:r>
        <w:rPr>
          <w:rFonts w:hint="eastAsia" w:cs="Times New Roman"/>
          <w:lang w:val="en-US" w:eastAsia="zh-CN"/>
        </w:rPr>
        <w:t>等平台，</w:t>
      </w:r>
      <w:r>
        <w:rPr>
          <w:rFonts w:cs="Times New Roman"/>
        </w:rPr>
        <w:t>集聚跨国</w:t>
      </w:r>
      <w:r>
        <w:rPr>
          <w:rFonts w:hint="eastAsia" w:cs="Times New Roman"/>
          <w:lang w:val="en-US" w:eastAsia="zh-CN"/>
        </w:rPr>
        <w:t>公司</w:t>
      </w:r>
      <w:r>
        <w:rPr>
          <w:rFonts w:cs="Times New Roman"/>
        </w:rPr>
        <w:t>总部、外资专业服务机构、全球功能性平台</w:t>
      </w:r>
      <w:r>
        <w:rPr>
          <w:rFonts w:hint="eastAsia" w:cs="Times New Roman"/>
          <w:lang w:eastAsia="zh-CN"/>
        </w:rPr>
        <w:t>，</w:t>
      </w:r>
      <w:r>
        <w:rPr>
          <w:rFonts w:cs="Times New Roman"/>
        </w:rPr>
        <w:t>引入国际标准认证机构和服务品牌。</w:t>
      </w:r>
    </w:p>
    <w:bookmarkEnd w:id="173"/>
    <w:p>
      <w:pPr>
        <w:tabs>
          <w:tab w:val="left" w:pos="7360"/>
        </w:tabs>
        <w:ind w:firstLine="643"/>
        <w:rPr>
          <w:rFonts w:cs="Times New Roman"/>
        </w:rPr>
      </w:pPr>
      <w:bookmarkStart w:id="174" w:name="_Hlk202792774"/>
      <w:r>
        <w:rPr>
          <w:rFonts w:cs="Times New Roman"/>
          <w:b/>
          <w:bCs/>
        </w:rPr>
        <w:t>推进</w:t>
      </w:r>
      <w:r>
        <w:rPr>
          <w:rFonts w:hint="default" w:ascii="Times New Roman" w:hAnsi="Times New Roman" w:cs="Times New Roman"/>
          <w:b/>
          <w:bCs/>
          <w:lang w:eastAsia="zh-CN"/>
        </w:rPr>
        <w:t>“</w:t>
      </w:r>
      <w:r>
        <w:rPr>
          <w:rFonts w:cs="Times New Roman"/>
          <w:b/>
          <w:bCs/>
        </w:rPr>
        <w:t>保税+</w:t>
      </w:r>
      <w:r>
        <w:rPr>
          <w:rFonts w:hint="default" w:ascii="Times New Roman" w:hAnsi="Times New Roman" w:cs="Times New Roman"/>
          <w:b/>
          <w:bCs/>
          <w:lang w:eastAsia="zh-CN"/>
        </w:rPr>
        <w:t>”</w:t>
      </w:r>
      <w:r>
        <w:rPr>
          <w:rFonts w:cs="Times New Roman"/>
          <w:b/>
          <w:bCs/>
        </w:rPr>
        <w:t>业务发展</w:t>
      </w:r>
      <w:bookmarkEnd w:id="174"/>
      <w:r>
        <w:rPr>
          <w:rFonts w:hint="default" w:cs="Times New Roman"/>
          <w:b/>
          <w:bCs/>
          <w:lang w:eastAsia="zh-CN"/>
        </w:rPr>
        <w:t>，</w:t>
      </w:r>
      <w:r>
        <w:rPr>
          <w:rFonts w:hint="default" w:cs="Times New Roman"/>
          <w:b/>
          <w:bCs/>
          <w:lang w:val="en-US" w:eastAsia="zh-CN"/>
        </w:rPr>
        <w:t>以功能创新释放开放活力</w:t>
      </w:r>
      <w:r>
        <w:rPr>
          <w:rFonts w:cs="Times New Roman"/>
          <w:b/>
          <w:bCs/>
        </w:rPr>
        <w:t>。</w:t>
      </w:r>
      <w:bookmarkStart w:id="175" w:name="_Hlk202792802"/>
      <w:r>
        <w:rPr>
          <w:rFonts w:cs="Times New Roman"/>
        </w:rPr>
        <w:t>着力支持海关特殊监管区联动发展</w:t>
      </w:r>
      <w:r>
        <w:rPr>
          <w:rFonts w:hint="eastAsia" w:cs="Times New Roman"/>
          <w:lang w:eastAsia="zh-CN"/>
        </w:rPr>
        <w:t>，</w:t>
      </w:r>
      <w:bookmarkEnd w:id="175"/>
      <w:r>
        <w:rPr>
          <w:rFonts w:cs="Times New Roman"/>
        </w:rPr>
        <w:t>推动保税功能向高端产业链环节延伸，</w:t>
      </w:r>
      <w:r>
        <w:rPr>
          <w:rFonts w:hint="eastAsia" w:cs="Times New Roman"/>
          <w:lang w:val="en-US" w:eastAsia="zh-CN"/>
        </w:rPr>
        <w:t>拓展</w:t>
      </w:r>
      <w:r>
        <w:rPr>
          <w:rFonts w:cs="Times New Roman"/>
        </w:rPr>
        <w:t>保税研发、检测、装配</w:t>
      </w:r>
      <w:r>
        <w:rPr>
          <w:rFonts w:hint="eastAsia" w:cs="Times New Roman"/>
          <w:lang w:eastAsia="zh-CN"/>
        </w:rPr>
        <w:t>、</w:t>
      </w:r>
      <w:r>
        <w:rPr>
          <w:rFonts w:hint="eastAsia" w:cs="Times New Roman"/>
          <w:lang w:val="en-US" w:eastAsia="zh-CN"/>
        </w:rPr>
        <w:t>展示</w:t>
      </w:r>
      <w:r>
        <w:rPr>
          <w:rFonts w:cs="Times New Roman"/>
        </w:rPr>
        <w:t>等功能模块</w:t>
      </w:r>
      <w:r>
        <w:rPr>
          <w:rFonts w:hint="eastAsia" w:cs="Times New Roman"/>
          <w:lang w:eastAsia="zh-CN"/>
        </w:rPr>
        <w:t>，</w:t>
      </w:r>
      <w:r>
        <w:rPr>
          <w:rFonts w:hint="eastAsia" w:cs="Times New Roman"/>
          <w:lang w:val="en-US" w:eastAsia="zh-CN"/>
        </w:rPr>
        <w:t>探索</w:t>
      </w:r>
      <w:r>
        <w:rPr>
          <w:rFonts w:cs="Times New Roman"/>
        </w:rPr>
        <w:t>拓展高价值产品</w:t>
      </w:r>
      <w:r>
        <w:rPr>
          <w:rFonts w:hint="default" w:ascii="Times New Roman" w:hAnsi="Times New Roman" w:cs="Times New Roman"/>
          <w:lang w:eastAsia="zh-CN"/>
        </w:rPr>
        <w:t>“</w:t>
      </w:r>
      <w:r>
        <w:rPr>
          <w:rFonts w:cs="Times New Roman"/>
        </w:rPr>
        <w:t>保税+</w:t>
      </w:r>
      <w:r>
        <w:rPr>
          <w:rFonts w:hint="default" w:ascii="Times New Roman" w:hAnsi="Times New Roman" w:cs="Times New Roman"/>
          <w:lang w:eastAsia="zh-CN"/>
        </w:rPr>
        <w:t>”</w:t>
      </w:r>
      <w:r>
        <w:rPr>
          <w:rFonts w:cs="Times New Roman"/>
        </w:rPr>
        <w:t>业务</w:t>
      </w:r>
      <w:r>
        <w:rPr>
          <w:rFonts w:hint="eastAsia" w:cs="Times New Roman"/>
          <w:lang w:eastAsia="zh-CN"/>
        </w:rPr>
        <w:t>，</w:t>
      </w:r>
      <w:r>
        <w:rPr>
          <w:rFonts w:hint="eastAsia" w:cs="Times New Roman"/>
          <w:lang w:val="en-US" w:eastAsia="zh-CN"/>
        </w:rPr>
        <w:t>优化医疗用品</w:t>
      </w:r>
      <w:r>
        <w:rPr>
          <w:rFonts w:hint="eastAsia" w:cs="Times New Roman"/>
          <w:b w:val="0"/>
          <w:bCs w:val="0"/>
          <w:sz w:val="32"/>
          <w:szCs w:val="24"/>
          <w:lang w:val="en-US" w:eastAsia="zh-CN"/>
        </w:rPr>
        <w:t>保税通关模式，。</w:t>
      </w:r>
    </w:p>
    <w:p>
      <w:pPr>
        <w:pStyle w:val="4"/>
        <w:ind w:firstLine="643"/>
        <w:rPr>
          <w:rFonts w:cs="Times New Roman"/>
        </w:rPr>
      </w:pPr>
      <w:bookmarkStart w:id="176" w:name="_Toc32716"/>
      <w:bookmarkStart w:id="177" w:name="_Toc21717"/>
      <w:bookmarkStart w:id="178" w:name="_Toc11985"/>
      <w:bookmarkStart w:id="179" w:name="_Toc15741"/>
      <w:r>
        <w:rPr>
          <w:rFonts w:hint="default" w:cs="Times New Roman"/>
        </w:rPr>
        <w:t>4</w:t>
      </w:r>
      <w:r>
        <w:rPr>
          <w:rFonts w:cs="Times New Roman"/>
        </w:rPr>
        <w:t>、数字经济</w:t>
      </w:r>
      <w:bookmarkEnd w:id="176"/>
      <w:bookmarkEnd w:id="177"/>
      <w:bookmarkEnd w:id="178"/>
      <w:bookmarkEnd w:id="179"/>
    </w:p>
    <w:p>
      <w:pPr>
        <w:ind w:firstLine="643"/>
        <w:rPr>
          <w:rFonts w:cs="Times New Roman"/>
        </w:rPr>
      </w:pPr>
      <w:bookmarkStart w:id="180" w:name="_Hlk202792853"/>
      <w:r>
        <w:rPr>
          <w:rFonts w:cs="Times New Roman"/>
          <w:b/>
          <w:bCs/>
        </w:rPr>
        <w:t>促进数字产业化新业态新模式加快涌现</w:t>
      </w:r>
      <w:bookmarkEnd w:id="180"/>
      <w:r>
        <w:rPr>
          <w:rFonts w:cs="Times New Roman"/>
          <w:b/>
          <w:bCs/>
        </w:rPr>
        <w:t>。</w:t>
      </w:r>
      <w:bookmarkStart w:id="181" w:name="_Hlk202792875"/>
      <w:r>
        <w:rPr>
          <w:rFonts w:cs="Times New Roman"/>
        </w:rPr>
        <w:t>做强工业软件、芯片设计等</w:t>
      </w:r>
      <w:r>
        <w:rPr>
          <w:rFonts w:hint="eastAsia" w:cs="Times New Roman"/>
          <w:lang w:val="en-US" w:eastAsia="zh-CN"/>
        </w:rPr>
        <w:t>具有产业基础的赛道</w:t>
      </w:r>
      <w:r>
        <w:rPr>
          <w:rFonts w:cs="Times New Roman"/>
        </w:rPr>
        <w:t>，拓展数字贸易、数字文创、智慧康养等融合型数字服务业，打造一批数字标杆场景。依托闵行数字公共服务中心、数字经济生态联盟等，建设数字经济公共服务平台，</w:t>
      </w:r>
      <w:r>
        <w:rPr>
          <w:rFonts w:hint="eastAsia" w:cs="Times New Roman"/>
          <w:lang w:val="en-US" w:eastAsia="zh-CN"/>
        </w:rPr>
        <w:t>构建发展</w:t>
      </w:r>
      <w:r>
        <w:rPr>
          <w:rFonts w:cs="Times New Roman"/>
        </w:rPr>
        <w:t>支撑体系</w:t>
      </w:r>
      <w:bookmarkEnd w:id="181"/>
      <w:r>
        <w:rPr>
          <w:rFonts w:cs="Times New Roman"/>
        </w:rPr>
        <w:t>。</w:t>
      </w:r>
    </w:p>
    <w:p>
      <w:pPr>
        <w:ind w:firstLine="643"/>
        <w:rPr>
          <w:rFonts w:cs="Times New Roman"/>
        </w:rPr>
      </w:pPr>
      <w:bookmarkStart w:id="182" w:name="_Hlk202792914"/>
      <w:r>
        <w:rPr>
          <w:rFonts w:cs="Times New Roman"/>
          <w:b/>
          <w:bCs/>
        </w:rPr>
        <w:t>通过产业数字化推动传统服务业转型升级。</w:t>
      </w:r>
      <w:r>
        <w:rPr>
          <w:rFonts w:hint="eastAsia" w:cs="Times New Roman"/>
          <w:b w:val="0"/>
          <w:bCs w:val="0"/>
          <w:lang w:val="en-US" w:eastAsia="zh-CN"/>
        </w:rPr>
        <w:t>引导</w:t>
      </w:r>
      <w:r>
        <w:rPr>
          <w:rFonts w:cs="Times New Roman"/>
        </w:rPr>
        <w:t>商贸流通、现代物流、文旅演艺、教育培训等传统</w:t>
      </w:r>
      <w:r>
        <w:rPr>
          <w:rFonts w:hint="eastAsia" w:cs="Times New Roman"/>
          <w:lang w:val="en-US" w:eastAsia="zh-CN"/>
        </w:rPr>
        <w:t>服务</w:t>
      </w:r>
      <w:r>
        <w:rPr>
          <w:rFonts w:cs="Times New Roman"/>
        </w:rPr>
        <w:t>行业</w:t>
      </w:r>
      <w:r>
        <w:rPr>
          <w:rFonts w:hint="default" w:ascii="Times New Roman" w:hAnsi="Times New Roman" w:cs="Times New Roman"/>
          <w:lang w:eastAsia="zh-CN"/>
        </w:rPr>
        <w:t>“</w:t>
      </w:r>
      <w:r>
        <w:rPr>
          <w:rFonts w:cs="Times New Roman"/>
        </w:rPr>
        <w:t>上云用数赋智</w:t>
      </w:r>
      <w:r>
        <w:rPr>
          <w:rFonts w:hint="default" w:ascii="Times New Roman" w:hAnsi="Times New Roman" w:cs="Times New Roman"/>
          <w:lang w:eastAsia="zh-CN"/>
        </w:rPr>
        <w:t>”</w:t>
      </w:r>
      <w:r>
        <w:rPr>
          <w:rFonts w:cs="Times New Roman"/>
        </w:rPr>
        <w:t>，提升智能化、集成化、平台化服务能力。支持企业</w:t>
      </w:r>
      <w:r>
        <w:rPr>
          <w:rFonts w:hint="eastAsia" w:cs="Times New Roman"/>
          <w:lang w:val="en-US" w:eastAsia="zh-CN"/>
        </w:rPr>
        <w:t>参与</w:t>
      </w:r>
      <w:r>
        <w:rPr>
          <w:rFonts w:cs="Times New Roman"/>
        </w:rPr>
        <w:t>全球数商大会等高能级比赛活动，</w:t>
      </w:r>
      <w:r>
        <w:rPr>
          <w:rFonts w:hint="eastAsia" w:cs="Times New Roman"/>
          <w:lang w:val="en-US" w:eastAsia="zh-CN"/>
        </w:rPr>
        <w:t>融入</w:t>
      </w:r>
      <w:r>
        <w:rPr>
          <w:rFonts w:cs="Times New Roman"/>
        </w:rPr>
        <w:t>数商创新生态。</w:t>
      </w:r>
    </w:p>
    <w:bookmarkEnd w:id="182"/>
    <w:p>
      <w:pPr>
        <w:pStyle w:val="4"/>
        <w:ind w:firstLine="643"/>
        <w:rPr>
          <w:rFonts w:cs="Times New Roman"/>
        </w:rPr>
      </w:pPr>
      <w:bookmarkStart w:id="183" w:name="_Toc13175"/>
      <w:bookmarkStart w:id="184" w:name="_Toc31060"/>
      <w:bookmarkStart w:id="185" w:name="_Toc27841"/>
      <w:bookmarkStart w:id="186" w:name="_Toc23900"/>
      <w:r>
        <w:rPr>
          <w:rFonts w:cs="Times New Roman"/>
        </w:rPr>
        <w:t>5、</w:t>
      </w:r>
      <w:bookmarkStart w:id="187" w:name="_Hlk202792947"/>
      <w:r>
        <w:rPr>
          <w:rFonts w:cs="Times New Roman"/>
        </w:rPr>
        <w:t>龙头</w:t>
      </w:r>
      <w:bookmarkEnd w:id="187"/>
      <w:r>
        <w:rPr>
          <w:rFonts w:cs="Times New Roman"/>
        </w:rPr>
        <w:t>经济</w:t>
      </w:r>
      <w:bookmarkEnd w:id="183"/>
      <w:bookmarkEnd w:id="184"/>
      <w:bookmarkEnd w:id="185"/>
      <w:bookmarkEnd w:id="186"/>
    </w:p>
    <w:p>
      <w:pPr>
        <w:ind w:firstLine="643"/>
        <w:rPr>
          <w:rFonts w:cs="Times New Roman"/>
        </w:rPr>
      </w:pPr>
      <w:bookmarkStart w:id="188" w:name="_Hlk202792975"/>
      <w:r>
        <w:rPr>
          <w:rFonts w:cs="Times New Roman"/>
          <w:b/>
          <w:bCs/>
        </w:rPr>
        <w:t>实施</w:t>
      </w:r>
      <w:r>
        <w:rPr>
          <w:rFonts w:hint="default" w:ascii="Times New Roman" w:hAnsi="Times New Roman" w:cs="Times New Roman"/>
          <w:b/>
          <w:bCs/>
          <w:lang w:eastAsia="zh-CN"/>
        </w:rPr>
        <w:t>“</w:t>
      </w:r>
      <w:r>
        <w:rPr>
          <w:rFonts w:cs="Times New Roman"/>
          <w:b/>
          <w:bCs/>
        </w:rPr>
        <w:t>龙头企业培育养成计划</w:t>
      </w:r>
      <w:r>
        <w:rPr>
          <w:rFonts w:hint="default" w:ascii="Times New Roman" w:hAnsi="Times New Roman" w:cs="Times New Roman"/>
          <w:b/>
          <w:bCs/>
          <w:lang w:eastAsia="zh-CN"/>
        </w:rPr>
        <w:t>”</w:t>
      </w:r>
      <w:r>
        <w:rPr>
          <w:rFonts w:cs="Times New Roman"/>
          <w:b/>
          <w:bCs/>
        </w:rPr>
        <w:t>。</w:t>
      </w:r>
      <w:r>
        <w:rPr>
          <w:rFonts w:cs="Times New Roman"/>
        </w:rPr>
        <w:t>构建企业成长梯队结构</w:t>
      </w:r>
      <w:r>
        <w:rPr>
          <w:rFonts w:hint="default" w:cs="Times New Roman"/>
          <w:lang w:eastAsia="zh-CN"/>
        </w:rPr>
        <w:t>，</w:t>
      </w:r>
      <w:r>
        <w:rPr>
          <w:rFonts w:cs="Times New Roman"/>
        </w:rPr>
        <w:t>力争</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期内新增</w:t>
      </w:r>
      <w:r>
        <w:rPr>
          <w:rFonts w:hint="default" w:cs="Times New Roman"/>
          <w:lang w:val="en-US" w:eastAsia="zh-CN"/>
        </w:rPr>
        <w:t>10家龙头企业、</w:t>
      </w:r>
      <w:r>
        <w:rPr>
          <w:rFonts w:cs="Times New Roman"/>
        </w:rPr>
        <w:t>30-50家骨干企业</w:t>
      </w:r>
      <w:r>
        <w:rPr>
          <w:rFonts w:hint="default" w:cs="Times New Roman"/>
          <w:lang w:eastAsia="zh-CN"/>
        </w:rPr>
        <w:t>、</w:t>
      </w:r>
      <w:r>
        <w:rPr>
          <w:rFonts w:cs="Times New Roman"/>
        </w:rPr>
        <w:t>培育不少于300家以上潜力企业。</w:t>
      </w:r>
    </w:p>
    <w:p>
      <w:pPr>
        <w:ind w:firstLine="643"/>
        <w:rPr>
          <w:rFonts w:cs="Times New Roman"/>
        </w:rPr>
      </w:pPr>
      <w:r>
        <w:rPr>
          <w:rFonts w:cs="Times New Roman"/>
          <w:b/>
          <w:bCs/>
        </w:rPr>
        <w:t>构建服务业招商稳商体制机制。</w:t>
      </w:r>
      <w:r>
        <w:rPr>
          <w:rFonts w:ascii="Times New Roman" w:hAnsi="Times New Roman" w:eastAsia="仿宋_GB2312" w:cs="Times New Roman"/>
          <w:sz w:val="32"/>
          <w:szCs w:val="24"/>
        </w:rPr>
        <w:t>围绕“3+4”服务业体系靶向补链强链，实现全周期精准服务，推动制造园区与服务业集聚区联动，留住优质企业资源。</w:t>
      </w:r>
    </w:p>
    <w:p>
      <w:pPr>
        <w:ind w:firstLine="643"/>
        <w:rPr>
          <w:rFonts w:cs="Times New Roman"/>
        </w:rPr>
      </w:pPr>
      <w:r>
        <w:rPr>
          <w:rFonts w:cs="Times New Roman"/>
          <w:b/>
          <w:bCs/>
        </w:rPr>
        <w:t>鼓励企业加强品牌建设。</w:t>
      </w:r>
      <w:r>
        <w:rPr>
          <w:rFonts w:cs="Times New Roman"/>
        </w:rPr>
        <w:t>支持服务企业申报上海市品牌引领标杆企业、上海市品牌培育标杆企业，对获得国际认可或榜单排名的协会给予政策支持。</w:t>
      </w:r>
    </w:p>
    <w:bookmarkEnd w:id="188"/>
    <w:p>
      <w:pPr>
        <w:pStyle w:val="3"/>
        <w:ind w:firstLine="643"/>
        <w:rPr>
          <w:rFonts w:cs="Times New Roman"/>
        </w:rPr>
      </w:pPr>
      <w:bookmarkStart w:id="189" w:name="_Toc29324"/>
      <w:bookmarkStart w:id="190" w:name="_Toc19407"/>
      <w:bookmarkStart w:id="191" w:name="_Toc651"/>
      <w:bookmarkStart w:id="192" w:name="_Toc28743"/>
      <w:bookmarkStart w:id="193" w:name="_Toc201310197"/>
      <w:r>
        <w:rPr>
          <w:rFonts w:cs="Times New Roman"/>
        </w:rPr>
        <w:t>（三）</w:t>
      </w:r>
      <w:bookmarkStart w:id="194" w:name="_Hlk202793061"/>
      <w:r>
        <w:rPr>
          <w:rFonts w:cs="Times New Roman"/>
        </w:rPr>
        <w:t>构建全域赋能格局，</w:t>
      </w:r>
      <w:r>
        <w:rPr>
          <w:rFonts w:hint="default" w:cs="Times New Roman"/>
          <w:lang w:val="en-US" w:eastAsia="zh-CN"/>
        </w:rPr>
        <w:t>集群聚势呈现</w:t>
      </w:r>
      <w:r>
        <w:rPr>
          <w:rFonts w:cs="Times New Roman"/>
        </w:rPr>
        <w:t>新</w:t>
      </w:r>
      <w:r>
        <w:rPr>
          <w:rFonts w:hint="default" w:cs="Times New Roman"/>
          <w:lang w:val="en-US" w:eastAsia="zh-CN"/>
        </w:rPr>
        <w:t>局面</w:t>
      </w:r>
      <w:bookmarkEnd w:id="189"/>
      <w:bookmarkEnd w:id="190"/>
      <w:bookmarkEnd w:id="191"/>
      <w:bookmarkEnd w:id="192"/>
      <w:bookmarkEnd w:id="193"/>
      <w:bookmarkEnd w:id="194"/>
    </w:p>
    <w:p>
      <w:pPr>
        <w:ind w:firstLine="640"/>
        <w:rPr>
          <w:rFonts w:cs="Times New Roman"/>
        </w:rPr>
      </w:pPr>
      <w:r>
        <w:rPr>
          <w:rFonts w:cs="Times New Roman"/>
        </w:rPr>
        <w:t>贯彻闵行区</w:t>
      </w:r>
      <w:r>
        <w:rPr>
          <w:rFonts w:hint="default" w:ascii="Times New Roman" w:hAnsi="Times New Roman" w:cs="Times New Roman"/>
          <w:lang w:eastAsia="zh-CN"/>
        </w:rPr>
        <w:t>“</w:t>
      </w:r>
      <w:r>
        <w:rPr>
          <w:rFonts w:cs="Times New Roman"/>
        </w:rPr>
        <w:t>一南一北</w:t>
      </w:r>
      <w:r>
        <w:rPr>
          <w:rFonts w:hint="default" w:ascii="Times New Roman" w:hAnsi="Times New Roman" w:cs="Times New Roman"/>
          <w:lang w:eastAsia="zh-CN"/>
        </w:rPr>
        <w:t>”</w:t>
      </w:r>
      <w:r>
        <w:rPr>
          <w:rFonts w:cs="Times New Roman"/>
        </w:rPr>
        <w:t>战略，北部地区聚力增强服务业发展能级，着力提升服务业发展产业高度，增加要素密度，拓展开放深度，</w:t>
      </w:r>
      <w:r>
        <w:rPr>
          <w:rFonts w:cs="Times New Roman"/>
          <w:b/>
          <w:bCs/>
        </w:rPr>
        <w:t>成为现代服务业</w:t>
      </w:r>
      <w:r>
        <w:rPr>
          <w:rFonts w:hint="default" w:cs="Times New Roman"/>
          <w:b/>
          <w:bCs/>
          <w:lang w:val="en-US" w:eastAsia="zh-CN"/>
        </w:rPr>
        <w:t>品牌</w:t>
      </w:r>
      <w:r>
        <w:rPr>
          <w:rFonts w:cs="Times New Roman"/>
          <w:b/>
          <w:bCs/>
        </w:rPr>
        <w:t>化、国际化发展的引领区域；</w:t>
      </w:r>
      <w:r>
        <w:rPr>
          <w:rFonts w:cs="Times New Roman"/>
        </w:rPr>
        <w:t>南部地区聚力增强服务业创新含量，着力推动现代服务业与先进制造业深度融合，加快发展新业态新模式，</w:t>
      </w:r>
      <w:r>
        <w:rPr>
          <w:rFonts w:cs="Times New Roman"/>
          <w:b/>
          <w:bCs/>
        </w:rPr>
        <w:t>成为现代服务业融合化、数字化发展的标杆区域。</w:t>
      </w:r>
      <w:r>
        <w:rPr>
          <w:rFonts w:cs="Times New Roman"/>
        </w:rPr>
        <w:t>以商务区、文创科创园区等服务业集聚区为引</w:t>
      </w:r>
      <w:r>
        <w:rPr>
          <w:rFonts w:cs="Times New Roman"/>
          <w:color w:val="000000" w:themeColor="text1"/>
          <w14:textFill>
            <w14:solidFill>
              <w14:schemeClr w14:val="tx1"/>
            </w14:solidFill>
          </w14:textFill>
        </w:rPr>
        <w:t>领，加</w:t>
      </w:r>
      <w:bookmarkStart w:id="195" w:name="_Hlk202793100"/>
      <w:r>
        <w:rPr>
          <w:rFonts w:cs="Times New Roman"/>
          <w:color w:val="000000" w:themeColor="text1"/>
          <w14:textFill>
            <w14:solidFill>
              <w14:schemeClr w14:val="tx1"/>
            </w14:solidFill>
          </w14:textFill>
        </w:rPr>
        <w:t>快形成</w:t>
      </w:r>
      <w:r>
        <w:rPr>
          <w:rFonts w:hint="default" w:ascii="Times New Roman" w:hAnsi="Times New Roman" w:cs="Times New Roman"/>
          <w:b/>
          <w:bCs/>
          <w:color w:val="000000" w:themeColor="text1"/>
          <w:lang w:eastAsia="zh-CN"/>
          <w14:textFill>
            <w14:solidFill>
              <w14:schemeClr w14:val="tx1"/>
            </w14:solidFill>
          </w14:textFill>
        </w:rPr>
        <w:t>“</w:t>
      </w:r>
      <w:r>
        <w:rPr>
          <w:rFonts w:cs="Times New Roman"/>
          <w:b/>
          <w:bCs/>
          <w:color w:val="000000" w:themeColor="text1"/>
          <w14:textFill>
            <w14:solidFill>
              <w14:schemeClr w14:val="tx1"/>
            </w14:solidFill>
          </w14:textFill>
        </w:rPr>
        <w:t>一核引领、</w:t>
      </w:r>
      <w:r>
        <w:rPr>
          <w:rFonts w:hint="default" w:cs="Times New Roman"/>
          <w:b/>
          <w:bCs/>
          <w:color w:val="000000" w:themeColor="text1"/>
          <w:lang w:val="en-US" w:eastAsia="zh-CN"/>
          <w14:textFill>
            <w14:solidFill>
              <w14:schemeClr w14:val="tx1"/>
            </w14:solidFill>
          </w14:textFill>
        </w:rPr>
        <w:t>一区带动、</w:t>
      </w:r>
      <w:r>
        <w:rPr>
          <w:rFonts w:cs="Times New Roman"/>
          <w:b/>
          <w:bCs/>
          <w:color w:val="000000" w:themeColor="text1"/>
          <w14:textFill>
            <w14:solidFill>
              <w14:schemeClr w14:val="tx1"/>
            </w14:solidFill>
          </w14:textFill>
        </w:rPr>
        <w:t>多点支撑</w:t>
      </w:r>
      <w:r>
        <w:rPr>
          <w:rFonts w:hint="default" w:ascii="Times New Roman" w:hAnsi="Times New Roman" w:cs="Times New Roman"/>
          <w:b/>
          <w:bCs/>
          <w:color w:val="000000" w:themeColor="text1"/>
          <w:lang w:eastAsia="zh-CN"/>
          <w14:textFill>
            <w14:solidFill>
              <w14:schemeClr w14:val="tx1"/>
            </w14:solidFill>
          </w14:textFill>
        </w:rPr>
        <w:t>”</w:t>
      </w:r>
      <w:r>
        <w:rPr>
          <w:rFonts w:cs="Times New Roman"/>
          <w:b/>
          <w:bCs/>
          <w:color w:val="000000" w:themeColor="text1"/>
          <w14:textFill>
            <w14:solidFill>
              <w14:schemeClr w14:val="tx1"/>
            </w14:solidFill>
          </w14:textFill>
        </w:rPr>
        <w:t>的服务业空间结构</w:t>
      </w:r>
      <w:r>
        <w:rPr>
          <w:rFonts w:cs="Times New Roman"/>
          <w:color w:val="000000" w:themeColor="text1"/>
          <w14:textFill>
            <w14:solidFill>
              <w14:schemeClr w14:val="tx1"/>
            </w14:solidFill>
          </w14:textFill>
        </w:rPr>
        <w:t>。</w:t>
      </w:r>
      <w:bookmarkEnd w:id="195"/>
    </w:p>
    <w:p>
      <w:pPr>
        <w:ind w:firstLine="0" w:firstLineChars="0"/>
        <w:jc w:val="both"/>
        <w:rPr>
          <w:rFonts w:cs="Times New Roman"/>
        </w:rPr>
      </w:pPr>
      <w:r>
        <w:rPr>
          <w:rFonts w:cs="Times New Roman"/>
        </w:rPr>
        <w:drawing>
          <wp:inline distT="0" distB="0" distL="114300" distR="114300">
            <wp:extent cx="5477510" cy="4441825"/>
            <wp:effectExtent l="0" t="0" r="889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477510" cy="4441825"/>
                    </a:xfrm>
                    <a:prstGeom prst="rect">
                      <a:avLst/>
                    </a:prstGeom>
                    <a:noFill/>
                    <a:ln>
                      <a:noFill/>
                    </a:ln>
                  </pic:spPr>
                </pic:pic>
              </a:graphicData>
            </a:graphic>
          </wp:inline>
        </w:drawing>
      </w:r>
    </w:p>
    <w:p>
      <w:pPr>
        <w:spacing w:after="156" w:afterLines="50"/>
        <w:ind w:firstLine="0" w:firstLineChars="0"/>
        <w:jc w:val="both"/>
        <w:outlineLvl w:val="9"/>
        <w:rPr>
          <w:rFonts w:cs="Times New Roman"/>
          <w:sz w:val="24"/>
        </w:rPr>
      </w:pPr>
      <w:r>
        <w:drawing>
          <wp:inline distT="0" distB="0" distL="114300" distR="114300">
            <wp:extent cx="5271135" cy="323215"/>
            <wp:effectExtent l="0" t="0" r="1206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1135" cy="323215"/>
                    </a:xfrm>
                    <a:prstGeom prst="rect">
                      <a:avLst/>
                    </a:prstGeom>
                    <a:noFill/>
                    <a:ln>
                      <a:noFill/>
                    </a:ln>
                  </pic:spPr>
                </pic:pic>
              </a:graphicData>
            </a:graphic>
          </wp:inline>
        </w:drawing>
      </w:r>
    </w:p>
    <w:p>
      <w:pPr>
        <w:pStyle w:val="4"/>
        <w:ind w:firstLine="643"/>
        <w:rPr>
          <w:rFonts w:cs="Times New Roman"/>
        </w:rPr>
      </w:pPr>
      <w:bookmarkStart w:id="196" w:name="_Toc10968"/>
      <w:bookmarkStart w:id="197" w:name="_Toc12114"/>
      <w:bookmarkStart w:id="198" w:name="_Toc26811"/>
      <w:bookmarkStart w:id="199" w:name="_Toc30699"/>
      <w:r>
        <w:rPr>
          <w:rFonts w:cs="Times New Roman"/>
        </w:rPr>
        <w:t>1、</w:t>
      </w:r>
      <w:r>
        <w:rPr>
          <w:rFonts w:hint="default" w:cs="Times New Roman"/>
          <w:lang w:val="en-US" w:eastAsia="zh-CN"/>
        </w:rPr>
        <w:t>一核引领：</w:t>
      </w:r>
      <w:r>
        <w:rPr>
          <w:rFonts w:cs="Times New Roman"/>
        </w:rPr>
        <w:t>虹桥</w:t>
      </w:r>
      <w:r>
        <w:rPr>
          <w:rFonts w:hint="default" w:cs="Times New Roman"/>
          <w:lang w:val="en-US" w:eastAsia="zh-CN"/>
        </w:rPr>
        <w:t>国际中央商务区（闵行部分）</w:t>
      </w:r>
      <w:bookmarkEnd w:id="196"/>
      <w:bookmarkEnd w:id="197"/>
      <w:bookmarkEnd w:id="198"/>
      <w:bookmarkEnd w:id="199"/>
    </w:p>
    <w:p>
      <w:pPr>
        <w:ind w:firstLine="640"/>
        <w:rPr>
          <w:rFonts w:cs="Times New Roman"/>
        </w:rPr>
      </w:pPr>
      <w:r>
        <w:rPr>
          <w:rFonts w:cs="Times New Roman"/>
        </w:rPr>
        <w:t>以加快提升虹桥国际开放枢纽能级、中国（上海）自由贸易试验区联动创新区建设为契机，不断加大服务业政策开放创新力度，集聚高能级总部企业和服务平台，</w:t>
      </w:r>
      <w:r>
        <w:rPr>
          <w:rFonts w:hint="eastAsia" w:cs="Times New Roman"/>
          <w:lang w:val="en-US" w:eastAsia="zh-CN"/>
        </w:rPr>
        <w:t>强化国际化服务功能</w:t>
      </w:r>
      <w:r>
        <w:rPr>
          <w:rFonts w:hint="eastAsia" w:cs="Times New Roman"/>
          <w:lang w:eastAsia="zh-CN"/>
        </w:rPr>
        <w:t>，</w:t>
      </w:r>
      <w:r>
        <w:rPr>
          <w:rFonts w:hint="eastAsia" w:cs="Times New Roman"/>
          <w:lang w:val="en-US" w:eastAsia="zh-CN"/>
        </w:rPr>
        <w:t>联动闵行中、南部片区协同发展，发挥全区服务业</w:t>
      </w:r>
      <w:r>
        <w:rPr>
          <w:rFonts w:cs="Times New Roman"/>
        </w:rPr>
        <w:t>核心引领作用。</w:t>
      </w:r>
    </w:p>
    <w:p>
      <w:pPr>
        <w:pStyle w:val="60"/>
        <w:ind w:firstLine="643"/>
      </w:pPr>
      <w:r>
        <w:t>（1）核心区</w:t>
      </w:r>
    </w:p>
    <w:p>
      <w:pPr>
        <w:keepNext w:val="0"/>
        <w:keepLines w:val="0"/>
        <w:widowControl/>
        <w:suppressLineNumbers w:val="0"/>
        <w:ind w:firstLine="640"/>
        <w:jc w:val="left"/>
        <w:rPr>
          <w:rFonts w:cs="Times New Roman"/>
        </w:rPr>
      </w:pPr>
      <w:r>
        <w:rPr>
          <w:rFonts w:hint="eastAsia" w:cs="Times New Roman"/>
          <w:lang w:val="en-US" w:eastAsia="zh-CN"/>
        </w:rPr>
        <w:t>立足</w:t>
      </w:r>
      <w:r>
        <w:rPr>
          <w:rFonts w:cs="Times New Roman"/>
        </w:rPr>
        <w:t>长三角一体化发展核心引擎</w:t>
      </w:r>
      <w:r>
        <w:rPr>
          <w:rFonts w:hint="eastAsia" w:cs="Times New Roman"/>
          <w:lang w:val="en-US" w:eastAsia="zh-CN"/>
        </w:rPr>
        <w:t>定位</w:t>
      </w:r>
      <w:r>
        <w:rPr>
          <w:rFonts w:cs="Times New Roman"/>
        </w:rPr>
        <w:t>，依托</w:t>
      </w:r>
      <w:r>
        <w:rPr>
          <w:rFonts w:hint="default" w:ascii="Times New Roman" w:hAnsi="Times New Roman" w:cs="Times New Roman"/>
          <w:lang w:eastAsia="zh-CN"/>
        </w:rPr>
        <w:t>“</w:t>
      </w:r>
      <w:r>
        <w:rPr>
          <w:rFonts w:cs="Times New Roman"/>
        </w:rPr>
        <w:t>大交通+大会展+大商务</w:t>
      </w:r>
      <w:r>
        <w:rPr>
          <w:rFonts w:hint="default" w:ascii="Times New Roman" w:hAnsi="Times New Roman" w:cs="Times New Roman"/>
          <w:lang w:eastAsia="zh-CN"/>
        </w:rPr>
        <w:t>”</w:t>
      </w:r>
      <w:r>
        <w:rPr>
          <w:rFonts w:cs="Times New Roman"/>
        </w:rPr>
        <w:t>复合功能，</w:t>
      </w:r>
      <w:r>
        <w:rPr>
          <w:rFonts w:hint="eastAsia" w:cs="Times New Roman"/>
          <w:lang w:val="en-US" w:eastAsia="zh-CN"/>
        </w:rPr>
        <w:t>聚焦</w:t>
      </w:r>
      <w:r>
        <w:rPr>
          <w:rFonts w:cs="Times New Roman"/>
        </w:rPr>
        <w:t>生物医药、低碳新能源、国际贸易、汽车、数字经济等重点领域</w:t>
      </w:r>
      <w:r>
        <w:rPr>
          <w:rFonts w:ascii="Times New Roman" w:hAnsi="Times New Roman" w:eastAsia="仿宋_GB2312" w:cs="Times New Roman"/>
          <w:kern w:val="2"/>
          <w:sz w:val="32"/>
          <w:szCs w:val="24"/>
          <w:lang w:val="en-US" w:eastAsia="zh-CN" w:bidi="ar"/>
          <w14:ligatures w14:val="standardContextual"/>
        </w:rPr>
        <w:t>集聚各类总部企业</w:t>
      </w:r>
      <w:r>
        <w:rPr>
          <w:rFonts w:hint="eastAsia" w:cs="Times New Roman"/>
          <w:kern w:val="2"/>
          <w:sz w:val="32"/>
          <w:szCs w:val="24"/>
          <w:lang w:val="en-US" w:eastAsia="zh-CN" w:bidi="ar"/>
          <w14:ligatures w14:val="standardContextual"/>
        </w:rPr>
        <w:t>，</w:t>
      </w:r>
      <w:r>
        <w:rPr>
          <w:rFonts w:cs="Times New Roman"/>
        </w:rPr>
        <w:t>积极引入法律咨询、人力资源、</w:t>
      </w:r>
      <w:r>
        <w:rPr>
          <w:rFonts w:hint="default" w:cs="Times New Roman"/>
          <w:lang w:eastAsia="zh-CN"/>
        </w:rPr>
        <w:t>金融财税</w:t>
      </w:r>
      <w:r>
        <w:rPr>
          <w:rFonts w:cs="Times New Roman"/>
        </w:rPr>
        <w:t>等专业服务机构，</w:t>
      </w:r>
      <w:r>
        <w:rPr>
          <w:rFonts w:ascii="Times New Roman" w:hAnsi="Times New Roman" w:eastAsia="仿宋_GB2312" w:cs="Times New Roman"/>
          <w:kern w:val="2"/>
          <w:sz w:val="32"/>
          <w:szCs w:val="24"/>
          <w:lang w:val="en-US" w:eastAsia="zh-CN" w:bidi="ar"/>
          <w14:ligatures w14:val="standardContextual"/>
        </w:rPr>
        <w:t>构建多元主体共生的产业生态，打造全球高端资源配置标杆区域。</w:t>
      </w:r>
    </w:p>
    <w:p>
      <w:pPr>
        <w:ind w:firstLine="640"/>
      </w:pPr>
      <w:r>
        <w:rPr>
          <w:rFonts w:cs="Times New Roman"/>
          <w:b/>
        </w:rPr>
        <w:t>（2）</w:t>
      </w:r>
      <w:r>
        <w:rPr>
          <w:rFonts w:hint="default" w:cs="Times New Roman"/>
          <w:b/>
          <w:lang w:val="en-US" w:eastAsia="zh-CN"/>
        </w:rPr>
        <w:t>前湾地区</w:t>
      </w:r>
    </w:p>
    <w:p>
      <w:pPr>
        <w:ind w:firstLine="640"/>
        <w:rPr>
          <w:rFonts w:cs="Times New Roman"/>
        </w:rPr>
      </w:pPr>
      <w:r>
        <w:rPr>
          <w:rFonts w:cs="Times New Roman"/>
        </w:rPr>
        <w:t>以国际化、高端融合的服务经济为主要特色，依托前湾商务</w:t>
      </w:r>
      <w:r>
        <w:rPr>
          <w:rFonts w:hint="default" w:cs="Times New Roman"/>
          <w:lang w:val="en-US" w:eastAsia="zh-CN"/>
        </w:rPr>
        <w:t>社</w:t>
      </w:r>
      <w:r>
        <w:rPr>
          <w:rFonts w:cs="Times New Roman"/>
        </w:rPr>
        <w:t>区、新虹桥国际医学中心、上海电竞中心等园区功能平台，重点发展生命健康、国际文娱、数字经济、时尚新消费等产业，打造面向长三角的国际化高端服务经济门户。</w:t>
      </w:r>
    </w:p>
    <w:p>
      <w:pPr>
        <w:ind w:firstLine="0" w:firstLineChars="0"/>
        <w:rPr>
          <w:rFonts w:cs="Times New Roman"/>
        </w:rPr>
      </w:pPr>
      <w:r>
        <w:drawing>
          <wp:inline distT="0" distB="0" distL="114300" distR="114300">
            <wp:extent cx="5266690" cy="5789295"/>
            <wp:effectExtent l="0" t="0" r="3810" b="19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5266690" cy="5789295"/>
                    </a:xfrm>
                    <a:prstGeom prst="rect">
                      <a:avLst/>
                    </a:prstGeom>
                    <a:noFill/>
                    <a:ln>
                      <a:noFill/>
                    </a:ln>
                  </pic:spPr>
                </pic:pic>
              </a:graphicData>
            </a:graphic>
          </wp:inline>
        </w:drawing>
      </w:r>
    </w:p>
    <w:p>
      <w:pPr>
        <w:pStyle w:val="4"/>
        <w:ind w:firstLine="643"/>
        <w:rPr>
          <w:rFonts w:hint="default" w:ascii="Times New Roman" w:hAnsi="Times New Roman" w:eastAsia="仿宋_GB2312" w:cs="Times New Roman"/>
          <w:color w:val="000000" w:themeColor="text1"/>
          <w:lang w:val="en-US" w:eastAsia="zh-CN"/>
          <w14:textFill>
            <w14:solidFill>
              <w14:schemeClr w14:val="tx1"/>
            </w14:solidFill>
          </w14:textFill>
        </w:rPr>
      </w:pPr>
      <w:bookmarkStart w:id="200" w:name="_Toc2599"/>
      <w:bookmarkStart w:id="201" w:name="_Toc2997"/>
      <w:bookmarkStart w:id="202" w:name="_Toc22428"/>
      <w:bookmarkStart w:id="203" w:name="_Toc8216"/>
      <w:r>
        <w:rPr>
          <w:rFonts w:cs="Times New Roman"/>
        </w:rPr>
        <w:t>2、</w:t>
      </w:r>
      <w:r>
        <w:rPr>
          <w:rFonts w:hint="default" w:cs="Times New Roman"/>
          <w:lang w:val="en-US" w:eastAsia="zh-CN"/>
        </w:rPr>
        <w:t>一区带动：</w:t>
      </w:r>
      <w:r>
        <w:rPr>
          <w:rFonts w:hint="default" w:ascii="Times New Roman" w:hAnsi="Times New Roman" w:eastAsia="仿宋_GB2312" w:cs="Times New Roman"/>
          <w:color w:val="000000" w:themeColor="text1"/>
          <w:lang w:val="en-US" w:eastAsia="zh-CN"/>
          <w14:textFill>
            <w14:solidFill>
              <w14:schemeClr w14:val="tx1"/>
            </w14:solidFill>
          </w14:textFill>
        </w:rPr>
        <w:t>大零号湾科技创新策源功能区</w:t>
      </w:r>
      <w:bookmarkEnd w:id="200"/>
      <w:bookmarkEnd w:id="201"/>
      <w:bookmarkEnd w:id="202"/>
      <w:bookmarkEnd w:id="203"/>
    </w:p>
    <w:p>
      <w:pPr>
        <w:tabs>
          <w:tab w:val="left" w:pos="1280"/>
        </w:tabs>
        <w:ind w:firstLine="640"/>
        <w:rPr>
          <w:rFonts w:cs="Times New Roman"/>
          <w:highlight w:val="none"/>
        </w:rPr>
      </w:pPr>
      <w:r>
        <w:rPr>
          <w:rFonts w:cs="Times New Roman"/>
          <w:highlight w:val="none"/>
        </w:rPr>
        <w:t>依托大零号湾科技创新策源功能区核心区建设，立足上海交通大学、华东师范大学等</w:t>
      </w:r>
      <w:r>
        <w:rPr>
          <w:rFonts w:hint="eastAsia" w:cs="Times New Roman"/>
          <w:highlight w:val="none"/>
          <w:lang w:val="en-US" w:eastAsia="zh-CN"/>
        </w:rPr>
        <w:t>高校院所</w:t>
      </w:r>
      <w:r>
        <w:rPr>
          <w:rFonts w:cs="Times New Roman"/>
          <w:highlight w:val="none"/>
        </w:rPr>
        <w:t>智力溢出效应，充分发挥开放式科创街区、紫竹网络视听产业基地、上海市养老科技产业园等优势，</w:t>
      </w:r>
      <w:r>
        <w:rPr>
          <w:rFonts w:hint="default" w:cs="Times New Roman"/>
          <w:highlight w:val="none"/>
          <w:lang w:val="en-US" w:eastAsia="zh-CN"/>
        </w:rPr>
        <w:t>聚焦航空航天、智能装备、生物医药、海洋工程、新型能源等五大核心产业发展，以</w:t>
      </w:r>
      <w:r>
        <w:rPr>
          <w:rFonts w:hint="default" w:ascii="Times New Roman" w:hAnsi="Times New Roman" w:cs="Times New Roman"/>
          <w:highlight w:val="none"/>
          <w:lang w:val="en-US" w:eastAsia="zh-CN"/>
        </w:rPr>
        <w:t>“</w:t>
      </w:r>
      <w:r>
        <w:rPr>
          <w:rFonts w:hint="default" w:cs="Times New Roman"/>
          <w:highlight w:val="none"/>
          <w:lang w:val="en-US" w:eastAsia="zh-CN"/>
        </w:rPr>
        <w:t>创新策源+场景应用</w:t>
      </w:r>
      <w:r>
        <w:rPr>
          <w:rFonts w:hint="default" w:ascii="Times New Roman" w:hAnsi="Times New Roman" w:cs="Times New Roman"/>
          <w:highlight w:val="none"/>
          <w:lang w:val="en-US" w:eastAsia="zh-CN"/>
        </w:rPr>
        <w:t>”</w:t>
      </w:r>
      <w:r>
        <w:rPr>
          <w:rFonts w:hint="default" w:cs="Times New Roman"/>
          <w:highlight w:val="none"/>
          <w:lang w:val="en-US" w:eastAsia="zh-CN"/>
        </w:rPr>
        <w:t>为驱动，</w:t>
      </w:r>
      <w:r>
        <w:rPr>
          <w:rFonts w:hint="eastAsia" w:cs="Times New Roman"/>
          <w:highlight w:val="none"/>
          <w:lang w:val="en-US" w:eastAsia="zh-CN"/>
        </w:rPr>
        <w:t>重点发展</w:t>
      </w:r>
      <w:r>
        <w:rPr>
          <w:rFonts w:hint="default" w:cs="Times New Roman"/>
          <w:highlight w:val="none"/>
          <w:lang w:val="en-US" w:eastAsia="zh-CN"/>
        </w:rPr>
        <w:t>研发服务、成果转化</w:t>
      </w:r>
      <w:r>
        <w:rPr>
          <w:rFonts w:cs="Times New Roman"/>
          <w:highlight w:val="none"/>
        </w:rPr>
        <w:t>、</w:t>
      </w:r>
      <w:r>
        <w:rPr>
          <w:rFonts w:hint="default" w:cs="Times New Roman"/>
          <w:highlight w:val="none"/>
          <w:lang w:val="en-US" w:eastAsia="zh-CN"/>
        </w:rPr>
        <w:t>工业设计、检验检测、创业孵化、知识产权、科技金融等全链条创新服务生态</w:t>
      </w:r>
      <w:r>
        <w:rPr>
          <w:rFonts w:hint="eastAsia" w:cs="Times New Roman"/>
          <w:highlight w:val="none"/>
          <w:lang w:val="en-US" w:eastAsia="zh-CN"/>
        </w:rPr>
        <w:t>，</w:t>
      </w:r>
      <w:r>
        <w:rPr>
          <w:rFonts w:hint="default" w:cs="Times New Roman"/>
          <w:highlight w:val="none"/>
          <w:lang w:val="en-US" w:eastAsia="zh-CN"/>
        </w:rPr>
        <w:t>加快发展集成未来科技、对接未来场景的网络视听、养老科技等特色服务业，</w:t>
      </w:r>
      <w:r>
        <w:rPr>
          <w:rFonts w:hint="eastAsia" w:cs="Times New Roman"/>
          <w:highlight w:val="none"/>
          <w:lang w:val="en-US" w:eastAsia="zh-CN"/>
        </w:rPr>
        <w:t>形成</w:t>
      </w:r>
      <w:r>
        <w:rPr>
          <w:rFonts w:hint="default" w:cs="Times New Roman"/>
          <w:highlight w:val="none"/>
          <w:lang w:val="en-US" w:eastAsia="zh-CN"/>
        </w:rPr>
        <w:t>科创</w:t>
      </w:r>
      <w:r>
        <w:rPr>
          <w:rFonts w:cs="Times New Roman"/>
          <w:highlight w:val="none"/>
        </w:rPr>
        <w:t>策源功能突出、</w:t>
      </w:r>
      <w:r>
        <w:rPr>
          <w:rFonts w:hint="default" w:cs="Times New Roman"/>
          <w:highlight w:val="none"/>
          <w:lang w:val="en-US" w:eastAsia="zh-CN"/>
        </w:rPr>
        <w:t>科创场景特色鲜明</w:t>
      </w:r>
      <w:r>
        <w:rPr>
          <w:rFonts w:cs="Times New Roman"/>
          <w:highlight w:val="none"/>
        </w:rPr>
        <w:t>的战略性</w:t>
      </w:r>
      <w:r>
        <w:rPr>
          <w:rFonts w:hint="default" w:cs="Times New Roman"/>
          <w:highlight w:val="none"/>
          <w:lang w:val="en-US" w:eastAsia="zh-CN"/>
        </w:rPr>
        <w:t>服务业</w:t>
      </w:r>
      <w:r>
        <w:rPr>
          <w:rFonts w:cs="Times New Roman"/>
          <w:highlight w:val="none"/>
        </w:rPr>
        <w:t>集群。</w:t>
      </w:r>
    </w:p>
    <w:p>
      <w:pPr>
        <w:tabs>
          <w:tab w:val="left" w:pos="1280"/>
        </w:tabs>
        <w:ind w:firstLine="0" w:firstLineChars="0"/>
        <w:rPr>
          <w:rFonts w:cs="Times New Roman"/>
          <w:highlight w:val="none"/>
        </w:rPr>
      </w:pPr>
      <w:r>
        <w:drawing>
          <wp:inline distT="0" distB="0" distL="114300" distR="114300">
            <wp:extent cx="5266690" cy="3077845"/>
            <wp:effectExtent l="0" t="0" r="3810" b="825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a:stretch>
                      <a:fillRect/>
                    </a:stretch>
                  </pic:blipFill>
                  <pic:spPr>
                    <a:xfrm>
                      <a:off x="0" y="0"/>
                      <a:ext cx="5266690" cy="3077845"/>
                    </a:xfrm>
                    <a:prstGeom prst="rect">
                      <a:avLst/>
                    </a:prstGeom>
                    <a:noFill/>
                    <a:ln>
                      <a:noFill/>
                    </a:ln>
                  </pic:spPr>
                </pic:pic>
              </a:graphicData>
            </a:graphic>
          </wp:inline>
        </w:drawing>
      </w:r>
    </w:p>
    <w:p>
      <w:pPr>
        <w:pStyle w:val="4"/>
        <w:ind w:firstLine="643"/>
        <w:rPr>
          <w:rFonts w:hint="default" w:eastAsia="仿宋_GB2312" w:cs="Times New Roman"/>
          <w:lang w:val="en-US" w:eastAsia="zh-CN"/>
        </w:rPr>
      </w:pPr>
      <w:bookmarkStart w:id="204" w:name="_Toc2204"/>
      <w:bookmarkStart w:id="205" w:name="_Toc15055"/>
      <w:bookmarkStart w:id="206" w:name="_Toc16295"/>
      <w:bookmarkStart w:id="207" w:name="_Toc30789"/>
      <w:r>
        <w:rPr>
          <w:rFonts w:hint="default" w:cs="Times New Roman"/>
          <w:lang w:val="en-US" w:eastAsia="zh-CN"/>
        </w:rPr>
        <w:t>3、</w:t>
      </w:r>
      <w:r>
        <w:rPr>
          <w:rFonts w:cs="Times New Roman"/>
        </w:rPr>
        <w:t>多点支撑</w:t>
      </w:r>
      <w:r>
        <w:rPr>
          <w:rFonts w:hint="default" w:cs="Times New Roman"/>
          <w:lang w:eastAsia="zh-CN"/>
        </w:rPr>
        <w:t>：</w:t>
      </w:r>
      <w:r>
        <w:rPr>
          <w:rFonts w:hint="default" w:cs="Times New Roman"/>
          <w:lang w:val="en-US" w:eastAsia="zh-CN"/>
        </w:rPr>
        <w:t>培育构建各具特色的</w:t>
      </w:r>
      <w:bookmarkEnd w:id="204"/>
      <w:bookmarkEnd w:id="205"/>
      <w:bookmarkEnd w:id="206"/>
      <w:r>
        <w:rPr>
          <w:rFonts w:hint="default" w:cs="Times New Roman"/>
          <w:lang w:val="en-US" w:eastAsia="zh-CN"/>
        </w:rPr>
        <w:t>服务业集群</w:t>
      </w:r>
      <w:bookmarkEnd w:id="207"/>
    </w:p>
    <w:p>
      <w:pPr>
        <w:ind w:firstLine="640"/>
        <w:rPr>
          <w:rFonts w:cs="Times New Roman"/>
        </w:rPr>
      </w:pPr>
      <w:r>
        <w:rPr>
          <w:rFonts w:cs="Times New Roman"/>
        </w:rPr>
        <w:t>依托区域区位特征、功能特色、产业基础以及交通、行政禀赋，布局</w:t>
      </w:r>
      <w:r>
        <w:rPr>
          <w:rFonts w:hint="default" w:ascii="Times New Roman" w:hAnsi="Times New Roman" w:eastAsia="仿宋_GB2312" w:cs="Times New Roman"/>
          <w:color w:val="000000" w:themeColor="text1"/>
          <w:lang w:val="en-US" w:eastAsia="zh-CN"/>
          <w14:textFill>
            <w14:solidFill>
              <w14:schemeClr w14:val="tx1"/>
            </w14:solidFill>
          </w14:textFill>
        </w:rPr>
        <w:t>吴中路商务区、</w:t>
      </w:r>
      <w:r>
        <w:rPr>
          <w:rFonts w:hint="default" w:ascii="Times New Roman" w:hAnsi="Times New Roman" w:cs="Times New Roman"/>
          <w:color w:val="000000" w:themeColor="text1"/>
          <w:lang w:val="en-US" w:eastAsia="zh-CN"/>
          <w14:textFill>
            <w14:solidFill>
              <w14:schemeClr w14:val="tx1"/>
            </w14:solidFill>
          </w14:textFill>
        </w:rPr>
        <w:t>合川路数创产业带、</w:t>
      </w:r>
      <w:r>
        <w:rPr>
          <w:rFonts w:hint="default" w:ascii="Times New Roman" w:hAnsi="Times New Roman" w:eastAsia="仿宋_GB2312" w:cs="Times New Roman"/>
          <w:color w:val="000000" w:themeColor="text1"/>
          <w:lang w:val="en-US" w:eastAsia="zh-CN"/>
          <w14:textFill>
            <w14:solidFill>
              <w14:schemeClr w14:val="tx1"/>
            </w14:solidFill>
          </w14:textFill>
        </w:rPr>
        <w:t>七宝生态商务区、</w:t>
      </w:r>
      <w:r>
        <w:rPr>
          <w:rFonts w:hint="default" w:ascii="Times New Roman" w:hAnsi="Times New Roman" w:cs="Times New Roman"/>
          <w:color w:val="000000" w:themeColor="text1"/>
          <w:lang w:val="en-US" w:eastAsia="zh-CN"/>
          <w14:textFill>
            <w14:solidFill>
              <w14:schemeClr w14:val="tx1"/>
            </w14:solidFill>
          </w14:textFill>
        </w:rPr>
        <w:t>九星未来城</w:t>
      </w:r>
      <w:r>
        <w:rPr>
          <w:rFonts w:hint="default" w:ascii="Times New Roman" w:hAnsi="Times New Roman" w:eastAsia="仿宋_GB2312"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古美生态商务区、</w:t>
      </w:r>
      <w:r>
        <w:rPr>
          <w:rFonts w:hint="default" w:ascii="Times New Roman" w:hAnsi="Times New Roman" w:eastAsia="仿宋_GB2312" w:cs="Times New Roman"/>
          <w:color w:val="000000" w:themeColor="text1"/>
          <w:lang w:val="en-US" w:eastAsia="zh-CN"/>
          <w14:textFill>
            <w14:solidFill>
              <w14:schemeClr w14:val="tx1"/>
            </w14:solidFill>
          </w14:textFill>
        </w:rPr>
        <w:t>莘庄商务区、</w:t>
      </w:r>
      <w:r>
        <w:rPr>
          <w:rFonts w:hint="default" w:ascii="Times New Roman" w:hAnsi="Times New Roman" w:cs="Times New Roman"/>
          <w:color w:val="000000" w:themeColor="text1"/>
          <w:lang w:val="en-US" w:eastAsia="zh-CN"/>
          <w14:textFill>
            <w14:solidFill>
              <w14:schemeClr w14:val="tx1"/>
            </w14:solidFill>
          </w14:textFill>
        </w:rPr>
        <w:t>莘庄综合枢纽商务区、</w:t>
      </w:r>
      <w:r>
        <w:rPr>
          <w:rFonts w:hint="default" w:ascii="Times New Roman" w:hAnsi="Times New Roman" w:eastAsia="仿宋_GB2312" w:cs="Times New Roman"/>
          <w:color w:val="000000" w:themeColor="text1"/>
          <w:lang w:val="en-US" w:eastAsia="zh-CN"/>
          <w14:textFill>
            <w14:solidFill>
              <w14:schemeClr w14:val="tx1"/>
            </w14:solidFill>
          </w14:textFill>
        </w:rPr>
        <w:t>南方商务区、莘庄工业区、</w:t>
      </w:r>
      <w:r>
        <w:rPr>
          <w:rFonts w:hint="default" w:ascii="Times New Roman" w:hAnsi="Times New Roman" w:cs="Times New Roman"/>
          <w:color w:val="000000" w:themeColor="text1"/>
          <w:lang w:val="en-US" w:eastAsia="zh-CN"/>
          <w14:textFill>
            <w14:solidFill>
              <w14:schemeClr w14:val="tx1"/>
            </w14:solidFill>
          </w14:textFill>
        </w:rPr>
        <w:t>锦尚秀带、临港浦江国际科技城/东方智媒城、向阳园、马桥产业园</w:t>
      </w:r>
      <w:r>
        <w:rPr>
          <w:rFonts w:hint="default" w:ascii="Times New Roman" w:hAnsi="Times New Roman" w:eastAsia="仿宋_GB2312" w:cs="Times New Roman"/>
          <w:color w:val="000000" w:themeColor="text1"/>
          <w14:textFill>
            <w14:solidFill>
              <w14:schemeClr w14:val="tx1"/>
            </w14:solidFill>
          </w14:textFill>
        </w:rPr>
        <w:t>等</w:t>
      </w:r>
      <w:r>
        <w:rPr>
          <w:rFonts w:cs="Times New Roman"/>
        </w:rPr>
        <w:t>若干特色型现代服务业集聚区，形成全域联动、多点支撑、特色发展的局面。</w:t>
      </w:r>
    </w:p>
    <w:p>
      <w:pPr>
        <w:ind w:firstLine="0" w:firstLineChars="0"/>
        <w:rPr>
          <w:rFonts w:cs="Times New Roman"/>
        </w:rPr>
      </w:pPr>
      <w:r>
        <w:drawing>
          <wp:inline distT="0" distB="0" distL="114300" distR="114300">
            <wp:extent cx="5266690" cy="8687435"/>
            <wp:effectExtent l="0" t="0" r="3810"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5266690" cy="8687435"/>
                    </a:xfrm>
                    <a:prstGeom prst="rect">
                      <a:avLst/>
                    </a:prstGeom>
                    <a:noFill/>
                    <a:ln>
                      <a:noFill/>
                    </a:ln>
                  </pic:spPr>
                </pic:pic>
              </a:graphicData>
            </a:graphic>
          </wp:inline>
        </w:drawing>
      </w:r>
    </w:p>
    <w:p>
      <w:pPr>
        <w:pStyle w:val="2"/>
        <w:ind w:firstLine="643"/>
        <w:rPr>
          <w:rFonts w:cs="Times New Roman"/>
        </w:rPr>
      </w:pPr>
      <w:bookmarkStart w:id="208" w:name="_Toc201310198"/>
      <w:bookmarkStart w:id="209" w:name="_Toc18320"/>
      <w:bookmarkStart w:id="210" w:name="_Toc9908"/>
      <w:bookmarkStart w:id="211" w:name="_Toc2325"/>
      <w:bookmarkStart w:id="212" w:name="_Toc27037"/>
      <w:r>
        <w:rPr>
          <w:rFonts w:cs="Times New Roman"/>
        </w:rPr>
        <w:t>四、闵行区</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服务业发展的保障措施</w:t>
      </w:r>
      <w:bookmarkEnd w:id="208"/>
      <w:bookmarkEnd w:id="209"/>
      <w:bookmarkEnd w:id="210"/>
      <w:bookmarkEnd w:id="211"/>
      <w:bookmarkEnd w:id="212"/>
    </w:p>
    <w:p>
      <w:pPr>
        <w:pStyle w:val="3"/>
        <w:ind w:firstLine="643"/>
        <w:rPr>
          <w:rFonts w:cs="Times New Roman"/>
        </w:rPr>
      </w:pPr>
      <w:bookmarkStart w:id="213" w:name="_Toc29592"/>
      <w:bookmarkStart w:id="214" w:name="_Toc23056"/>
      <w:bookmarkStart w:id="215" w:name="_Toc780"/>
      <w:bookmarkStart w:id="216" w:name="_Toc12170"/>
      <w:r>
        <w:rPr>
          <w:rFonts w:cs="Times New Roman"/>
        </w:rPr>
        <w:t>（一）</w:t>
      </w:r>
      <w:bookmarkStart w:id="217" w:name="_Hlk202793140"/>
      <w:r>
        <w:rPr>
          <w:rFonts w:cs="Times New Roman"/>
        </w:rPr>
        <w:t>健全产业发展跨部门协调机制</w:t>
      </w:r>
      <w:bookmarkEnd w:id="213"/>
      <w:bookmarkEnd w:id="214"/>
      <w:bookmarkEnd w:id="215"/>
      <w:bookmarkEnd w:id="216"/>
      <w:bookmarkEnd w:id="217"/>
    </w:p>
    <w:p>
      <w:pPr>
        <w:ind w:firstLine="640"/>
        <w:rPr>
          <w:rFonts w:cs="Times New Roman"/>
        </w:rPr>
      </w:pPr>
      <w:r>
        <w:rPr>
          <w:rFonts w:cs="Times New Roman"/>
        </w:rPr>
        <w:t>明确</w:t>
      </w:r>
      <w:r>
        <w:rPr>
          <w:rFonts w:hint="default" w:cs="Times New Roman"/>
          <w:lang w:val="en-US" w:eastAsia="zh-CN"/>
        </w:rPr>
        <w:t>区发改委、</w:t>
      </w:r>
      <w:r>
        <w:rPr>
          <w:rFonts w:cs="Times New Roman"/>
        </w:rPr>
        <w:t>区商务委牵头职责定位，建立区级服务业工作推进例会机制</w:t>
      </w:r>
      <w:r>
        <w:rPr>
          <w:rFonts w:hint="default" w:cs="Times New Roman"/>
          <w:lang w:val="en-US" w:eastAsia="zh-CN"/>
        </w:rPr>
        <w:t>与</w:t>
      </w:r>
      <w:r>
        <w:rPr>
          <w:rFonts w:cs="Times New Roman"/>
        </w:rPr>
        <w:t>常态化会商制度。</w:t>
      </w:r>
      <w:r>
        <w:rPr>
          <w:rFonts w:ascii="Times New Roman" w:hAnsi="Times New Roman" w:eastAsia="仿宋_GB2312" w:cs="Times New Roman"/>
          <w:sz w:val="32"/>
          <w:szCs w:val="24"/>
        </w:rPr>
        <w:t>围绕“3+4”服务业体系明晰分工</w:t>
      </w:r>
      <w:r>
        <w:rPr>
          <w:rFonts w:hint="eastAsia" w:cs="Times New Roman"/>
          <w:sz w:val="32"/>
          <w:szCs w:val="24"/>
          <w:lang w:eastAsia="zh-CN"/>
        </w:rPr>
        <w:t>，</w:t>
      </w:r>
      <w:r>
        <w:rPr>
          <w:rFonts w:cs="Times New Roman"/>
        </w:rPr>
        <w:t>高端商贸服务、人力资源服务、</w:t>
      </w:r>
      <w:r>
        <w:rPr>
          <w:rFonts w:hint="default" w:cs="Times New Roman"/>
          <w:lang w:eastAsia="zh-CN"/>
        </w:rPr>
        <w:t>专业法律服务</w:t>
      </w:r>
      <w:r>
        <w:rPr>
          <w:rFonts w:cs="Times New Roman"/>
        </w:rPr>
        <w:t>、现代金融服务等</w:t>
      </w:r>
      <w:r>
        <w:rPr>
          <w:rFonts w:ascii="Times New Roman" w:hAnsi="Times New Roman" w:eastAsia="仿宋_GB2312" w:cs="Times New Roman"/>
          <w:sz w:val="32"/>
          <w:szCs w:val="24"/>
        </w:rPr>
        <w:t>由对应行业主管部门牵头落实</w:t>
      </w:r>
      <w:r>
        <w:rPr>
          <w:rFonts w:hint="eastAsia" w:cs="Times New Roman"/>
          <w:sz w:val="32"/>
          <w:szCs w:val="24"/>
          <w:lang w:eastAsia="zh-CN"/>
        </w:rPr>
        <w:t>；</w:t>
      </w:r>
      <w:r>
        <w:rPr>
          <w:rFonts w:ascii="Times New Roman" w:hAnsi="Times New Roman" w:eastAsia="仿宋_GB2312" w:cs="Times New Roman"/>
          <w:sz w:val="32"/>
          <w:szCs w:val="24"/>
        </w:rPr>
        <w:t>新型制造服务</w:t>
      </w:r>
      <w:r>
        <w:rPr>
          <w:rFonts w:hint="eastAsia" w:cs="Times New Roman"/>
          <w:sz w:val="32"/>
          <w:szCs w:val="24"/>
          <w:lang w:eastAsia="zh-CN"/>
        </w:rPr>
        <w:t>、</w:t>
      </w:r>
      <w:r>
        <w:rPr>
          <w:rFonts w:hint="eastAsia" w:cs="Times New Roman"/>
          <w:sz w:val="32"/>
          <w:szCs w:val="24"/>
          <w:lang w:val="en-US" w:eastAsia="zh-CN"/>
        </w:rPr>
        <w:t>数字创意服务、医疗健康服务分别由区经委、区文创办、区卫健委统筹推进</w:t>
      </w:r>
      <w:r>
        <w:rPr>
          <w:rFonts w:ascii="Times New Roman" w:hAnsi="Times New Roman" w:eastAsia="仿宋_GB2312" w:cs="Times New Roman"/>
          <w:sz w:val="32"/>
          <w:szCs w:val="24"/>
        </w:rPr>
        <w:t>，提升跨部门治理效能。</w:t>
      </w:r>
    </w:p>
    <w:p>
      <w:pPr>
        <w:pStyle w:val="3"/>
        <w:ind w:firstLine="643"/>
        <w:rPr>
          <w:rFonts w:cs="Times New Roman"/>
        </w:rPr>
      </w:pPr>
      <w:bookmarkStart w:id="218" w:name="_Toc24093"/>
      <w:bookmarkStart w:id="219" w:name="_Toc30635"/>
      <w:bookmarkStart w:id="220" w:name="_Toc30730"/>
      <w:bookmarkStart w:id="221" w:name="_Toc201310203"/>
      <w:bookmarkStart w:id="222" w:name="_Toc19745"/>
      <w:bookmarkStart w:id="223" w:name="_Toc201310202"/>
      <w:r>
        <w:rPr>
          <w:rFonts w:cs="Times New Roman"/>
        </w:rPr>
        <w:t>（二）</w:t>
      </w:r>
      <w:bookmarkStart w:id="224" w:name="_Hlk202793147"/>
      <w:r>
        <w:rPr>
          <w:rFonts w:cs="Times New Roman"/>
        </w:rPr>
        <w:t>夯实服务业发展人才基础</w:t>
      </w:r>
      <w:bookmarkEnd w:id="218"/>
      <w:bookmarkEnd w:id="219"/>
      <w:bookmarkEnd w:id="220"/>
      <w:bookmarkEnd w:id="221"/>
      <w:bookmarkEnd w:id="222"/>
      <w:bookmarkEnd w:id="224"/>
    </w:p>
    <w:p>
      <w:pPr>
        <w:ind w:firstLine="640"/>
        <w:rPr>
          <w:rFonts w:cs="Times New Roman"/>
        </w:rPr>
      </w:pPr>
      <w:r>
        <w:rPr>
          <w:rFonts w:cs="Times New Roman"/>
          <w:b/>
          <w:bCs/>
        </w:rPr>
        <w:t>实施服务业人才专项计划</w:t>
      </w:r>
      <w:r>
        <w:rPr>
          <w:rFonts w:hint="eastAsia" w:cs="Times New Roman"/>
          <w:b w:val="0"/>
          <w:bCs w:val="0"/>
          <w:lang w:eastAsia="zh-CN"/>
        </w:rPr>
        <w:t>，</w:t>
      </w:r>
      <w:r>
        <w:rPr>
          <w:rFonts w:ascii="Times New Roman" w:hAnsi="Times New Roman" w:eastAsia="仿宋_GB2312" w:cs="Times New Roman"/>
          <w:sz w:val="32"/>
          <w:szCs w:val="24"/>
        </w:rPr>
        <w:t>依托“春申金字塔人才计划”，加大总部经济、数字贸易、专业服务等领域人才引进力度，完善落户、安居、子女教育等配套政策，优化海外人才一站式服务，推进外籍人才居留便利化试点。</w:t>
      </w:r>
      <w:r>
        <w:rPr>
          <w:rFonts w:hint="eastAsia" w:cs="Times New Roman"/>
          <w:b/>
          <w:bCs/>
          <w:lang w:val="en-US" w:eastAsia="zh-CN"/>
        </w:rPr>
        <w:t>推</w:t>
      </w:r>
      <w:r>
        <w:rPr>
          <w:rFonts w:cs="Times New Roman"/>
          <w:b/>
          <w:bCs/>
        </w:rPr>
        <w:t>动产教融合协同育才</w:t>
      </w:r>
      <w:r>
        <w:rPr>
          <w:rFonts w:hint="eastAsia" w:cs="Times New Roman"/>
          <w:b w:val="0"/>
          <w:bCs w:val="0"/>
          <w:lang w:eastAsia="zh-CN"/>
        </w:rPr>
        <w:t>，</w:t>
      </w:r>
      <w:r>
        <w:rPr>
          <w:rFonts w:cs="Times New Roman"/>
        </w:rPr>
        <w:t>支持</w:t>
      </w:r>
      <w:r>
        <w:rPr>
          <w:rFonts w:hint="eastAsia" w:cs="Times New Roman"/>
          <w:lang w:val="en-US" w:eastAsia="zh-CN"/>
        </w:rPr>
        <w:t>校企共建</w:t>
      </w:r>
      <w:r>
        <w:rPr>
          <w:rFonts w:cs="Times New Roman"/>
        </w:rPr>
        <w:t>课程</w:t>
      </w:r>
      <w:r>
        <w:rPr>
          <w:rFonts w:hint="eastAsia" w:cs="Times New Roman"/>
          <w:lang w:val="en-US" w:eastAsia="zh-CN"/>
        </w:rPr>
        <w:t>和</w:t>
      </w:r>
      <w:r>
        <w:rPr>
          <w:rFonts w:cs="Times New Roman"/>
        </w:rPr>
        <w:t>实训基</w:t>
      </w:r>
      <w:r>
        <w:rPr>
          <w:rFonts w:hint="eastAsia" w:cs="Times New Roman"/>
        </w:rPr>
        <w:t>地，</w:t>
      </w:r>
      <w:r>
        <w:rPr>
          <w:rFonts w:hint="eastAsia" w:cs="Times New Roman"/>
          <w:lang w:val="en-US" w:eastAsia="zh-CN"/>
        </w:rPr>
        <w:t>定向</w:t>
      </w:r>
      <w:r>
        <w:rPr>
          <w:rFonts w:hint="eastAsia" w:ascii="Times New Roman" w:hAnsi="Times New Roman" w:eastAsia="仿宋_GB2312" w:cs="Times New Roman"/>
          <w:sz w:val="32"/>
          <w:szCs w:val="24"/>
        </w:rPr>
        <w:t>培养适配产业需求的专业人才。</w:t>
      </w:r>
      <w:r>
        <w:rPr>
          <w:rFonts w:cs="Times New Roman"/>
          <w:b/>
          <w:bCs/>
        </w:rPr>
        <w:t>加快紧缺</w:t>
      </w:r>
      <w:r>
        <w:rPr>
          <w:rFonts w:hint="eastAsia" w:cs="Times New Roman"/>
          <w:b/>
          <w:bCs/>
          <w:lang w:val="en-US" w:eastAsia="zh-CN"/>
        </w:rPr>
        <w:t>技能</w:t>
      </w:r>
      <w:r>
        <w:rPr>
          <w:rFonts w:cs="Times New Roman"/>
          <w:b/>
          <w:bCs/>
        </w:rPr>
        <w:t>人才供给</w:t>
      </w:r>
      <w:r>
        <w:rPr>
          <w:rFonts w:hint="eastAsia" w:cs="Times New Roman"/>
          <w:b w:val="0"/>
          <w:bCs w:val="0"/>
          <w:lang w:eastAsia="zh-CN"/>
        </w:rPr>
        <w:t>，</w:t>
      </w:r>
      <w:r>
        <w:rPr>
          <w:rFonts w:cs="Times New Roman"/>
        </w:rPr>
        <w:t>支持新型学徒制培训</w:t>
      </w:r>
      <w:r>
        <w:rPr>
          <w:rFonts w:hint="eastAsia" w:cs="Times New Roman"/>
          <w:lang w:eastAsia="zh-CN"/>
        </w:rPr>
        <w:t>，</w:t>
      </w:r>
      <w:r>
        <w:rPr>
          <w:rFonts w:cs="Times New Roman"/>
        </w:rPr>
        <w:t>建设区级现代服务业实训平台，形成集</w:t>
      </w:r>
      <w:r>
        <w:rPr>
          <w:rFonts w:hint="default" w:ascii="Times New Roman" w:hAnsi="Times New Roman" w:cs="Times New Roman"/>
          <w:lang w:eastAsia="zh-CN"/>
        </w:rPr>
        <w:t>“</w:t>
      </w:r>
      <w:r>
        <w:rPr>
          <w:rFonts w:cs="Times New Roman"/>
        </w:rPr>
        <w:t>培训+考评+认证+就业</w:t>
      </w:r>
      <w:r>
        <w:rPr>
          <w:rFonts w:hint="default" w:ascii="Times New Roman" w:hAnsi="Times New Roman" w:cs="Times New Roman"/>
          <w:lang w:eastAsia="zh-CN"/>
        </w:rPr>
        <w:t>”</w:t>
      </w:r>
      <w:r>
        <w:rPr>
          <w:rFonts w:cs="Times New Roman"/>
        </w:rPr>
        <w:t>的服务体系。</w:t>
      </w:r>
    </w:p>
    <w:p>
      <w:pPr>
        <w:pStyle w:val="3"/>
        <w:ind w:firstLine="643"/>
        <w:rPr>
          <w:rFonts w:cs="Times New Roman"/>
        </w:rPr>
      </w:pPr>
      <w:bookmarkStart w:id="225" w:name="_Toc30750"/>
      <w:bookmarkStart w:id="226" w:name="_Toc201310204"/>
      <w:bookmarkStart w:id="227" w:name="_Toc25193"/>
      <w:bookmarkStart w:id="228" w:name="_Toc27161"/>
      <w:bookmarkStart w:id="229" w:name="_Toc24974"/>
      <w:r>
        <w:rPr>
          <w:rFonts w:cs="Times New Roman"/>
        </w:rPr>
        <w:t>（三）</w:t>
      </w:r>
      <w:bookmarkStart w:id="230" w:name="_Hlk202793153"/>
      <w:r>
        <w:rPr>
          <w:rFonts w:cs="Times New Roman"/>
        </w:rPr>
        <w:t>强化资金资源保障能力</w:t>
      </w:r>
      <w:bookmarkEnd w:id="225"/>
      <w:bookmarkEnd w:id="226"/>
      <w:bookmarkEnd w:id="227"/>
      <w:bookmarkEnd w:id="228"/>
      <w:bookmarkEnd w:id="229"/>
      <w:bookmarkEnd w:id="230"/>
    </w:p>
    <w:p>
      <w:pPr>
        <w:ind w:firstLine="640"/>
        <w:rPr>
          <w:rFonts w:ascii="Times New Roman" w:hAnsi="Times New Roman" w:eastAsia="仿宋_GB2312" w:cs="Times New Roman"/>
          <w:sz w:val="32"/>
          <w:szCs w:val="24"/>
        </w:rPr>
      </w:pPr>
      <w:r>
        <w:rPr>
          <w:rFonts w:cs="Times New Roman"/>
          <w:b/>
          <w:bCs/>
        </w:rPr>
        <w:t>优化财政资金使用</w:t>
      </w:r>
      <w:r>
        <w:rPr>
          <w:rFonts w:hint="eastAsia" w:cs="Times New Roman"/>
          <w:b/>
          <w:bCs/>
          <w:lang w:eastAsia="zh-CN"/>
        </w:rPr>
        <w:t>，</w:t>
      </w:r>
      <w:r>
        <w:rPr>
          <w:rFonts w:hint="eastAsia" w:cs="Times New Roman"/>
          <w:lang w:val="en-US" w:eastAsia="zh-CN"/>
        </w:rPr>
        <w:t>用好</w:t>
      </w:r>
      <w:r>
        <w:rPr>
          <w:rFonts w:cs="Times New Roman"/>
        </w:rPr>
        <w:t>服务业市引导资金及</w:t>
      </w:r>
      <w:r>
        <w:rPr>
          <w:rFonts w:hint="default" w:cs="Times New Roman"/>
          <w:lang w:val="en-US" w:eastAsia="zh-CN"/>
        </w:rPr>
        <w:t>区级</w:t>
      </w:r>
      <w:r>
        <w:rPr>
          <w:rFonts w:cs="Times New Roman"/>
        </w:rPr>
        <w:t>配套资金</w:t>
      </w:r>
      <w:r>
        <w:rPr>
          <w:rFonts w:hint="eastAsia" w:cs="Times New Roman"/>
          <w:lang w:eastAsia="zh-CN"/>
        </w:rPr>
        <w:t>，</w:t>
      </w:r>
      <w:r>
        <w:rPr>
          <w:rFonts w:hint="eastAsia" w:cs="Times New Roman"/>
          <w:lang w:val="en-US" w:eastAsia="zh-CN"/>
        </w:rPr>
        <w:t>发挥</w:t>
      </w:r>
      <w:r>
        <w:rPr>
          <w:rFonts w:hint="default" w:cs="Times New Roman"/>
          <w:lang w:val="en-US" w:eastAsia="zh-CN"/>
        </w:rPr>
        <w:t>区服务业政策专项资金作用</w:t>
      </w:r>
      <w:r>
        <w:rPr>
          <w:rFonts w:hint="eastAsia" w:cs="Times New Roman"/>
          <w:lang w:val="en-US" w:eastAsia="zh-CN"/>
        </w:rPr>
        <w:t>，</w:t>
      </w:r>
      <w:r>
        <w:rPr>
          <w:rFonts w:cs="Times New Roman"/>
        </w:rPr>
        <w:t>精准支持重点领域和中小企业发展。</w:t>
      </w:r>
      <w:r>
        <w:rPr>
          <w:rFonts w:cs="Times New Roman"/>
          <w:b/>
          <w:bCs/>
        </w:rPr>
        <w:t>完善服务业金融支持体系。</w:t>
      </w:r>
      <w:r>
        <w:rPr>
          <w:rFonts w:cs="Times New Roman"/>
        </w:rPr>
        <w:t>引导金融机构创新订单融资、知识产权质押等多样化融资方式</w:t>
      </w:r>
      <w:r>
        <w:rPr>
          <w:rFonts w:hint="eastAsia" w:cs="Times New Roman"/>
          <w:lang w:eastAsia="zh-CN"/>
        </w:rPr>
        <w:t>，</w:t>
      </w:r>
      <w:r>
        <w:rPr>
          <w:rFonts w:hint="eastAsia" w:cs="Times New Roman"/>
          <w:lang w:val="en-US" w:eastAsia="zh-CN"/>
        </w:rPr>
        <w:t>健全</w:t>
      </w:r>
      <w:r>
        <w:rPr>
          <w:rFonts w:hint="default" w:ascii="Times New Roman" w:hAnsi="Times New Roman" w:cs="Times New Roman"/>
          <w:lang w:eastAsia="zh-CN"/>
        </w:rPr>
        <w:t>“</w:t>
      </w:r>
      <w:r>
        <w:rPr>
          <w:rFonts w:cs="Times New Roman"/>
        </w:rPr>
        <w:t>融资+担保+风投</w:t>
      </w:r>
      <w:r>
        <w:rPr>
          <w:rFonts w:hint="default" w:ascii="Times New Roman" w:hAnsi="Times New Roman" w:cs="Times New Roman"/>
          <w:lang w:eastAsia="zh-CN"/>
        </w:rPr>
        <w:t>”</w:t>
      </w:r>
      <w:r>
        <w:rPr>
          <w:rFonts w:cs="Times New Roman"/>
        </w:rPr>
        <w:t>联动机制</w:t>
      </w:r>
      <w:r>
        <w:rPr>
          <w:rFonts w:hint="eastAsia" w:cs="Times New Roman"/>
          <w:lang w:eastAsia="zh-CN"/>
        </w:rPr>
        <w:t>，</w:t>
      </w:r>
      <w:r>
        <w:rPr>
          <w:rFonts w:ascii="Times New Roman" w:hAnsi="Times New Roman" w:eastAsia="仿宋_GB2312" w:cs="Times New Roman"/>
          <w:sz w:val="32"/>
          <w:szCs w:val="24"/>
        </w:rPr>
        <w:t>支持算力、数据资产金融创新，推广普惠保险与知识产权证券化试点</w:t>
      </w:r>
      <w:r>
        <w:rPr>
          <w:rFonts w:cs="Times New Roman"/>
        </w:rPr>
        <w:t>，</w:t>
      </w:r>
      <w:r>
        <w:rPr>
          <w:rFonts w:ascii="Times New Roman" w:hAnsi="Times New Roman" w:eastAsia="仿宋_GB2312" w:cs="Times New Roman"/>
          <w:sz w:val="32"/>
          <w:szCs w:val="24"/>
        </w:rPr>
        <w:t>加大对创新型服务企业的扶持。</w:t>
      </w:r>
    </w:p>
    <w:p>
      <w:pPr>
        <w:rPr>
          <w:rFonts w:cs="Times New Roman"/>
        </w:rPr>
      </w:pPr>
      <w:bookmarkStart w:id="231" w:name="_Toc12782"/>
      <w:bookmarkStart w:id="232" w:name="_Toc21954"/>
      <w:bookmarkStart w:id="233" w:name="_Toc6125"/>
      <w:bookmarkStart w:id="234" w:name="_Toc984"/>
      <w:r>
        <w:rPr>
          <w:rFonts w:eastAsia="楷体_GB2312" w:cs="Times New Roman"/>
          <w:b/>
          <w:szCs w:val="40"/>
        </w:rPr>
        <w:t>（四）</w:t>
      </w:r>
      <w:bookmarkStart w:id="235" w:name="_Hlk202793160"/>
      <w:r>
        <w:rPr>
          <w:rFonts w:hint="default" w:eastAsia="楷体_GB2312" w:cs="Times New Roman"/>
          <w:b/>
          <w:szCs w:val="40"/>
          <w:lang w:val="en-US" w:eastAsia="zh-CN"/>
        </w:rPr>
        <w:t>促进商务载体资源更新升级</w:t>
      </w:r>
      <w:bookmarkEnd w:id="223"/>
      <w:bookmarkEnd w:id="231"/>
      <w:bookmarkEnd w:id="232"/>
      <w:bookmarkEnd w:id="233"/>
      <w:bookmarkEnd w:id="234"/>
      <w:bookmarkEnd w:id="235"/>
    </w:p>
    <w:p>
      <w:pPr>
        <w:ind w:firstLine="640"/>
        <w:rPr>
          <w:rFonts w:ascii="Times New Roman" w:hAnsi="Times New Roman" w:eastAsia="仿宋_GB2312" w:cs="Times New Roman"/>
          <w:sz w:val="32"/>
          <w:szCs w:val="24"/>
        </w:rPr>
      </w:pPr>
      <w:r>
        <w:rPr>
          <w:rFonts w:ascii="Times New Roman" w:hAnsi="Times New Roman" w:eastAsia="仿宋_GB2312" w:cs="Times New Roman"/>
          <w:sz w:val="32"/>
          <w:szCs w:val="24"/>
        </w:rPr>
        <w:t>落实市级楼宇更新要求，推进全区商务楼宇提质改造，</w:t>
      </w:r>
      <w:r>
        <w:rPr>
          <w:rFonts w:hint="eastAsia" w:cs="Times New Roman"/>
          <w:sz w:val="32"/>
          <w:szCs w:val="24"/>
          <w:lang w:val="en-US" w:eastAsia="zh-CN"/>
        </w:rPr>
        <w:t>建立楼宇资源动态监测机制和分类更新方案，</w:t>
      </w:r>
      <w:r>
        <w:rPr>
          <w:rFonts w:ascii="Times New Roman" w:hAnsi="Times New Roman" w:eastAsia="仿宋_GB2312" w:cs="Times New Roman"/>
          <w:sz w:val="32"/>
          <w:szCs w:val="24"/>
        </w:rPr>
        <w:t>完善改造支持政策。</w:t>
      </w:r>
      <w:r>
        <w:rPr>
          <w:rFonts w:hint="eastAsia" w:cs="Times New Roman"/>
          <w:sz w:val="32"/>
          <w:szCs w:val="24"/>
          <w:lang w:val="en-US" w:eastAsia="zh-CN"/>
        </w:rPr>
        <w:t>深化</w:t>
      </w:r>
      <w:r>
        <w:rPr>
          <w:rFonts w:ascii="Times New Roman" w:hAnsi="Times New Roman" w:eastAsia="仿宋_GB2312" w:cs="Times New Roman"/>
          <w:sz w:val="32"/>
          <w:szCs w:val="24"/>
        </w:rPr>
        <w:t>推进混合用地、弹性规划试点，融入复合功能，打造适配新业态的高弹性空间载体，</w:t>
      </w:r>
      <w:r>
        <w:rPr>
          <w:rFonts w:hint="eastAsia" w:cs="Times New Roman"/>
          <w:lang w:val="en-US" w:eastAsia="zh-CN"/>
        </w:rPr>
        <w:t>提升</w:t>
      </w:r>
      <w:r>
        <w:rPr>
          <w:rFonts w:cs="Times New Roman"/>
        </w:rPr>
        <w:t>商务载体承载能力与空间品质</w:t>
      </w:r>
      <w:r>
        <w:rPr>
          <w:rFonts w:hint="eastAsia" w:cs="Times New Roman"/>
          <w:lang w:eastAsia="zh-CN"/>
        </w:rPr>
        <w:t>，</w:t>
      </w:r>
      <w:r>
        <w:rPr>
          <w:rFonts w:ascii="Times New Roman" w:hAnsi="Times New Roman" w:eastAsia="仿宋_GB2312" w:cs="Times New Roman"/>
          <w:sz w:val="32"/>
          <w:szCs w:val="24"/>
        </w:rPr>
        <w:t>优化服务业发展空间布局。</w:t>
      </w:r>
    </w:p>
    <w:p>
      <w:pPr>
        <w:pStyle w:val="3"/>
        <w:ind w:firstLine="643"/>
        <w:rPr>
          <w:rFonts w:hint="default" w:eastAsia="楷体_GB2312" w:cs="Times New Roman"/>
          <w:lang w:val="en-US" w:eastAsia="zh-CN"/>
        </w:rPr>
      </w:pPr>
      <w:bookmarkStart w:id="236" w:name="_Toc201310205"/>
      <w:bookmarkStart w:id="237" w:name="_Toc15343"/>
      <w:bookmarkStart w:id="238" w:name="_Toc13697"/>
      <w:bookmarkStart w:id="239" w:name="_Toc14720"/>
      <w:bookmarkStart w:id="240" w:name="_Toc4298"/>
      <w:r>
        <w:rPr>
          <w:rFonts w:cs="Times New Roman"/>
        </w:rPr>
        <w:t>（五）</w:t>
      </w:r>
      <w:bookmarkStart w:id="241" w:name="_Hlk202793166"/>
      <w:r>
        <w:rPr>
          <w:rFonts w:cs="Times New Roman"/>
        </w:rPr>
        <w:t>完善统计监测</w:t>
      </w:r>
      <w:bookmarkEnd w:id="236"/>
      <w:bookmarkEnd w:id="237"/>
      <w:bookmarkEnd w:id="238"/>
      <w:bookmarkEnd w:id="239"/>
      <w:bookmarkEnd w:id="241"/>
      <w:r>
        <w:rPr>
          <w:rFonts w:hint="default" w:cs="Times New Roman"/>
          <w:lang w:val="en-US" w:eastAsia="zh-CN"/>
        </w:rPr>
        <w:t>与</w:t>
      </w:r>
      <w:bookmarkEnd w:id="240"/>
      <w:r>
        <w:rPr>
          <w:rFonts w:hint="default" w:cs="Times New Roman"/>
          <w:lang w:val="en-US" w:eastAsia="zh-CN"/>
        </w:rPr>
        <w:t>组织实施机制</w:t>
      </w:r>
    </w:p>
    <w:p>
      <w:pPr>
        <w:ind w:firstLine="640"/>
        <w:rPr>
          <w:rFonts w:cs="Times New Roman"/>
        </w:rPr>
      </w:pPr>
      <w:bookmarkStart w:id="242" w:name="_Hlk199251085"/>
      <w:r>
        <w:rPr>
          <w:rFonts w:cs="Times New Roman"/>
        </w:rPr>
        <w:t>完善</w:t>
      </w:r>
      <w:r>
        <w:rPr>
          <w:rFonts w:hint="eastAsia" w:cs="Times New Roman"/>
          <w:lang w:val="en-US" w:eastAsia="zh-CN"/>
        </w:rPr>
        <w:t>三大支柱服务业统计分类与</w:t>
      </w:r>
      <w:r>
        <w:rPr>
          <w:rFonts w:cs="Times New Roman"/>
        </w:rPr>
        <w:t>常态化监测，加快探索建立</w:t>
      </w:r>
      <w:r>
        <w:rPr>
          <w:rFonts w:hint="default" w:ascii="Times New Roman" w:hAnsi="Times New Roman" w:cs="Times New Roman"/>
          <w:lang w:eastAsia="zh-CN"/>
        </w:rPr>
        <w:t>“</w:t>
      </w:r>
      <w:r>
        <w:rPr>
          <w:rFonts w:cs="Times New Roman"/>
        </w:rPr>
        <w:t>两业</w:t>
      </w:r>
      <w:r>
        <w:rPr>
          <w:rFonts w:hint="default" w:ascii="Times New Roman" w:hAnsi="Times New Roman" w:cs="Times New Roman"/>
          <w:lang w:eastAsia="zh-CN"/>
        </w:rPr>
        <w:t>”</w:t>
      </w:r>
      <w:r>
        <w:rPr>
          <w:rFonts w:cs="Times New Roman"/>
        </w:rPr>
        <w:t>融合统计调查制度，测算</w:t>
      </w:r>
      <w:r>
        <w:rPr>
          <w:rFonts w:hint="default" w:ascii="Times New Roman" w:hAnsi="Times New Roman" w:cs="Times New Roman"/>
          <w:lang w:eastAsia="zh-CN"/>
        </w:rPr>
        <w:t>“</w:t>
      </w:r>
      <w:r>
        <w:rPr>
          <w:rFonts w:cs="Times New Roman"/>
        </w:rPr>
        <w:t>两业</w:t>
      </w:r>
      <w:r>
        <w:rPr>
          <w:rFonts w:hint="default" w:ascii="Times New Roman" w:hAnsi="Times New Roman" w:cs="Times New Roman"/>
          <w:lang w:eastAsia="zh-CN"/>
        </w:rPr>
        <w:t>”</w:t>
      </w:r>
      <w:r>
        <w:rPr>
          <w:rFonts w:cs="Times New Roman"/>
        </w:rPr>
        <w:t>融合发展指数和服务业综合指数。</w:t>
      </w:r>
      <w:r>
        <w:rPr>
          <w:rFonts w:ascii="Times New Roman" w:hAnsi="Times New Roman" w:eastAsia="仿宋_GB2312" w:cs="Times New Roman"/>
          <w:sz w:val="32"/>
          <w:szCs w:val="24"/>
        </w:rPr>
        <w:t>建立“五年规划-年度任务”分解机制，将目标任务细化至各部门、街镇，强化督查考核与阶段性评估，动态优化实施路径，保障规划落地见效。</w:t>
      </w:r>
    </w:p>
    <w:p>
      <w:pPr>
        <w:ind w:firstLine="640"/>
        <w:rPr>
          <w:rFonts w:cs="Times New Roman"/>
          <w:b/>
          <w:bCs/>
        </w:rPr>
        <w:sectPr>
          <w:footnotePr>
            <w:numFmt w:val="decimal"/>
          </w:footnote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435" w:charSpace="0"/>
        </w:sectPr>
      </w:pPr>
    </w:p>
    <w:bookmarkEnd w:id="242"/>
    <w:p>
      <w:pPr>
        <w:pStyle w:val="2"/>
        <w:tabs>
          <w:tab w:val="left" w:pos="239"/>
        </w:tabs>
        <w:ind w:firstLine="643"/>
        <w:jc w:val="center"/>
        <w:rPr>
          <w:rFonts w:cs="Times New Roman"/>
          <w:sz w:val="24"/>
        </w:rPr>
      </w:pPr>
      <w:bookmarkStart w:id="243" w:name="_Toc24575"/>
      <w:bookmarkStart w:id="244" w:name="_Toc201310206"/>
      <w:bookmarkStart w:id="245" w:name="_Toc2920"/>
      <w:bookmarkStart w:id="246" w:name="_Toc15319"/>
      <w:bookmarkStart w:id="247" w:name="_Toc21596"/>
      <w:r>
        <w:rPr>
          <w:rFonts w:cs="Times New Roman"/>
        </w:rPr>
        <w:t>附录一</w:t>
      </w:r>
      <w:r>
        <w:rPr>
          <w:rFonts w:hint="eastAsia" w:cs="Times New Roman"/>
          <w:lang w:val="en-US" w:eastAsia="zh-CN"/>
        </w:rPr>
        <w:t xml:space="preserve">  </w:t>
      </w:r>
      <w:r>
        <w:rPr>
          <w:rFonts w:cs="Times New Roman"/>
        </w:rPr>
        <w:t>闵行</w:t>
      </w:r>
      <w:r>
        <w:rPr>
          <w:rFonts w:hint="default" w:ascii="Times New Roman" w:hAnsi="Times New Roman" w:cs="Times New Roman"/>
          <w:lang w:eastAsia="zh-CN"/>
        </w:rPr>
        <w:t>“</w:t>
      </w:r>
      <w:r>
        <w:rPr>
          <w:rFonts w:cs="Times New Roman"/>
        </w:rPr>
        <w:t>十四五</w:t>
      </w:r>
      <w:r>
        <w:rPr>
          <w:rFonts w:hint="default" w:ascii="Times New Roman" w:hAnsi="Times New Roman" w:cs="Times New Roman"/>
          <w:lang w:eastAsia="zh-CN"/>
        </w:rPr>
        <w:t>”</w:t>
      </w:r>
      <w:r>
        <w:rPr>
          <w:rFonts w:cs="Times New Roman"/>
        </w:rPr>
        <w:t>时期服务业发展指标评估表</w:t>
      </w:r>
      <w:bookmarkEnd w:id="243"/>
      <w:bookmarkEnd w:id="244"/>
      <w:bookmarkEnd w:id="245"/>
      <w:bookmarkEnd w:id="246"/>
      <w:bookmarkEnd w:id="247"/>
    </w:p>
    <w:tbl>
      <w:tblPr>
        <w:tblStyle w:val="24"/>
        <w:tblW w:w="5724"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322"/>
        <w:gridCol w:w="1020"/>
        <w:gridCol w:w="1161"/>
        <w:gridCol w:w="1604"/>
        <w:gridCol w:w="1311"/>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452" w:type="pct"/>
            <w:vAlign w:val="center"/>
          </w:tcPr>
          <w:p>
            <w:pPr>
              <w:widowControl w:val="0"/>
              <w:spacing w:line="240" w:lineRule="auto"/>
              <w:ind w:firstLine="0" w:firstLineChars="0"/>
              <w:jc w:val="center"/>
              <w:rPr>
                <w:rFonts w:cs="Times New Roman"/>
                <w:b/>
                <w:bCs/>
                <w:kern w:val="0"/>
                <w:sz w:val="24"/>
                <w:szCs w:val="24"/>
                <w14:ligatures w14:val="none"/>
              </w:rPr>
            </w:pPr>
            <w:r>
              <w:rPr>
                <w:rFonts w:cs="Times New Roman"/>
                <w:b/>
                <w:bCs/>
                <w:kern w:val="0"/>
                <w:sz w:val="24"/>
                <w:szCs w:val="24"/>
                <w14:ligatures w14:val="none"/>
              </w:rPr>
              <w:t>类别</w:t>
            </w:r>
          </w:p>
        </w:tc>
        <w:tc>
          <w:tcPr>
            <w:tcW w:w="1189" w:type="pct"/>
            <w:vAlign w:val="center"/>
          </w:tcPr>
          <w:p>
            <w:pPr>
              <w:widowControl w:val="0"/>
              <w:spacing w:line="240" w:lineRule="auto"/>
              <w:ind w:firstLine="0" w:firstLineChars="0"/>
              <w:jc w:val="center"/>
              <w:rPr>
                <w:rFonts w:cs="Times New Roman"/>
                <w:b/>
                <w:bCs/>
                <w:kern w:val="0"/>
                <w:sz w:val="24"/>
                <w:szCs w:val="24"/>
                <w14:ligatures w14:val="none"/>
              </w:rPr>
            </w:pPr>
            <w:r>
              <w:rPr>
                <w:rFonts w:cs="Times New Roman"/>
                <w:b/>
                <w:bCs/>
                <w:kern w:val="0"/>
                <w:sz w:val="24"/>
                <w:szCs w:val="24"/>
                <w14:ligatures w14:val="none"/>
              </w:rPr>
              <w:t>指标名称</w:t>
            </w:r>
          </w:p>
        </w:tc>
        <w:tc>
          <w:tcPr>
            <w:tcW w:w="522" w:type="pct"/>
            <w:vAlign w:val="center"/>
          </w:tcPr>
          <w:p>
            <w:pPr>
              <w:widowControl w:val="0"/>
              <w:spacing w:line="240" w:lineRule="auto"/>
              <w:ind w:firstLine="0" w:firstLineChars="0"/>
              <w:jc w:val="center"/>
              <w:rPr>
                <w:rFonts w:cs="Times New Roman"/>
                <w:b/>
                <w:bCs/>
                <w:kern w:val="0"/>
                <w:sz w:val="24"/>
                <w:szCs w:val="24"/>
                <w14:ligatures w14:val="none"/>
              </w:rPr>
            </w:pPr>
            <w:r>
              <w:rPr>
                <w:rFonts w:cs="Times New Roman"/>
                <w:b/>
                <w:bCs/>
                <w:kern w:val="0"/>
                <w:sz w:val="24"/>
                <w:szCs w:val="24"/>
                <w14:ligatures w14:val="none"/>
              </w:rPr>
              <w:t>单位</w:t>
            </w:r>
          </w:p>
        </w:tc>
        <w:tc>
          <w:tcPr>
            <w:tcW w:w="594" w:type="pct"/>
            <w:vAlign w:val="center"/>
          </w:tcPr>
          <w:p>
            <w:pPr>
              <w:widowControl w:val="0"/>
              <w:spacing w:line="240" w:lineRule="auto"/>
              <w:ind w:firstLine="0" w:firstLineChars="0"/>
              <w:jc w:val="center"/>
              <w:rPr>
                <w:rFonts w:cs="Times New Roman"/>
                <w:b/>
                <w:bCs/>
                <w:kern w:val="0"/>
                <w:sz w:val="24"/>
                <w:szCs w:val="24"/>
                <w14:ligatures w14:val="none"/>
              </w:rPr>
            </w:pPr>
            <w:r>
              <w:rPr>
                <w:rFonts w:cs="Times New Roman"/>
                <w:b/>
                <w:bCs/>
                <w:kern w:val="0"/>
                <w:sz w:val="24"/>
                <w:szCs w:val="24"/>
                <w14:ligatures w14:val="none"/>
              </w:rPr>
              <w:t>2020</w:t>
            </w:r>
            <w:r>
              <w:rPr>
                <w:rFonts w:cs="Times New Roman"/>
                <w:b/>
                <w:bCs/>
                <w:kern w:val="0"/>
                <w:sz w:val="24"/>
                <w:szCs w:val="24"/>
                <w14:ligatures w14:val="none"/>
              </w:rPr>
              <w:br w:type="textWrapping"/>
            </w:r>
            <w:r>
              <w:rPr>
                <w:rFonts w:cs="Times New Roman"/>
                <w:b/>
                <w:bCs/>
                <w:kern w:val="0"/>
                <w:sz w:val="24"/>
                <w:szCs w:val="24"/>
                <w14:ligatures w14:val="none"/>
              </w:rPr>
              <w:t>基期值</w:t>
            </w:r>
          </w:p>
        </w:tc>
        <w:tc>
          <w:tcPr>
            <w:tcW w:w="821" w:type="pct"/>
            <w:vAlign w:val="center"/>
          </w:tcPr>
          <w:p>
            <w:pPr>
              <w:widowControl w:val="0"/>
              <w:spacing w:line="240" w:lineRule="auto"/>
              <w:ind w:firstLine="0" w:firstLineChars="0"/>
              <w:jc w:val="center"/>
              <w:rPr>
                <w:rFonts w:cs="Times New Roman"/>
                <w:b/>
                <w:bCs/>
                <w:kern w:val="0"/>
                <w:sz w:val="24"/>
                <w:szCs w:val="24"/>
                <w14:ligatures w14:val="none"/>
              </w:rPr>
            </w:pPr>
            <w:r>
              <w:rPr>
                <w:rFonts w:cs="Times New Roman"/>
                <w:b/>
                <w:bCs/>
                <w:kern w:val="0"/>
                <w:sz w:val="24"/>
                <w:szCs w:val="24"/>
                <w14:ligatures w14:val="none"/>
              </w:rPr>
              <w:t>202</w:t>
            </w:r>
            <w:r>
              <w:rPr>
                <w:rFonts w:hint="default" w:ascii="Times New Roman" w:hAnsi="Times New Roman" w:cs="Times New Roman"/>
                <w:b/>
                <w:bCs/>
                <w:kern w:val="0"/>
                <w:sz w:val="24"/>
                <w:szCs w:val="24"/>
                <w:lang w:val="en-US" w:eastAsia="zh-CN"/>
                <w14:ligatures w14:val="none"/>
              </w:rPr>
              <w:t>5</w:t>
            </w:r>
            <w:r>
              <w:rPr>
                <w:rFonts w:cs="Times New Roman"/>
                <w:b/>
                <w:bCs/>
                <w:kern w:val="0"/>
                <w:sz w:val="24"/>
                <w:szCs w:val="24"/>
                <w14:ligatures w14:val="none"/>
              </w:rPr>
              <w:br w:type="textWrapping"/>
            </w:r>
            <w:r>
              <w:rPr>
                <w:rFonts w:cs="Times New Roman"/>
                <w:b/>
                <w:bCs/>
                <w:kern w:val="0"/>
                <w:sz w:val="24"/>
                <w:szCs w:val="24"/>
                <w14:ligatures w14:val="none"/>
              </w:rPr>
              <w:t>完成情况</w:t>
            </w:r>
          </w:p>
        </w:tc>
        <w:tc>
          <w:tcPr>
            <w:tcW w:w="671" w:type="pct"/>
            <w:vAlign w:val="center"/>
          </w:tcPr>
          <w:p>
            <w:pPr>
              <w:widowControl w:val="0"/>
              <w:spacing w:line="240" w:lineRule="auto"/>
              <w:ind w:firstLine="0" w:firstLineChars="0"/>
              <w:jc w:val="center"/>
              <w:rPr>
                <w:rFonts w:cs="Times New Roman"/>
                <w:b/>
                <w:bCs/>
                <w:kern w:val="0"/>
                <w:sz w:val="24"/>
                <w:szCs w:val="24"/>
                <w14:ligatures w14:val="none"/>
              </w:rPr>
            </w:pPr>
            <w:r>
              <w:rPr>
                <w:rFonts w:hint="default" w:ascii="Times New Roman" w:hAnsi="Times New Roman" w:cs="Times New Roman"/>
                <w:b/>
                <w:bCs/>
                <w:kern w:val="0"/>
                <w:sz w:val="24"/>
                <w:szCs w:val="24"/>
                <w:lang w:eastAsia="zh-CN"/>
                <w14:ligatures w14:val="none"/>
              </w:rPr>
              <w:t>“</w:t>
            </w:r>
            <w:r>
              <w:rPr>
                <w:rFonts w:cs="Times New Roman"/>
                <w:b/>
                <w:bCs/>
                <w:kern w:val="0"/>
                <w:sz w:val="24"/>
                <w:szCs w:val="24"/>
                <w14:ligatures w14:val="none"/>
              </w:rPr>
              <w:t>十四五</w:t>
            </w:r>
            <w:r>
              <w:rPr>
                <w:rFonts w:hint="default" w:ascii="Times New Roman" w:hAnsi="Times New Roman" w:cs="Times New Roman"/>
                <w:b/>
                <w:bCs/>
                <w:kern w:val="0"/>
                <w:sz w:val="24"/>
                <w:szCs w:val="24"/>
                <w:lang w:eastAsia="zh-CN"/>
                <w14:ligatures w14:val="none"/>
              </w:rPr>
              <w:t>”</w:t>
            </w:r>
            <w:r>
              <w:rPr>
                <w:rFonts w:cs="Times New Roman"/>
                <w:b/>
                <w:bCs/>
                <w:kern w:val="0"/>
                <w:sz w:val="24"/>
                <w:szCs w:val="24"/>
                <w14:ligatures w14:val="none"/>
              </w:rPr>
              <w:br w:type="textWrapping"/>
            </w:r>
            <w:r>
              <w:rPr>
                <w:rFonts w:cs="Times New Roman"/>
                <w:b/>
                <w:bCs/>
                <w:kern w:val="0"/>
                <w:sz w:val="24"/>
                <w:szCs w:val="24"/>
                <w14:ligatures w14:val="none"/>
              </w:rPr>
              <w:t>目标值</w:t>
            </w:r>
          </w:p>
        </w:tc>
        <w:tc>
          <w:tcPr>
            <w:tcW w:w="746" w:type="pct"/>
            <w:vAlign w:val="center"/>
          </w:tcPr>
          <w:p>
            <w:pPr>
              <w:widowControl w:val="0"/>
              <w:spacing w:line="240" w:lineRule="auto"/>
              <w:ind w:firstLine="0" w:firstLineChars="0"/>
              <w:jc w:val="center"/>
              <w:rPr>
                <w:rFonts w:cs="Times New Roman"/>
                <w:b/>
                <w:bCs/>
                <w:kern w:val="0"/>
                <w:sz w:val="24"/>
                <w:szCs w:val="24"/>
                <w14:ligatures w14:val="none"/>
              </w:rPr>
            </w:pPr>
            <w:r>
              <w:rPr>
                <w:rFonts w:cs="Times New Roman"/>
                <w:b/>
                <w:bCs/>
                <w:kern w:val="0"/>
                <w:sz w:val="24"/>
                <w:szCs w:val="24"/>
                <w14:ligatures w14:val="none"/>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restart"/>
            <w:vAlign w:val="center"/>
          </w:tcPr>
          <w:p>
            <w:pPr>
              <w:widowControl w:val="0"/>
              <w:spacing w:line="240" w:lineRule="auto"/>
              <w:ind w:firstLine="0" w:firstLineChars="0"/>
              <w:jc w:val="both"/>
              <w:rPr>
                <w:rFonts w:cs="Times New Roman"/>
                <w:b/>
                <w:bCs/>
                <w:kern w:val="0"/>
                <w:sz w:val="24"/>
                <w:szCs w:val="24"/>
                <w14:ligatures w14:val="none"/>
              </w:rPr>
            </w:pPr>
            <w:r>
              <w:rPr>
                <w:rFonts w:cs="Times New Roman"/>
                <w:b/>
                <w:bCs/>
                <w:kern w:val="0"/>
                <w:sz w:val="24"/>
                <w:szCs w:val="24"/>
                <w14:ligatures w14:val="none"/>
              </w:rPr>
              <w:t>产业</w:t>
            </w:r>
          </w:p>
          <w:p>
            <w:pPr>
              <w:widowControl w:val="0"/>
              <w:spacing w:line="240" w:lineRule="auto"/>
              <w:ind w:firstLine="0" w:firstLineChars="0"/>
              <w:jc w:val="both"/>
              <w:rPr>
                <w:rFonts w:cs="Times New Roman"/>
                <w:b/>
                <w:bCs/>
                <w:kern w:val="0"/>
                <w:sz w:val="24"/>
                <w:szCs w:val="24"/>
                <w14:ligatures w14:val="none"/>
              </w:rPr>
            </w:pPr>
            <w:r>
              <w:rPr>
                <w:rFonts w:cs="Times New Roman"/>
                <w:b/>
                <w:bCs/>
                <w:kern w:val="0"/>
                <w:sz w:val="24"/>
                <w:szCs w:val="24"/>
                <w14:ligatures w14:val="none"/>
              </w:rPr>
              <w:t>规模</w:t>
            </w:r>
            <w:r>
              <w:rPr>
                <w:rFonts w:cs="Times New Roman"/>
                <w:b/>
                <w:bCs/>
                <w:kern w:val="0"/>
                <w:sz w:val="24"/>
                <w:szCs w:val="24"/>
                <w14:ligatures w14:val="none"/>
              </w:rPr>
              <w:br w:type="textWrapping"/>
            </w:r>
            <w:r>
              <w:rPr>
                <w:rFonts w:cs="Times New Roman"/>
                <w:b/>
                <w:bCs/>
                <w:kern w:val="0"/>
                <w:sz w:val="24"/>
                <w:szCs w:val="24"/>
                <w14:ligatures w14:val="none"/>
              </w:rPr>
              <w:t>目标</w:t>
            </w:r>
          </w:p>
        </w:tc>
        <w:tc>
          <w:tcPr>
            <w:tcW w:w="1189" w:type="pct"/>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4"/>
                <w14:ligatures w14:val="none"/>
              </w:rPr>
              <w:t>第三产业增加值占全区生产总值比重</w:t>
            </w:r>
          </w:p>
        </w:tc>
        <w:tc>
          <w:tcPr>
            <w:tcW w:w="522"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64.4</w:t>
            </w:r>
          </w:p>
        </w:tc>
        <w:tc>
          <w:tcPr>
            <w:tcW w:w="821" w:type="pct"/>
            <w:vAlign w:val="center"/>
          </w:tcPr>
          <w:p>
            <w:pPr>
              <w:widowControl w:val="0"/>
              <w:spacing w:line="240" w:lineRule="auto"/>
              <w:ind w:firstLine="0" w:firstLineChars="0"/>
              <w:jc w:val="center"/>
              <w:rPr>
                <w:rFonts w:hint="default" w:cs="Times New Roman"/>
                <w:kern w:val="0"/>
                <w:sz w:val="24"/>
                <w:szCs w:val="24"/>
                <w14:ligatures w14:val="none"/>
              </w:rPr>
            </w:pPr>
            <w:r>
              <w:rPr>
                <w:rFonts w:hint="eastAsia" w:ascii="Times New Roman" w:hAnsi="Times New Roman" w:cs="Times New Roman"/>
                <w:kern w:val="0"/>
                <w:sz w:val="24"/>
                <w:szCs w:val="24"/>
                <w:lang w:eastAsia="zh-CN"/>
                <w14:ligatures w14:val="none"/>
              </w:rPr>
              <w:t>7</w:t>
            </w:r>
            <w:r>
              <w:rPr>
                <w:rFonts w:hint="eastAsia" w:ascii="Times New Roman" w:hAnsi="Times New Roman" w:cs="Times New Roman"/>
                <w:kern w:val="0"/>
                <w:sz w:val="24"/>
                <w:szCs w:val="24"/>
                <w:lang w:val="en-US" w:eastAsia="zh-CN"/>
                <w14:ligatures w14:val="none"/>
              </w:rPr>
              <w:t>4.1</w:t>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65左右</w:t>
            </w:r>
          </w:p>
        </w:tc>
        <w:tc>
          <w:tcPr>
            <w:tcW w:w="746" w:type="pct"/>
            <w:vAlign w:val="center"/>
          </w:tcPr>
          <w:p>
            <w:pPr>
              <w:widowControl w:val="0"/>
              <w:spacing w:line="240" w:lineRule="auto"/>
              <w:ind w:firstLine="0" w:firstLineChars="0"/>
              <w:jc w:val="center"/>
              <w:rPr>
                <w:rFonts w:hint="default" w:cs="Times New Roman"/>
                <w:kern w:val="0"/>
                <w:sz w:val="24"/>
                <w:szCs w:val="24"/>
                <w14:ligatures w14:val="none"/>
              </w:rPr>
            </w:pPr>
            <w:r>
              <w:rPr>
                <w:rFonts w:hint="default" w:ascii="Times New Roman" w:hAnsi="Times New Roman" w:cs="Times New Roman"/>
                <w:kern w:val="0"/>
                <w:sz w:val="24"/>
                <w:szCs w:val="24"/>
                <w:lang w:val="en-US" w:eastAsia="zh-CN"/>
                <w14:ligatures w14:val="none"/>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continue"/>
            <w:vAlign w:val="center"/>
          </w:tcPr>
          <w:p>
            <w:pPr>
              <w:widowControl w:val="0"/>
              <w:spacing w:line="240" w:lineRule="auto"/>
              <w:ind w:firstLine="0" w:firstLineChars="0"/>
              <w:jc w:val="both"/>
              <w:rPr>
                <w:rFonts w:cs="Times New Roman"/>
                <w:b/>
                <w:bCs/>
                <w:kern w:val="0"/>
                <w:sz w:val="24"/>
                <w:szCs w:val="24"/>
                <w14:ligatures w14:val="none"/>
              </w:rPr>
            </w:pPr>
          </w:p>
        </w:tc>
        <w:tc>
          <w:tcPr>
            <w:tcW w:w="1189" w:type="pct"/>
            <w:shd w:val="clear" w:color="auto" w:fill="auto"/>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4"/>
                <w14:ligatures w14:val="none"/>
              </w:rPr>
              <w:t>商品销售总额</w:t>
            </w:r>
          </w:p>
        </w:tc>
        <w:tc>
          <w:tcPr>
            <w:tcW w:w="522" w:type="pct"/>
            <w:shd w:val="clear" w:color="auto" w:fill="auto"/>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亿元</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6592.32</w:t>
            </w:r>
          </w:p>
        </w:tc>
        <w:tc>
          <w:tcPr>
            <w:tcW w:w="82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w:t>
            </w:r>
            <w:r>
              <w:rPr>
                <w:rFonts w:hint="default" w:ascii="Times New Roman" w:hAnsi="Times New Roman" w:cs="Times New Roman"/>
                <w:kern w:val="0"/>
                <w:sz w:val="24"/>
                <w:szCs w:val="24"/>
                <w:lang w:eastAsia="zh-CN"/>
                <w14:ligatures w14:val="none"/>
              </w:rPr>
              <w:t>8</w:t>
            </w:r>
            <w:r>
              <w:rPr>
                <w:rFonts w:hint="default" w:ascii="Times New Roman" w:hAnsi="Times New Roman" w:cs="Times New Roman"/>
                <w:kern w:val="0"/>
                <w:sz w:val="24"/>
                <w:szCs w:val="24"/>
                <w:lang w:val="en-US" w:eastAsia="zh-CN"/>
                <w14:ligatures w14:val="none"/>
              </w:rPr>
              <w:t>454.37</w:t>
            </w:r>
            <w:r>
              <w:rPr>
                <w:rStyle w:val="29"/>
                <w:rFonts w:cs="Times New Roman"/>
                <w:kern w:val="0"/>
                <w:sz w:val="24"/>
                <w:szCs w:val="24"/>
                <w14:ligatures w14:val="none"/>
              </w:rPr>
              <w:footnoteReference w:id="6"/>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≥7800</w:t>
            </w:r>
          </w:p>
        </w:tc>
        <w:tc>
          <w:tcPr>
            <w:tcW w:w="746"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continue"/>
            <w:vAlign w:val="center"/>
          </w:tcPr>
          <w:p>
            <w:pPr>
              <w:widowControl w:val="0"/>
              <w:spacing w:line="240" w:lineRule="auto"/>
              <w:ind w:firstLine="0" w:firstLineChars="0"/>
              <w:jc w:val="both"/>
              <w:rPr>
                <w:rFonts w:cs="Times New Roman"/>
                <w:b/>
                <w:bCs/>
                <w:kern w:val="0"/>
                <w:sz w:val="24"/>
                <w:szCs w:val="24"/>
                <w14:ligatures w14:val="none"/>
              </w:rPr>
            </w:pPr>
          </w:p>
        </w:tc>
        <w:tc>
          <w:tcPr>
            <w:tcW w:w="1189" w:type="pct"/>
            <w:shd w:val="clear" w:color="auto" w:fill="auto"/>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4"/>
                <w14:ligatures w14:val="none"/>
              </w:rPr>
              <w:t>社会消费品</w:t>
            </w:r>
            <w:r>
              <w:rPr>
                <w:rFonts w:cs="Times New Roman"/>
                <w:kern w:val="0"/>
                <w:sz w:val="24"/>
                <w:szCs w:val="24"/>
                <w14:ligatures w14:val="none"/>
              </w:rPr>
              <w:br w:type="textWrapping"/>
            </w:r>
            <w:r>
              <w:rPr>
                <w:rFonts w:cs="Times New Roman"/>
                <w:kern w:val="0"/>
                <w:sz w:val="24"/>
                <w:szCs w:val="24"/>
                <w14:ligatures w14:val="none"/>
              </w:rPr>
              <w:t>零售总额</w:t>
            </w:r>
          </w:p>
        </w:tc>
        <w:tc>
          <w:tcPr>
            <w:tcW w:w="522" w:type="pct"/>
            <w:shd w:val="clear" w:color="auto" w:fill="auto"/>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亿元</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1900.24</w:t>
            </w:r>
          </w:p>
        </w:tc>
        <w:tc>
          <w:tcPr>
            <w:tcW w:w="821" w:type="pct"/>
            <w:vAlign w:val="center"/>
          </w:tcPr>
          <w:p>
            <w:pPr>
              <w:widowControl w:val="0"/>
              <w:spacing w:line="240" w:lineRule="auto"/>
              <w:ind w:firstLine="0" w:firstLineChars="0"/>
              <w:jc w:val="center"/>
              <w:rPr>
                <w:rFonts w:hint="default" w:cs="Times New Roman"/>
                <w:kern w:val="0"/>
                <w:sz w:val="24"/>
                <w:szCs w:val="24"/>
                <w14:ligatures w14:val="none"/>
              </w:rPr>
            </w:pPr>
            <w:r>
              <w:rPr>
                <w:rFonts w:hint="default" w:ascii="Times New Roman" w:hAnsi="Times New Roman" w:cs="Times New Roman"/>
                <w:kern w:val="0"/>
                <w:sz w:val="24"/>
                <w:szCs w:val="24"/>
                <w:lang w:eastAsia="zh-CN"/>
                <w14:ligatures w14:val="none"/>
              </w:rPr>
              <w:t>1</w:t>
            </w:r>
            <w:r>
              <w:rPr>
                <w:rFonts w:hint="default" w:ascii="Times New Roman" w:hAnsi="Times New Roman" w:cs="Times New Roman"/>
                <w:kern w:val="0"/>
                <w:sz w:val="24"/>
                <w:szCs w:val="24"/>
                <w:lang w:val="en-US" w:eastAsia="zh-CN"/>
                <w14:ligatures w14:val="none"/>
              </w:rPr>
              <w:t>601.31</w:t>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≥2600</w:t>
            </w:r>
          </w:p>
        </w:tc>
        <w:tc>
          <w:tcPr>
            <w:tcW w:w="746" w:type="pct"/>
            <w:vAlign w:val="center"/>
          </w:tcPr>
          <w:p>
            <w:pPr>
              <w:widowControl w:val="0"/>
              <w:spacing w:line="240" w:lineRule="auto"/>
              <w:ind w:firstLine="0" w:firstLineChars="0"/>
              <w:jc w:val="center"/>
              <w:rPr>
                <w:rFonts w:cs="Times New Roman"/>
                <w:kern w:val="0"/>
                <w:sz w:val="24"/>
                <w:szCs w:val="24"/>
                <w14:ligatures w14:val="none"/>
              </w:rPr>
            </w:pPr>
            <w:r>
              <w:rPr>
                <w:rFonts w:hint="default" w:ascii="Times New Roman" w:hAnsi="Times New Roman" w:cs="Times New Roman"/>
                <w:kern w:val="0"/>
                <w:sz w:val="24"/>
                <w:szCs w:val="24"/>
                <w:lang w:val="en-US" w:eastAsia="zh-CN"/>
                <w14:ligatures w14:val="none"/>
              </w:rPr>
              <w:t>比较困难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continue"/>
            <w:vAlign w:val="center"/>
          </w:tcPr>
          <w:p>
            <w:pPr>
              <w:widowControl w:val="0"/>
              <w:spacing w:line="240" w:lineRule="auto"/>
              <w:ind w:firstLine="0" w:firstLineChars="0"/>
              <w:jc w:val="both"/>
              <w:rPr>
                <w:rFonts w:cs="Times New Roman"/>
                <w:b/>
                <w:bCs/>
                <w:kern w:val="0"/>
                <w:sz w:val="24"/>
                <w:szCs w:val="24"/>
                <w14:ligatures w14:val="none"/>
              </w:rPr>
            </w:pPr>
          </w:p>
        </w:tc>
        <w:tc>
          <w:tcPr>
            <w:tcW w:w="1189" w:type="pct"/>
            <w:shd w:val="clear" w:color="auto" w:fill="auto"/>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0"/>
                <w14:ligatures w14:val="none"/>
              </w:rPr>
              <w:t>新增实际到位外资</w:t>
            </w:r>
            <w:r>
              <w:rPr>
                <w:rStyle w:val="29"/>
                <w:rFonts w:cs="Times New Roman"/>
                <w:kern w:val="0"/>
                <w:sz w:val="24"/>
                <w:szCs w:val="20"/>
                <w14:ligatures w14:val="none"/>
              </w:rPr>
              <w:footnoteReference w:id="7"/>
            </w:r>
          </w:p>
        </w:tc>
        <w:tc>
          <w:tcPr>
            <w:tcW w:w="522" w:type="pct"/>
            <w:shd w:val="clear" w:color="auto" w:fill="auto"/>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0"/>
                <w14:ligatures w14:val="none"/>
              </w:rPr>
              <w:t>亿美元</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w:t>
            </w:r>
          </w:p>
        </w:tc>
        <w:tc>
          <w:tcPr>
            <w:tcW w:w="821" w:type="pct"/>
            <w:vAlign w:val="center"/>
          </w:tcPr>
          <w:p>
            <w:pPr>
              <w:widowControl w:val="0"/>
              <w:spacing w:line="240" w:lineRule="auto"/>
              <w:ind w:firstLine="0" w:firstLineChars="0"/>
              <w:jc w:val="center"/>
              <w:rPr>
                <w:rFonts w:hint="default" w:cs="Times New Roman"/>
                <w:kern w:val="0"/>
                <w:sz w:val="24"/>
                <w:szCs w:val="24"/>
                <w14:ligatures w14:val="none"/>
              </w:rPr>
            </w:pPr>
            <w:r>
              <w:rPr>
                <w:rFonts w:hint="default" w:ascii="Times New Roman" w:hAnsi="Times New Roman" w:cs="Times New Roman"/>
                <w:kern w:val="0"/>
                <w:sz w:val="24"/>
                <w:szCs w:val="20"/>
                <w:highlight w:val="none"/>
                <w:lang w:eastAsia="zh-CN"/>
                <w14:ligatures w14:val="none"/>
              </w:rPr>
              <w:t>1</w:t>
            </w:r>
            <w:r>
              <w:rPr>
                <w:rFonts w:hint="default" w:ascii="Times New Roman" w:hAnsi="Times New Roman" w:cs="Times New Roman"/>
                <w:kern w:val="0"/>
                <w:sz w:val="24"/>
                <w:szCs w:val="20"/>
                <w:highlight w:val="none"/>
                <w:lang w:val="en-US" w:eastAsia="zh-CN"/>
                <w14:ligatures w14:val="none"/>
              </w:rPr>
              <w:t>8</w:t>
            </w:r>
            <w:r>
              <w:rPr>
                <w:rFonts w:hint="eastAsia" w:ascii="Times New Roman" w:hAnsi="Times New Roman" w:cs="Times New Roman"/>
                <w:kern w:val="0"/>
                <w:sz w:val="24"/>
                <w:szCs w:val="20"/>
                <w:highlight w:val="none"/>
                <w:lang w:val="en-US" w:eastAsia="zh-CN"/>
                <w14:ligatures w14:val="none"/>
              </w:rPr>
              <w:t>.02</w:t>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0"/>
                <w14:ligatures w14:val="none"/>
              </w:rPr>
              <w:t>≥8</w:t>
            </w:r>
          </w:p>
        </w:tc>
        <w:tc>
          <w:tcPr>
            <w:tcW w:w="746"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超前完成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continue"/>
            <w:vAlign w:val="center"/>
          </w:tcPr>
          <w:p>
            <w:pPr>
              <w:widowControl w:val="0"/>
              <w:spacing w:line="240" w:lineRule="auto"/>
              <w:ind w:firstLine="0" w:firstLineChars="0"/>
              <w:jc w:val="both"/>
              <w:rPr>
                <w:rFonts w:cs="Times New Roman"/>
                <w:b/>
                <w:bCs/>
                <w:kern w:val="0"/>
                <w:sz w:val="24"/>
                <w:szCs w:val="24"/>
                <w14:ligatures w14:val="none"/>
              </w:rPr>
            </w:pPr>
          </w:p>
        </w:tc>
        <w:tc>
          <w:tcPr>
            <w:tcW w:w="1189" w:type="pct"/>
            <w:shd w:val="clear" w:color="auto" w:fill="auto"/>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4"/>
                <w14:ligatures w14:val="none"/>
              </w:rPr>
              <w:t>外贸进出口总额</w:t>
            </w:r>
          </w:p>
        </w:tc>
        <w:tc>
          <w:tcPr>
            <w:tcW w:w="522" w:type="pct"/>
            <w:shd w:val="clear" w:color="auto" w:fill="auto"/>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亿元</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2165.77</w:t>
            </w:r>
          </w:p>
        </w:tc>
        <w:tc>
          <w:tcPr>
            <w:tcW w:w="82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2</w:t>
            </w:r>
            <w:r>
              <w:rPr>
                <w:rFonts w:hint="eastAsia" w:ascii="Times New Roman" w:hAnsi="Times New Roman" w:cs="Times New Roman"/>
                <w:kern w:val="0"/>
                <w:sz w:val="24"/>
                <w:szCs w:val="24"/>
                <w:lang w:val="en-US" w:eastAsia="zh-CN"/>
                <w14:ligatures w14:val="none"/>
              </w:rPr>
              <w:t>569.36</w:t>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24</w:t>
            </w:r>
            <w:r>
              <w:rPr>
                <w:rFonts w:hint="default" w:cs="Times New Roman"/>
                <w:kern w:val="0"/>
                <w:sz w:val="24"/>
                <w:szCs w:val="24"/>
                <w:lang w:val="en-US" w:eastAsia="zh-CN"/>
                <w14:ligatures w14:val="none"/>
              </w:rPr>
              <w:t>00左右</w:t>
            </w:r>
          </w:p>
        </w:tc>
        <w:tc>
          <w:tcPr>
            <w:tcW w:w="746"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超前完成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restart"/>
            <w:shd w:val="clear" w:color="auto" w:fill="auto"/>
            <w:vAlign w:val="center"/>
          </w:tcPr>
          <w:p>
            <w:pPr>
              <w:widowControl w:val="0"/>
              <w:spacing w:line="240" w:lineRule="auto"/>
              <w:ind w:firstLine="0" w:firstLineChars="0"/>
              <w:jc w:val="both"/>
              <w:rPr>
                <w:rFonts w:cs="Times New Roman"/>
                <w:b/>
                <w:bCs/>
                <w:kern w:val="0"/>
                <w:sz w:val="24"/>
                <w:szCs w:val="24"/>
                <w14:ligatures w14:val="none"/>
              </w:rPr>
            </w:pPr>
            <w:r>
              <w:rPr>
                <w:rFonts w:cs="Times New Roman"/>
                <w:b/>
                <w:bCs/>
                <w:kern w:val="0"/>
                <w:sz w:val="24"/>
                <w:szCs w:val="24"/>
                <w14:ligatures w14:val="none"/>
              </w:rPr>
              <w:t>产出</w:t>
            </w:r>
          </w:p>
          <w:p>
            <w:pPr>
              <w:widowControl w:val="0"/>
              <w:spacing w:line="240" w:lineRule="auto"/>
              <w:ind w:firstLine="0" w:firstLineChars="0"/>
              <w:jc w:val="both"/>
              <w:rPr>
                <w:rFonts w:cs="Times New Roman"/>
                <w:b/>
                <w:bCs/>
                <w:kern w:val="0"/>
                <w:sz w:val="24"/>
                <w:szCs w:val="24"/>
                <w14:ligatures w14:val="none"/>
              </w:rPr>
            </w:pPr>
            <w:r>
              <w:rPr>
                <w:rFonts w:cs="Times New Roman"/>
                <w:b/>
                <w:bCs/>
                <w:kern w:val="0"/>
                <w:sz w:val="24"/>
                <w:szCs w:val="24"/>
                <w14:ligatures w14:val="none"/>
              </w:rPr>
              <w:t>效率</w:t>
            </w:r>
          </w:p>
          <w:p>
            <w:pPr>
              <w:widowControl w:val="0"/>
              <w:spacing w:line="240" w:lineRule="auto"/>
              <w:ind w:firstLine="0" w:firstLineChars="0"/>
              <w:jc w:val="both"/>
              <w:rPr>
                <w:rFonts w:cs="Times New Roman"/>
                <w:b/>
                <w:bCs/>
                <w:kern w:val="0"/>
                <w:sz w:val="24"/>
                <w:szCs w:val="24"/>
                <w14:ligatures w14:val="none"/>
              </w:rPr>
            </w:pPr>
            <w:r>
              <w:rPr>
                <w:rFonts w:cs="Times New Roman"/>
                <w:b/>
                <w:bCs/>
                <w:kern w:val="0"/>
                <w:sz w:val="24"/>
                <w:szCs w:val="24"/>
                <w14:ligatures w14:val="none"/>
              </w:rPr>
              <w:t>目标</w:t>
            </w:r>
          </w:p>
        </w:tc>
        <w:tc>
          <w:tcPr>
            <w:tcW w:w="1189" w:type="pct"/>
            <w:shd w:val="clear" w:color="auto" w:fill="auto"/>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4"/>
                <w14:ligatures w14:val="none"/>
              </w:rPr>
              <w:t>重点楼宇</w:t>
            </w:r>
            <w:r>
              <w:rPr>
                <w:rFonts w:cs="Times New Roman"/>
                <w:kern w:val="0"/>
                <w:sz w:val="24"/>
                <w:szCs w:val="24"/>
                <w14:ligatures w14:val="none"/>
              </w:rPr>
              <w:br w:type="textWrapping"/>
            </w:r>
            <w:r>
              <w:rPr>
                <w:rFonts w:cs="Times New Roman"/>
                <w:kern w:val="0"/>
                <w:sz w:val="24"/>
                <w:szCs w:val="24"/>
                <w14:ligatures w14:val="none"/>
              </w:rPr>
              <w:t>税务登记率</w:t>
            </w:r>
          </w:p>
        </w:tc>
        <w:tc>
          <w:tcPr>
            <w:tcW w:w="522" w:type="pct"/>
            <w:shd w:val="clear" w:color="auto" w:fill="auto"/>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70</w:t>
            </w:r>
          </w:p>
        </w:tc>
        <w:tc>
          <w:tcPr>
            <w:tcW w:w="821" w:type="pct"/>
            <w:vAlign w:val="center"/>
          </w:tcPr>
          <w:p>
            <w:pPr>
              <w:widowControl w:val="0"/>
              <w:spacing w:line="240" w:lineRule="auto"/>
              <w:ind w:firstLine="0" w:firstLineChars="0"/>
              <w:jc w:val="center"/>
              <w:rPr>
                <w:rFonts w:hint="default" w:cs="Times New Roman"/>
                <w:kern w:val="0"/>
                <w:sz w:val="24"/>
                <w:szCs w:val="24"/>
                <w14:ligatures w14:val="none"/>
              </w:rPr>
            </w:pPr>
            <w:r>
              <w:rPr>
                <w:rFonts w:hint="default" w:ascii="Times New Roman" w:hAnsi="Times New Roman" w:cs="Times New Roman"/>
                <w:kern w:val="0"/>
                <w:sz w:val="24"/>
                <w:szCs w:val="24"/>
                <w:lang w:eastAsia="zh-CN"/>
                <w14:ligatures w14:val="none"/>
              </w:rPr>
              <w:t>——</w:t>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75左右</w:t>
            </w:r>
          </w:p>
        </w:tc>
        <w:tc>
          <w:tcPr>
            <w:tcW w:w="746"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工作调减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continue"/>
            <w:shd w:val="clear" w:color="auto" w:fill="auto"/>
            <w:vAlign w:val="center"/>
          </w:tcPr>
          <w:p>
            <w:pPr>
              <w:widowControl w:val="0"/>
              <w:spacing w:line="240" w:lineRule="auto"/>
              <w:ind w:firstLine="0" w:firstLineChars="0"/>
              <w:jc w:val="both"/>
              <w:rPr>
                <w:rFonts w:cs="Times New Roman"/>
                <w:b/>
                <w:bCs/>
                <w:kern w:val="0"/>
                <w:sz w:val="24"/>
                <w:szCs w:val="24"/>
                <w14:ligatures w14:val="none"/>
              </w:rPr>
            </w:pPr>
          </w:p>
        </w:tc>
        <w:tc>
          <w:tcPr>
            <w:tcW w:w="1189" w:type="pct"/>
            <w:shd w:val="clear" w:color="auto" w:fill="auto"/>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4"/>
                <w14:ligatures w14:val="none"/>
              </w:rPr>
              <w:t>重点楼宇单位面积</w:t>
            </w:r>
            <w:r>
              <w:rPr>
                <w:rFonts w:cs="Times New Roman"/>
                <w:kern w:val="0"/>
                <w:sz w:val="24"/>
                <w:szCs w:val="24"/>
                <w14:ligatures w14:val="none"/>
              </w:rPr>
              <w:br w:type="textWrapping"/>
            </w:r>
            <w:r>
              <w:rPr>
                <w:rFonts w:cs="Times New Roman"/>
                <w:kern w:val="0"/>
                <w:sz w:val="24"/>
                <w:szCs w:val="24"/>
                <w14:ligatures w14:val="none"/>
              </w:rPr>
              <w:t>税收产出增长率</w:t>
            </w:r>
          </w:p>
        </w:tc>
        <w:tc>
          <w:tcPr>
            <w:tcW w:w="522" w:type="pct"/>
            <w:shd w:val="clear" w:color="auto" w:fill="auto"/>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13</w:t>
            </w:r>
          </w:p>
        </w:tc>
        <w:tc>
          <w:tcPr>
            <w:tcW w:w="821" w:type="pct"/>
            <w:vAlign w:val="center"/>
          </w:tcPr>
          <w:p>
            <w:pPr>
              <w:widowControl w:val="0"/>
              <w:spacing w:line="240" w:lineRule="auto"/>
              <w:ind w:firstLine="0" w:firstLineChars="0"/>
              <w:jc w:val="center"/>
              <w:rPr>
                <w:rFonts w:hint="default" w:cs="Times New Roman"/>
                <w:kern w:val="0"/>
                <w:sz w:val="24"/>
                <w:szCs w:val="24"/>
                <w14:ligatures w14:val="none"/>
              </w:rPr>
            </w:pPr>
            <w:r>
              <w:rPr>
                <w:rFonts w:hint="default" w:ascii="Times New Roman" w:hAnsi="Times New Roman" w:cs="Times New Roman"/>
                <w:kern w:val="0"/>
                <w:sz w:val="24"/>
                <w:szCs w:val="24"/>
                <w:lang w:eastAsia="zh-CN"/>
                <w14:ligatures w14:val="none"/>
              </w:rPr>
              <w:t>——</w:t>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≥10</w:t>
            </w:r>
          </w:p>
        </w:tc>
        <w:tc>
          <w:tcPr>
            <w:tcW w:w="746"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工作调减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continue"/>
            <w:shd w:val="clear" w:color="auto" w:fill="auto"/>
            <w:vAlign w:val="center"/>
          </w:tcPr>
          <w:p>
            <w:pPr>
              <w:widowControl w:val="0"/>
              <w:spacing w:line="240" w:lineRule="auto"/>
              <w:ind w:firstLine="0" w:firstLineChars="0"/>
              <w:jc w:val="both"/>
              <w:rPr>
                <w:rFonts w:cs="Times New Roman"/>
                <w:b/>
                <w:bCs/>
                <w:kern w:val="0"/>
                <w:sz w:val="24"/>
                <w:szCs w:val="24"/>
                <w14:ligatures w14:val="none"/>
              </w:rPr>
            </w:pPr>
          </w:p>
        </w:tc>
        <w:tc>
          <w:tcPr>
            <w:tcW w:w="1189" w:type="pct"/>
            <w:shd w:val="clear" w:color="auto" w:fill="auto"/>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4"/>
                <w14:ligatures w14:val="none"/>
              </w:rPr>
              <w:t>亿元楼数量</w:t>
            </w:r>
          </w:p>
        </w:tc>
        <w:tc>
          <w:tcPr>
            <w:tcW w:w="522" w:type="pct"/>
            <w:shd w:val="clear" w:color="auto" w:fill="auto"/>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个</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40</w:t>
            </w:r>
          </w:p>
        </w:tc>
        <w:tc>
          <w:tcPr>
            <w:tcW w:w="821" w:type="pct"/>
            <w:vAlign w:val="center"/>
          </w:tcPr>
          <w:p>
            <w:pPr>
              <w:widowControl w:val="0"/>
              <w:spacing w:line="240" w:lineRule="auto"/>
              <w:ind w:firstLine="0" w:firstLineChars="0"/>
              <w:jc w:val="center"/>
              <w:rPr>
                <w:rFonts w:hint="default" w:cs="Times New Roman"/>
                <w:kern w:val="0"/>
                <w:sz w:val="24"/>
                <w:szCs w:val="24"/>
                <w14:ligatures w14:val="none"/>
              </w:rPr>
            </w:pPr>
            <w:r>
              <w:rPr>
                <w:rFonts w:hint="default" w:ascii="Times New Roman" w:hAnsi="Times New Roman" w:cs="Times New Roman"/>
                <w:kern w:val="0"/>
                <w:sz w:val="24"/>
                <w:szCs w:val="24"/>
                <w:lang w:eastAsia="zh-CN"/>
                <w14:ligatures w14:val="none"/>
              </w:rPr>
              <w:t>——</w:t>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≥60</w:t>
            </w:r>
          </w:p>
        </w:tc>
        <w:tc>
          <w:tcPr>
            <w:tcW w:w="746"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工作调减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restart"/>
            <w:shd w:val="clear" w:color="auto" w:fill="auto"/>
            <w:vAlign w:val="center"/>
          </w:tcPr>
          <w:p>
            <w:pPr>
              <w:widowControl w:val="0"/>
              <w:spacing w:line="240" w:lineRule="auto"/>
              <w:ind w:firstLine="0" w:firstLineChars="0"/>
              <w:jc w:val="both"/>
              <w:rPr>
                <w:rFonts w:cs="Times New Roman"/>
                <w:b/>
                <w:bCs/>
                <w:kern w:val="0"/>
                <w:sz w:val="24"/>
                <w:szCs w:val="24"/>
                <w14:ligatures w14:val="none"/>
              </w:rPr>
            </w:pPr>
            <w:r>
              <w:rPr>
                <w:rFonts w:cs="Times New Roman"/>
                <w:b/>
                <w:bCs/>
                <w:kern w:val="0"/>
                <w:sz w:val="24"/>
                <w:szCs w:val="24"/>
                <w14:ligatures w14:val="none"/>
              </w:rPr>
              <w:t>功能</w:t>
            </w:r>
            <w:r>
              <w:rPr>
                <w:rFonts w:cs="Times New Roman"/>
                <w:b/>
                <w:bCs/>
                <w:kern w:val="0"/>
                <w:sz w:val="24"/>
                <w:szCs w:val="24"/>
                <w14:ligatures w14:val="none"/>
              </w:rPr>
              <w:br w:type="textWrapping"/>
            </w:r>
            <w:r>
              <w:rPr>
                <w:rFonts w:cs="Times New Roman"/>
                <w:b/>
                <w:bCs/>
                <w:kern w:val="0"/>
                <w:sz w:val="24"/>
                <w:szCs w:val="24"/>
                <w14:ligatures w14:val="none"/>
              </w:rPr>
              <w:t>集聚</w:t>
            </w:r>
            <w:r>
              <w:rPr>
                <w:rFonts w:cs="Times New Roman"/>
                <w:b/>
                <w:bCs/>
                <w:kern w:val="0"/>
                <w:sz w:val="24"/>
                <w:szCs w:val="24"/>
                <w14:ligatures w14:val="none"/>
              </w:rPr>
              <w:br w:type="textWrapping"/>
            </w:r>
            <w:r>
              <w:rPr>
                <w:rFonts w:cs="Times New Roman"/>
                <w:b/>
                <w:bCs/>
                <w:kern w:val="0"/>
                <w:sz w:val="24"/>
                <w:szCs w:val="24"/>
                <w14:ligatures w14:val="none"/>
              </w:rPr>
              <w:t>目标</w:t>
            </w:r>
          </w:p>
        </w:tc>
        <w:tc>
          <w:tcPr>
            <w:tcW w:w="1189" w:type="pct"/>
            <w:shd w:val="clear" w:color="auto" w:fill="auto"/>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4"/>
                <w14:ligatures w14:val="none"/>
              </w:rPr>
              <w:t>功能性外资机构数</w:t>
            </w:r>
          </w:p>
        </w:tc>
        <w:tc>
          <w:tcPr>
            <w:tcW w:w="522" w:type="pct"/>
            <w:shd w:val="clear" w:color="auto" w:fill="auto"/>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家</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89</w:t>
            </w:r>
          </w:p>
        </w:tc>
        <w:tc>
          <w:tcPr>
            <w:tcW w:w="821" w:type="pct"/>
            <w:vAlign w:val="center"/>
          </w:tcPr>
          <w:p>
            <w:pPr>
              <w:widowControl w:val="0"/>
              <w:spacing w:line="240" w:lineRule="auto"/>
              <w:ind w:firstLine="0" w:firstLineChars="0"/>
              <w:jc w:val="center"/>
              <w:rPr>
                <w:rFonts w:hint="default" w:cs="Times New Roman"/>
                <w:kern w:val="0"/>
                <w:sz w:val="24"/>
                <w:szCs w:val="24"/>
                <w:highlight w:val="none"/>
                <w14:ligatures w14:val="none"/>
              </w:rPr>
            </w:pPr>
            <w:r>
              <w:rPr>
                <w:rFonts w:cs="Times New Roman"/>
                <w:kern w:val="0"/>
                <w:sz w:val="24"/>
                <w:szCs w:val="24"/>
                <w:highlight w:val="none"/>
                <w14:ligatures w14:val="none"/>
              </w:rPr>
              <w:t>1</w:t>
            </w:r>
            <w:r>
              <w:rPr>
                <w:rFonts w:hint="default" w:ascii="Times New Roman" w:hAnsi="Times New Roman" w:cs="Times New Roman"/>
                <w:kern w:val="0"/>
                <w:sz w:val="24"/>
                <w:szCs w:val="24"/>
                <w:highlight w:val="none"/>
                <w:lang w:eastAsia="zh-CN"/>
                <w14:ligatures w14:val="none"/>
              </w:rPr>
              <w:t>8</w:t>
            </w:r>
            <w:r>
              <w:rPr>
                <w:rFonts w:hint="default" w:ascii="Times New Roman" w:hAnsi="Times New Roman" w:cs="Times New Roman"/>
                <w:kern w:val="0"/>
                <w:sz w:val="24"/>
                <w:szCs w:val="24"/>
                <w:highlight w:val="none"/>
                <w:lang w:val="en-US" w:eastAsia="zh-CN"/>
                <w14:ligatures w14:val="none"/>
              </w:rPr>
              <w:t>4</w:t>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≥130</w:t>
            </w:r>
          </w:p>
        </w:tc>
        <w:tc>
          <w:tcPr>
            <w:tcW w:w="746"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超前完成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2" w:type="pct"/>
            <w:vMerge w:val="continue"/>
            <w:shd w:val="clear" w:color="auto" w:fill="auto"/>
            <w:vAlign w:val="center"/>
          </w:tcPr>
          <w:p>
            <w:pPr>
              <w:widowControl w:val="0"/>
              <w:spacing w:line="240" w:lineRule="auto"/>
              <w:ind w:firstLine="0" w:firstLineChars="0"/>
              <w:jc w:val="both"/>
              <w:rPr>
                <w:rFonts w:cs="Times New Roman"/>
                <w:kern w:val="0"/>
                <w:sz w:val="24"/>
                <w:szCs w:val="24"/>
                <w14:ligatures w14:val="none"/>
              </w:rPr>
            </w:pPr>
          </w:p>
        </w:tc>
        <w:tc>
          <w:tcPr>
            <w:tcW w:w="1189" w:type="pct"/>
            <w:shd w:val="clear" w:color="auto" w:fill="auto"/>
            <w:vAlign w:val="center"/>
          </w:tcPr>
          <w:p>
            <w:pPr>
              <w:widowControl w:val="0"/>
              <w:spacing w:line="240" w:lineRule="auto"/>
              <w:ind w:firstLine="0" w:firstLineChars="0"/>
              <w:jc w:val="both"/>
              <w:rPr>
                <w:rFonts w:cs="Times New Roman"/>
                <w:kern w:val="0"/>
                <w:sz w:val="24"/>
                <w:szCs w:val="24"/>
                <w14:ligatures w14:val="none"/>
              </w:rPr>
            </w:pPr>
            <w:r>
              <w:rPr>
                <w:rFonts w:cs="Times New Roman"/>
                <w:kern w:val="0"/>
                <w:sz w:val="24"/>
                <w:szCs w:val="24"/>
                <w14:ligatures w14:val="none"/>
              </w:rPr>
              <w:t>市贸易型总部数和市民营企业总部数</w:t>
            </w:r>
          </w:p>
        </w:tc>
        <w:tc>
          <w:tcPr>
            <w:tcW w:w="522" w:type="pct"/>
            <w:shd w:val="clear" w:color="auto" w:fill="auto"/>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家</w:t>
            </w:r>
          </w:p>
        </w:tc>
        <w:tc>
          <w:tcPr>
            <w:tcW w:w="594"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29</w:t>
            </w:r>
          </w:p>
        </w:tc>
        <w:tc>
          <w:tcPr>
            <w:tcW w:w="821" w:type="pct"/>
            <w:vAlign w:val="center"/>
          </w:tcPr>
          <w:p>
            <w:pPr>
              <w:widowControl w:val="0"/>
              <w:spacing w:line="240" w:lineRule="auto"/>
              <w:ind w:firstLine="0" w:firstLineChars="0"/>
              <w:jc w:val="center"/>
              <w:rPr>
                <w:rFonts w:cs="Times New Roman"/>
                <w:kern w:val="0"/>
                <w:sz w:val="24"/>
                <w:szCs w:val="24"/>
                <w:highlight w:val="none"/>
                <w14:ligatures w14:val="none"/>
              </w:rPr>
            </w:pPr>
            <w:r>
              <w:rPr>
                <w:rFonts w:hint="default" w:ascii="Times New Roman" w:hAnsi="Times New Roman" w:cs="Times New Roman"/>
                <w:kern w:val="0"/>
                <w:sz w:val="24"/>
                <w:szCs w:val="24"/>
                <w:highlight w:val="none"/>
                <w:lang w:val="en-US" w:eastAsia="zh-CN"/>
                <w14:ligatures w14:val="none"/>
              </w:rPr>
              <w:t>9</w:t>
            </w:r>
            <w:r>
              <w:rPr>
                <w:rFonts w:hint="eastAsia" w:ascii="Times New Roman" w:hAnsi="Times New Roman" w:cs="Times New Roman"/>
                <w:kern w:val="0"/>
                <w:sz w:val="24"/>
                <w:szCs w:val="24"/>
                <w:highlight w:val="none"/>
                <w:lang w:val="en-US" w:eastAsia="zh-CN"/>
                <w14:ligatures w14:val="none"/>
              </w:rPr>
              <w:t>3</w:t>
            </w:r>
          </w:p>
        </w:tc>
        <w:tc>
          <w:tcPr>
            <w:tcW w:w="671"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≥58</w:t>
            </w:r>
          </w:p>
        </w:tc>
        <w:tc>
          <w:tcPr>
            <w:tcW w:w="746" w:type="pct"/>
            <w:vAlign w:val="center"/>
          </w:tcPr>
          <w:p>
            <w:pPr>
              <w:widowControl w:val="0"/>
              <w:spacing w:line="240" w:lineRule="auto"/>
              <w:ind w:firstLine="0" w:firstLineChars="0"/>
              <w:jc w:val="center"/>
              <w:rPr>
                <w:rFonts w:cs="Times New Roman"/>
                <w:kern w:val="0"/>
                <w:sz w:val="24"/>
                <w:szCs w:val="24"/>
                <w14:ligatures w14:val="none"/>
              </w:rPr>
            </w:pPr>
            <w:r>
              <w:rPr>
                <w:rFonts w:cs="Times New Roman"/>
                <w:kern w:val="0"/>
                <w:sz w:val="24"/>
                <w:szCs w:val="24"/>
                <w14:ligatures w14:val="none"/>
              </w:rPr>
              <w:t>超前完成</w:t>
            </w:r>
          </w:p>
        </w:tc>
      </w:tr>
    </w:tbl>
    <w:p>
      <w:pPr>
        <w:ind w:firstLine="640"/>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435" w:charSpace="0"/>
        </w:sectPr>
      </w:pPr>
    </w:p>
    <w:p>
      <w:pPr>
        <w:pStyle w:val="2"/>
        <w:ind w:firstLine="643"/>
        <w:jc w:val="center"/>
        <w:rPr>
          <w:rFonts w:cs="Times New Roman"/>
        </w:rPr>
      </w:pPr>
      <w:bookmarkStart w:id="248" w:name="_Toc32599"/>
      <w:bookmarkStart w:id="249" w:name="_Toc201310207"/>
      <w:bookmarkStart w:id="250" w:name="_Toc15600"/>
      <w:bookmarkStart w:id="251" w:name="_Toc5864"/>
      <w:bookmarkStart w:id="252" w:name="_Toc9145"/>
      <w:r>
        <w:rPr>
          <w:rFonts w:cs="Times New Roman"/>
        </w:rPr>
        <w:t>附录二</w:t>
      </w:r>
      <w:r>
        <w:rPr>
          <w:rFonts w:hint="eastAsia" w:cs="Times New Roman"/>
          <w:lang w:val="en-US" w:eastAsia="zh-CN"/>
        </w:rPr>
        <w:t xml:space="preserve">  </w:t>
      </w:r>
      <w:r>
        <w:rPr>
          <w:rFonts w:hint="default" w:cs="Times New Roman"/>
          <w:lang w:val="en-US" w:eastAsia="zh-CN"/>
        </w:rPr>
        <w:t>三</w:t>
      </w:r>
      <w:r>
        <w:rPr>
          <w:rFonts w:cs="Times New Roman"/>
        </w:rPr>
        <w:t>大支柱产业营收测算表</w:t>
      </w:r>
      <w:bookmarkEnd w:id="248"/>
      <w:bookmarkEnd w:id="249"/>
      <w:bookmarkEnd w:id="250"/>
      <w:bookmarkEnd w:id="251"/>
      <w:bookmarkEnd w:id="252"/>
    </w:p>
    <w:tbl>
      <w:tblPr>
        <w:tblStyle w:val="23"/>
        <w:tblW w:w="47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720"/>
        <w:gridCol w:w="1371"/>
        <w:gridCol w:w="1346"/>
        <w:gridCol w:w="1346"/>
        <w:gridCol w:w="1346"/>
        <w:gridCol w:w="1419"/>
        <w:gridCol w:w="1371"/>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98" w:type="pct"/>
            <w:vMerge w:val="restart"/>
            <w:shd w:val="clear" w:color="auto" w:fill="auto"/>
            <w:noWrap/>
            <w:vAlign w:val="center"/>
          </w:tcPr>
          <w:p>
            <w:pPr>
              <w:widowControl w:val="0"/>
              <w:spacing w:line="240" w:lineRule="auto"/>
              <w:ind w:firstLine="0" w:firstLineChars="0"/>
              <w:jc w:val="both"/>
              <w:rPr>
                <w:rFonts w:cs="Times New Roman"/>
                <w:kern w:val="0"/>
                <w:sz w:val="24"/>
                <w14:ligatures w14:val="none"/>
              </w:rPr>
            </w:pPr>
            <w:bookmarkStart w:id="253" w:name="_Hlk201922003"/>
          </w:p>
        </w:tc>
        <w:tc>
          <w:tcPr>
            <w:tcW w:w="3162" w:type="pct"/>
            <w:gridSpan w:val="6"/>
            <w:shd w:val="clear" w:color="auto" w:fill="auto"/>
            <w:noWrap/>
            <w:vAlign w:val="center"/>
          </w:tcPr>
          <w:p>
            <w:pPr>
              <w:widowControl w:val="0"/>
              <w:spacing w:line="400" w:lineRule="exact"/>
              <w:ind w:firstLine="0" w:firstLineChars="0"/>
              <w:jc w:val="center"/>
              <w:rPr>
                <w:rFonts w:cs="Times New Roman"/>
                <w:b/>
                <w:bCs/>
                <w:kern w:val="0"/>
                <w:sz w:val="24"/>
                <w14:ligatures w14:val="none"/>
              </w:rPr>
            </w:pPr>
            <w:r>
              <w:rPr>
                <w:rFonts w:hint="default" w:ascii="Times New Roman" w:hAnsi="Times New Roman" w:cs="Times New Roman"/>
                <w:b/>
                <w:bCs/>
                <w:kern w:val="0"/>
                <w:sz w:val="24"/>
                <w:lang w:eastAsia="zh-CN"/>
                <w14:ligatures w14:val="none"/>
              </w:rPr>
              <w:t>“</w:t>
            </w:r>
            <w:r>
              <w:rPr>
                <w:rFonts w:cs="Times New Roman"/>
                <w:b/>
                <w:bCs/>
                <w:kern w:val="0"/>
                <w:sz w:val="24"/>
                <w14:ligatures w14:val="none"/>
              </w:rPr>
              <w:t>十四五</w:t>
            </w:r>
            <w:r>
              <w:rPr>
                <w:rFonts w:hint="default" w:ascii="Times New Roman" w:hAnsi="Times New Roman" w:cs="Times New Roman"/>
                <w:b/>
                <w:bCs/>
                <w:kern w:val="0"/>
                <w:sz w:val="24"/>
                <w:lang w:eastAsia="zh-CN"/>
                <w14:ligatures w14:val="none"/>
              </w:rPr>
              <w:t>”</w:t>
            </w:r>
            <w:r>
              <w:rPr>
                <w:rFonts w:cs="Times New Roman"/>
                <w:b/>
                <w:bCs/>
                <w:kern w:val="0"/>
                <w:sz w:val="24"/>
                <w14:ligatures w14:val="none"/>
              </w:rPr>
              <w:t>时期</w:t>
            </w:r>
          </w:p>
        </w:tc>
        <w:tc>
          <w:tcPr>
            <w:tcW w:w="1239" w:type="pct"/>
            <w:gridSpan w:val="2"/>
            <w:shd w:val="clear" w:color="auto" w:fill="auto"/>
            <w:noWrap/>
            <w:vAlign w:val="center"/>
          </w:tcPr>
          <w:p>
            <w:pPr>
              <w:widowControl w:val="0"/>
              <w:spacing w:line="400" w:lineRule="exact"/>
              <w:ind w:firstLine="0" w:firstLineChars="0"/>
              <w:jc w:val="center"/>
              <w:rPr>
                <w:rFonts w:cs="Times New Roman"/>
                <w:kern w:val="0"/>
                <w:sz w:val="24"/>
                <w14:ligatures w14:val="none"/>
              </w:rPr>
            </w:pPr>
            <w:r>
              <w:rPr>
                <w:rFonts w:hint="default" w:ascii="Times New Roman" w:hAnsi="Times New Roman" w:cs="Times New Roman"/>
                <w:b/>
                <w:bCs/>
                <w:kern w:val="0"/>
                <w:sz w:val="24"/>
                <w:lang w:eastAsia="zh-CN"/>
                <w14:ligatures w14:val="none"/>
              </w:rPr>
              <w:t>“</w:t>
            </w:r>
            <w:r>
              <w:rPr>
                <w:rFonts w:cs="Times New Roman"/>
                <w:b/>
                <w:bCs/>
                <w:kern w:val="0"/>
                <w:sz w:val="24"/>
                <w14:ligatures w14:val="none"/>
              </w:rPr>
              <w:t>十五五</w:t>
            </w:r>
            <w:r>
              <w:rPr>
                <w:rFonts w:hint="default" w:ascii="Times New Roman" w:hAnsi="Times New Roman" w:cs="Times New Roman"/>
                <w:b/>
                <w:bCs/>
                <w:kern w:val="0"/>
                <w:sz w:val="24"/>
                <w:lang w:eastAsia="zh-CN"/>
                <w14:ligatures w14:val="none"/>
              </w:rPr>
              <w:t>”</w:t>
            </w:r>
            <w:r>
              <w:rPr>
                <w:rFonts w:cs="Times New Roman"/>
                <w:b/>
                <w:bCs/>
                <w:kern w:val="0"/>
                <w:sz w:val="24"/>
                <w14:ligatures w14:val="none"/>
              </w:rPr>
              <w:t>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598" w:type="pct"/>
            <w:vMerge w:val="continue"/>
            <w:shd w:val="clear" w:color="auto" w:fill="auto"/>
            <w:noWrap/>
            <w:vAlign w:val="center"/>
          </w:tcPr>
          <w:p>
            <w:pPr>
              <w:widowControl w:val="0"/>
              <w:spacing w:line="240" w:lineRule="auto"/>
              <w:ind w:firstLine="0" w:firstLineChars="0"/>
              <w:jc w:val="both"/>
              <w:rPr>
                <w:rFonts w:cs="Times New Roman"/>
                <w:kern w:val="0"/>
                <w:sz w:val="24"/>
                <w14:ligatures w14:val="none"/>
              </w:rPr>
            </w:pPr>
          </w:p>
        </w:tc>
        <w:tc>
          <w:tcPr>
            <w:tcW w:w="636" w:type="pct"/>
            <w:shd w:val="clear" w:color="auto" w:fill="auto"/>
            <w:noWrap/>
            <w:vAlign w:val="center"/>
          </w:tcPr>
          <w:p>
            <w:pPr>
              <w:widowControl w:val="0"/>
              <w:spacing w:line="400" w:lineRule="exact"/>
              <w:ind w:firstLine="0" w:firstLineChars="0"/>
              <w:jc w:val="both"/>
              <w:rPr>
                <w:rFonts w:cs="Times New Roman"/>
                <w:kern w:val="0"/>
                <w:sz w:val="24"/>
                <w14:ligatures w14:val="none"/>
              </w:rPr>
            </w:pPr>
            <w:r>
              <w:rPr>
                <w:rFonts w:cs="Times New Roman"/>
                <w:b/>
                <w:bCs/>
                <w:kern w:val="0"/>
                <w:sz w:val="24"/>
                <w14:ligatures w14:val="none"/>
              </w:rPr>
              <w:t>基数</w:t>
            </w:r>
            <w:r>
              <w:rPr>
                <w:rFonts w:cs="Times New Roman"/>
                <w:b/>
                <w:bCs/>
                <w:kern w:val="0"/>
                <w:sz w:val="24"/>
                <w14:ligatures w14:val="none"/>
              </w:rPr>
              <w:br w:type="textWrapping"/>
            </w:r>
            <w:r>
              <w:rPr>
                <w:rFonts w:cs="Times New Roman"/>
                <w:b/>
                <w:bCs/>
                <w:kern w:val="0"/>
                <w:sz w:val="24"/>
                <w14:ligatures w14:val="none"/>
              </w:rPr>
              <w:t>2020年</w:t>
            </w:r>
          </w:p>
        </w:tc>
        <w:tc>
          <w:tcPr>
            <w:tcW w:w="507" w:type="pct"/>
            <w:shd w:val="clear" w:color="auto" w:fill="auto"/>
            <w:noWrap/>
            <w:vAlign w:val="center"/>
          </w:tcPr>
          <w:p>
            <w:pPr>
              <w:widowControl w:val="0"/>
              <w:spacing w:line="400" w:lineRule="exact"/>
              <w:ind w:firstLine="0" w:firstLineChars="0"/>
              <w:jc w:val="both"/>
              <w:rPr>
                <w:rFonts w:cs="Times New Roman"/>
                <w:kern w:val="0"/>
                <w:sz w:val="24"/>
                <w14:ligatures w14:val="none"/>
              </w:rPr>
            </w:pPr>
            <w:r>
              <w:rPr>
                <w:rFonts w:cs="Times New Roman"/>
                <w:b/>
                <w:bCs/>
                <w:kern w:val="0"/>
                <w:sz w:val="24"/>
                <w14:ligatures w14:val="none"/>
              </w:rPr>
              <w:t>历史值</w:t>
            </w:r>
            <w:r>
              <w:rPr>
                <w:rFonts w:cs="Times New Roman"/>
                <w:b/>
                <w:bCs/>
                <w:kern w:val="0"/>
                <w:sz w:val="24"/>
                <w14:ligatures w14:val="none"/>
              </w:rPr>
              <w:br w:type="textWrapping"/>
            </w:r>
            <w:r>
              <w:rPr>
                <w:rFonts w:cs="Times New Roman"/>
                <w:b/>
                <w:bCs/>
                <w:kern w:val="0"/>
                <w:sz w:val="24"/>
                <w14:ligatures w14:val="none"/>
              </w:rPr>
              <w:t>2021年</w:t>
            </w:r>
          </w:p>
        </w:tc>
        <w:tc>
          <w:tcPr>
            <w:tcW w:w="498" w:type="pct"/>
            <w:shd w:val="clear" w:color="auto" w:fill="auto"/>
            <w:noWrap/>
            <w:vAlign w:val="center"/>
          </w:tcPr>
          <w:p>
            <w:pPr>
              <w:widowControl w:val="0"/>
              <w:spacing w:line="400" w:lineRule="exact"/>
              <w:ind w:firstLine="0" w:firstLineChars="0"/>
              <w:jc w:val="both"/>
              <w:rPr>
                <w:rFonts w:cs="Times New Roman"/>
                <w:kern w:val="0"/>
                <w:sz w:val="24"/>
                <w14:ligatures w14:val="none"/>
              </w:rPr>
            </w:pPr>
            <w:r>
              <w:rPr>
                <w:rFonts w:cs="Times New Roman"/>
                <w:b/>
                <w:bCs/>
                <w:kern w:val="0"/>
                <w:sz w:val="24"/>
                <w14:ligatures w14:val="none"/>
              </w:rPr>
              <w:t>历史值</w:t>
            </w:r>
            <w:r>
              <w:rPr>
                <w:rFonts w:cs="Times New Roman"/>
                <w:b/>
                <w:bCs/>
                <w:kern w:val="0"/>
                <w:sz w:val="24"/>
                <w14:ligatures w14:val="none"/>
              </w:rPr>
              <w:br w:type="textWrapping"/>
            </w:r>
            <w:r>
              <w:rPr>
                <w:rFonts w:cs="Times New Roman"/>
                <w:b/>
                <w:bCs/>
                <w:kern w:val="0"/>
                <w:sz w:val="24"/>
                <w14:ligatures w14:val="none"/>
              </w:rPr>
              <w:t>2022年</w:t>
            </w:r>
          </w:p>
        </w:tc>
        <w:tc>
          <w:tcPr>
            <w:tcW w:w="498" w:type="pct"/>
            <w:shd w:val="clear" w:color="auto" w:fill="auto"/>
            <w:noWrap/>
            <w:vAlign w:val="center"/>
          </w:tcPr>
          <w:p>
            <w:pPr>
              <w:widowControl w:val="0"/>
              <w:spacing w:line="400" w:lineRule="exact"/>
              <w:ind w:firstLine="0" w:firstLineChars="0"/>
              <w:jc w:val="both"/>
              <w:rPr>
                <w:rFonts w:cs="Times New Roman"/>
                <w:kern w:val="0"/>
                <w:sz w:val="24"/>
                <w14:ligatures w14:val="none"/>
              </w:rPr>
            </w:pPr>
            <w:r>
              <w:rPr>
                <w:rFonts w:cs="Times New Roman"/>
                <w:b/>
                <w:bCs/>
                <w:kern w:val="0"/>
                <w:sz w:val="24"/>
                <w14:ligatures w14:val="none"/>
              </w:rPr>
              <w:t>历史值</w:t>
            </w:r>
            <w:r>
              <w:rPr>
                <w:rFonts w:cs="Times New Roman"/>
                <w:b/>
                <w:bCs/>
                <w:kern w:val="0"/>
                <w:sz w:val="24"/>
                <w14:ligatures w14:val="none"/>
              </w:rPr>
              <w:br w:type="textWrapping"/>
            </w:r>
            <w:r>
              <w:rPr>
                <w:rFonts w:cs="Times New Roman"/>
                <w:b/>
                <w:bCs/>
                <w:kern w:val="0"/>
                <w:sz w:val="24"/>
                <w14:ligatures w14:val="none"/>
              </w:rPr>
              <w:t>2023年</w:t>
            </w:r>
          </w:p>
        </w:tc>
        <w:tc>
          <w:tcPr>
            <w:tcW w:w="498" w:type="pct"/>
            <w:shd w:val="clear" w:color="auto" w:fill="auto"/>
            <w:noWrap/>
            <w:vAlign w:val="center"/>
          </w:tcPr>
          <w:p>
            <w:pPr>
              <w:widowControl w:val="0"/>
              <w:spacing w:line="400" w:lineRule="exact"/>
              <w:ind w:firstLine="0" w:firstLineChars="0"/>
              <w:jc w:val="both"/>
              <w:rPr>
                <w:rFonts w:cs="Times New Roman"/>
                <w:kern w:val="0"/>
                <w:sz w:val="24"/>
                <w14:ligatures w14:val="none"/>
              </w:rPr>
            </w:pPr>
            <w:r>
              <w:rPr>
                <w:rFonts w:cs="Times New Roman"/>
                <w:b/>
                <w:bCs/>
                <w:kern w:val="0"/>
                <w:sz w:val="24"/>
                <w14:ligatures w14:val="none"/>
              </w:rPr>
              <w:t>历史值</w:t>
            </w:r>
            <w:r>
              <w:rPr>
                <w:rFonts w:cs="Times New Roman"/>
                <w:b/>
                <w:bCs/>
                <w:kern w:val="0"/>
                <w:sz w:val="24"/>
                <w14:ligatures w14:val="none"/>
              </w:rPr>
              <w:br w:type="textWrapping"/>
            </w:r>
            <w:r>
              <w:rPr>
                <w:rFonts w:cs="Times New Roman"/>
                <w:b/>
                <w:bCs/>
                <w:kern w:val="0"/>
                <w:sz w:val="24"/>
                <w14:ligatures w14:val="none"/>
              </w:rPr>
              <w:t>2024年</w:t>
            </w:r>
          </w:p>
        </w:tc>
        <w:tc>
          <w:tcPr>
            <w:tcW w:w="520" w:type="pct"/>
            <w:shd w:val="clear" w:color="auto" w:fill="auto"/>
            <w:noWrap/>
            <w:vAlign w:val="center"/>
          </w:tcPr>
          <w:p>
            <w:pPr>
              <w:widowControl w:val="0"/>
              <w:spacing w:line="400" w:lineRule="exact"/>
              <w:ind w:firstLine="0" w:firstLineChars="0"/>
              <w:jc w:val="both"/>
              <w:rPr>
                <w:rFonts w:cs="Times New Roman"/>
                <w:kern w:val="0"/>
                <w:sz w:val="24"/>
                <w:highlight w:val="yellow"/>
                <w14:ligatures w14:val="none"/>
              </w:rPr>
            </w:pPr>
            <w:r>
              <w:rPr>
                <w:rFonts w:cs="Times New Roman"/>
                <w:b/>
                <w:bCs/>
                <w:kern w:val="0"/>
                <w:sz w:val="24"/>
                <w:highlight w:val="yellow"/>
                <w14:ligatures w14:val="none"/>
              </w:rPr>
              <w:t>预测值</w:t>
            </w:r>
            <w:r>
              <w:rPr>
                <w:rFonts w:cs="Times New Roman"/>
                <w:b/>
                <w:bCs/>
                <w:kern w:val="0"/>
                <w:sz w:val="24"/>
                <w:highlight w:val="yellow"/>
                <w14:ligatures w14:val="none"/>
              </w:rPr>
              <w:br w:type="textWrapping"/>
            </w:r>
            <w:r>
              <w:rPr>
                <w:rFonts w:cs="Times New Roman"/>
                <w:b/>
                <w:bCs/>
                <w:kern w:val="0"/>
                <w:sz w:val="24"/>
                <w:highlight w:val="yellow"/>
                <w14:ligatures w14:val="none"/>
              </w:rPr>
              <w:t>2025年</w:t>
            </w:r>
          </w:p>
        </w:tc>
        <w:tc>
          <w:tcPr>
            <w:tcW w:w="507" w:type="pct"/>
            <w:shd w:val="clear" w:color="auto" w:fill="auto"/>
            <w:noWrap/>
            <w:vAlign w:val="center"/>
          </w:tcPr>
          <w:p>
            <w:pPr>
              <w:widowControl w:val="0"/>
              <w:spacing w:line="400" w:lineRule="exact"/>
              <w:ind w:firstLine="0" w:firstLineChars="0"/>
              <w:jc w:val="both"/>
              <w:rPr>
                <w:rFonts w:cs="Times New Roman"/>
                <w:kern w:val="0"/>
                <w:sz w:val="24"/>
                <w14:ligatures w14:val="none"/>
              </w:rPr>
            </w:pPr>
            <w:r>
              <w:rPr>
                <w:rFonts w:cs="Times New Roman"/>
                <w:b/>
                <w:bCs/>
                <w:kern w:val="0"/>
                <w:sz w:val="24"/>
                <w14:ligatures w14:val="none"/>
              </w:rPr>
              <w:t>目标值</w:t>
            </w:r>
            <w:r>
              <w:rPr>
                <w:rFonts w:cs="Times New Roman"/>
                <w:b/>
                <w:bCs/>
                <w:kern w:val="0"/>
                <w:sz w:val="24"/>
                <w14:ligatures w14:val="none"/>
              </w:rPr>
              <w:br w:type="textWrapping"/>
            </w:r>
            <w:r>
              <w:rPr>
                <w:rFonts w:cs="Times New Roman"/>
                <w:b/>
                <w:bCs/>
                <w:kern w:val="0"/>
                <w:sz w:val="24"/>
                <w14:ligatures w14:val="none"/>
              </w:rPr>
              <w:t>2030年</w:t>
            </w:r>
          </w:p>
        </w:tc>
        <w:tc>
          <w:tcPr>
            <w:tcW w:w="731" w:type="pct"/>
            <w:shd w:val="clear" w:color="auto" w:fill="auto"/>
            <w:noWrap/>
            <w:vAlign w:val="center"/>
          </w:tcPr>
          <w:p>
            <w:pPr>
              <w:widowControl w:val="0"/>
              <w:spacing w:line="400" w:lineRule="exact"/>
              <w:ind w:firstLine="0" w:firstLineChars="0"/>
              <w:jc w:val="both"/>
              <w:rPr>
                <w:rFonts w:cs="Times New Roman"/>
                <w:kern w:val="0"/>
                <w:sz w:val="24"/>
                <w:highlight w:val="yellow"/>
                <w14:ligatures w14:val="none"/>
              </w:rPr>
            </w:pPr>
            <w:r>
              <w:rPr>
                <w:rFonts w:cs="Times New Roman"/>
                <w:b/>
                <w:bCs/>
                <w:kern w:val="0"/>
                <w:sz w:val="24"/>
                <w:highlight w:val="yellow"/>
                <w14:ligatures w14:val="none"/>
              </w:rPr>
              <w:t>2025-2030</w:t>
            </w:r>
            <w:r>
              <w:rPr>
                <w:rFonts w:cs="Times New Roman"/>
                <w:b/>
                <w:bCs/>
                <w:kern w:val="0"/>
                <w:sz w:val="24"/>
                <w:highlight w:val="yellow"/>
                <w14:ligatures w14:val="none"/>
              </w:rPr>
              <w:br w:type="textWrapping"/>
            </w:r>
            <w:r>
              <w:rPr>
                <w:rFonts w:cs="Times New Roman"/>
                <w:b/>
                <w:bCs/>
                <w:kern w:val="0"/>
                <w:sz w:val="24"/>
                <w:highlight w:val="yellow"/>
                <w14:ligatures w14:val="none"/>
              </w:rPr>
              <w:t>年均增长率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98" w:type="pct"/>
            <w:shd w:val="clear" w:color="auto" w:fill="auto"/>
            <w:noWrap/>
            <w:vAlign w:val="center"/>
          </w:tcPr>
          <w:p>
            <w:pPr>
              <w:widowControl w:val="0"/>
              <w:spacing w:line="360" w:lineRule="exact"/>
              <w:ind w:firstLine="0" w:firstLineChars="0"/>
              <w:jc w:val="left"/>
              <w:rPr>
                <w:rFonts w:cs="Times New Roman"/>
                <w:kern w:val="0"/>
                <w:sz w:val="24"/>
                <w14:ligatures w14:val="none"/>
              </w:rPr>
            </w:pPr>
            <w:r>
              <w:rPr>
                <w:rFonts w:hint="default" w:cs="Times New Roman"/>
                <w:kern w:val="0"/>
                <w:sz w:val="24"/>
                <w:lang w:val="en-US" w:eastAsia="zh-CN"/>
                <w14:ligatures w14:val="none"/>
              </w:rPr>
              <w:t>高端</w:t>
            </w:r>
            <w:r>
              <w:rPr>
                <w:rFonts w:cs="Times New Roman"/>
                <w:kern w:val="0"/>
                <w:sz w:val="24"/>
                <w14:ligatures w14:val="none"/>
              </w:rPr>
              <w:t>商贸</w:t>
            </w:r>
            <w:r>
              <w:rPr>
                <w:rFonts w:cs="Times New Roman"/>
                <w:kern w:val="0"/>
                <w:sz w:val="24"/>
                <w14:ligatures w14:val="none"/>
              </w:rPr>
              <w:br w:type="textWrapping"/>
            </w:r>
            <w:r>
              <w:rPr>
                <w:rFonts w:cs="Times New Roman"/>
                <w:kern w:val="0"/>
                <w:sz w:val="24"/>
                <w14:ligatures w14:val="none"/>
              </w:rPr>
              <w:t>服务</w:t>
            </w:r>
          </w:p>
        </w:tc>
        <w:tc>
          <w:tcPr>
            <w:tcW w:w="636"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ascii="Times New Roman" w:hAnsi="Times New Roman" w:eastAsia="仿宋_GB2312" w:cs="Times New Roman"/>
                <w:i w:val="0"/>
                <w:iCs w:val="0"/>
                <w:color w:val="auto"/>
                <w:kern w:val="0"/>
                <w:sz w:val="24"/>
                <w:szCs w:val="24"/>
                <w:u w:val="none"/>
                <w:lang w:val="en-US" w:eastAsia="zh-CN" w:bidi="ar"/>
                <w14:ligatures w14:val="none"/>
              </w:rPr>
              <w:t>3349.08</w:t>
            </w:r>
          </w:p>
        </w:tc>
        <w:tc>
          <w:tcPr>
            <w:tcW w:w="507"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ascii="Times New Roman" w:hAnsi="Times New Roman" w:eastAsia="仿宋_GB2312" w:cs="Times New Roman"/>
                <w:i w:val="0"/>
                <w:iCs w:val="0"/>
                <w:color w:val="auto"/>
                <w:kern w:val="0"/>
                <w:sz w:val="24"/>
                <w:szCs w:val="24"/>
                <w:u w:val="none"/>
                <w:lang w:val="en-US" w:eastAsia="zh-CN" w:bidi="ar"/>
                <w14:ligatures w14:val="none"/>
              </w:rPr>
              <w:t>4674.79</w:t>
            </w:r>
          </w:p>
        </w:tc>
        <w:tc>
          <w:tcPr>
            <w:tcW w:w="498"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ascii="Times New Roman" w:hAnsi="Times New Roman" w:eastAsia="仿宋_GB2312" w:cs="Times New Roman"/>
                <w:i w:val="0"/>
                <w:iCs w:val="0"/>
                <w:color w:val="auto"/>
                <w:kern w:val="0"/>
                <w:sz w:val="24"/>
                <w:szCs w:val="24"/>
                <w:u w:val="none"/>
                <w:lang w:val="en-US" w:eastAsia="zh-CN" w:bidi="ar"/>
                <w14:ligatures w14:val="none"/>
              </w:rPr>
              <w:t>4622.58</w:t>
            </w:r>
          </w:p>
        </w:tc>
        <w:tc>
          <w:tcPr>
            <w:tcW w:w="498"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ascii="Times New Roman" w:hAnsi="Times New Roman" w:eastAsia="仿宋_GB2312" w:cs="Times New Roman"/>
                <w:i w:val="0"/>
                <w:iCs w:val="0"/>
                <w:color w:val="auto"/>
                <w:kern w:val="0"/>
                <w:sz w:val="24"/>
                <w:szCs w:val="24"/>
                <w:u w:val="none"/>
                <w:lang w:val="en-US" w:eastAsia="zh-CN" w:bidi="ar"/>
                <w14:ligatures w14:val="none"/>
              </w:rPr>
              <w:t>4537.15</w:t>
            </w:r>
          </w:p>
        </w:tc>
        <w:tc>
          <w:tcPr>
            <w:tcW w:w="498"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ascii="Times New Roman" w:hAnsi="Times New Roman" w:eastAsia="仿宋_GB2312" w:cs="Times New Roman"/>
                <w:i w:val="0"/>
                <w:iCs w:val="0"/>
                <w:color w:val="auto"/>
                <w:kern w:val="0"/>
                <w:sz w:val="24"/>
                <w:szCs w:val="24"/>
                <w:u w:val="none"/>
                <w:lang w:val="en-US" w:eastAsia="zh-CN" w:bidi="ar"/>
                <w14:ligatures w14:val="none"/>
              </w:rPr>
              <w:t>5</w:t>
            </w:r>
            <w:r>
              <w:rPr>
                <w:rFonts w:hint="default" w:ascii="Times New Roman" w:hAnsi="Times New Roman" w:cs="Times New Roman"/>
                <w:i w:val="0"/>
                <w:iCs w:val="0"/>
                <w:color w:val="auto"/>
                <w:kern w:val="0"/>
                <w:sz w:val="24"/>
                <w:szCs w:val="24"/>
                <w:u w:val="none"/>
                <w:lang w:val="en-US" w:eastAsia="zh-CN" w:bidi="ar"/>
                <w14:ligatures w14:val="none"/>
              </w:rPr>
              <w:t>343</w:t>
            </w:r>
          </w:p>
        </w:tc>
        <w:tc>
          <w:tcPr>
            <w:tcW w:w="520"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highlight w:val="yellow"/>
                <w:u w:val="none"/>
                <w:lang w:bidi="ar"/>
                <w14:ligatures w14:val="none"/>
              </w:rPr>
            </w:pPr>
            <w:r>
              <w:rPr>
                <w:rFonts w:hint="default" w:ascii="Times New Roman" w:hAnsi="Times New Roman" w:eastAsia="仿宋_GB2312" w:cs="Times New Roman"/>
                <w:i w:val="0"/>
                <w:iCs w:val="0"/>
                <w:color w:val="auto"/>
                <w:kern w:val="0"/>
                <w:sz w:val="24"/>
                <w:szCs w:val="24"/>
                <w:highlight w:val="yellow"/>
                <w:u w:val="none"/>
                <w:lang w:val="en-US" w:eastAsia="zh-CN" w:bidi="ar"/>
                <w14:ligatures w14:val="none"/>
              </w:rPr>
              <w:t>5</w:t>
            </w:r>
            <w:r>
              <w:rPr>
                <w:rFonts w:hint="default" w:ascii="Times New Roman" w:hAnsi="Times New Roman" w:cs="Times New Roman"/>
                <w:i w:val="0"/>
                <w:iCs w:val="0"/>
                <w:color w:val="auto"/>
                <w:kern w:val="0"/>
                <w:sz w:val="24"/>
                <w:szCs w:val="24"/>
                <w:highlight w:val="yellow"/>
                <w:u w:val="none"/>
                <w:lang w:val="en-US" w:eastAsia="zh-CN" w:bidi="ar"/>
                <w14:ligatures w14:val="none"/>
              </w:rPr>
              <w:t>600</w:t>
            </w:r>
          </w:p>
        </w:tc>
        <w:tc>
          <w:tcPr>
            <w:tcW w:w="507"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u w:val="none"/>
                <w:lang w:bidi="ar"/>
                <w14:ligatures w14:val="none"/>
              </w:rPr>
            </w:pPr>
            <w:r>
              <w:rPr>
                <w:rFonts w:hint="default" w:ascii="Times New Roman" w:hAnsi="Times New Roman" w:eastAsia="仿宋_GB2312" w:cs="Times New Roman"/>
                <w:i w:val="0"/>
                <w:iCs w:val="0"/>
                <w:color w:val="auto"/>
                <w:kern w:val="0"/>
                <w:sz w:val="24"/>
                <w:szCs w:val="24"/>
                <w:u w:val="none"/>
                <w:lang w:val="en-US" w:eastAsia="zh-CN" w:bidi="ar"/>
                <w14:ligatures w14:val="none"/>
              </w:rPr>
              <w:t>6500</w:t>
            </w:r>
          </w:p>
        </w:tc>
        <w:tc>
          <w:tcPr>
            <w:tcW w:w="731"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highlight w:val="yellow"/>
                <w:u w:val="none"/>
                <w:lang w:bidi="ar"/>
                <w14:ligatures w14:val="none"/>
              </w:rPr>
            </w:pPr>
            <w:r>
              <w:rPr>
                <w:rFonts w:hint="default" w:ascii="Times New Roman" w:hAnsi="Times New Roman" w:cs="Times New Roman"/>
                <w:kern w:val="0"/>
                <w:sz w:val="24"/>
                <w:highlight w:val="yellow"/>
                <w:lang w:eastAsia="zh-CN"/>
                <w14:ligatures w14:val="none"/>
              </w:rPr>
              <w:t>3</w:t>
            </w:r>
            <w:r>
              <w:rPr>
                <w:rFonts w:hint="default" w:ascii="Times New Roman" w:hAnsi="Times New Roman" w:cs="Times New Roman"/>
                <w:kern w:val="0"/>
                <w:sz w:val="24"/>
                <w:highlight w:val="yellow"/>
                <w:lang w:val="en-US" w:eastAsia="zh-CN"/>
                <w14:ligatures w14:val="none"/>
              </w:rPr>
              <w:t>.0</w:t>
            </w:r>
            <w:r>
              <w:rPr>
                <w:rFonts w:cs="Times New Roman"/>
                <w:kern w:val="0"/>
                <w:sz w:val="24"/>
                <w:highlight w:val="yellow"/>
                <w14:ligatures w14: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98" w:type="pct"/>
            <w:shd w:val="clear" w:color="auto" w:fill="auto"/>
            <w:noWrap/>
            <w:vAlign w:val="center"/>
          </w:tcPr>
          <w:p>
            <w:pPr>
              <w:widowControl w:val="0"/>
              <w:spacing w:line="360" w:lineRule="exact"/>
              <w:ind w:firstLine="0" w:firstLineChars="0"/>
              <w:jc w:val="left"/>
              <w:rPr>
                <w:rFonts w:cs="Times New Roman"/>
                <w:kern w:val="0"/>
                <w:sz w:val="24"/>
                <w14:ligatures w14:val="none"/>
              </w:rPr>
            </w:pPr>
            <w:r>
              <w:rPr>
                <w:rFonts w:cs="Times New Roman"/>
                <w:kern w:val="0"/>
                <w:sz w:val="24"/>
                <w14:ligatures w14:val="none"/>
              </w:rPr>
              <w:t>新型制造</w:t>
            </w:r>
            <w:r>
              <w:rPr>
                <w:rFonts w:cs="Times New Roman"/>
                <w:kern w:val="0"/>
                <w:sz w:val="24"/>
                <w14:ligatures w14:val="none"/>
              </w:rPr>
              <w:br w:type="textWrapping"/>
            </w:r>
            <w:r>
              <w:rPr>
                <w:rFonts w:cs="Times New Roman"/>
                <w:kern w:val="0"/>
                <w:sz w:val="24"/>
                <w14:ligatures w14:val="none"/>
              </w:rPr>
              <w:t>服务</w:t>
            </w:r>
          </w:p>
        </w:tc>
        <w:tc>
          <w:tcPr>
            <w:tcW w:w="636"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cs="Times New Roman"/>
                <w:kern w:val="0"/>
                <w:sz w:val="24"/>
                <w14:ligatures w14:val="none"/>
              </w:rPr>
              <w:t>——</w:t>
            </w:r>
          </w:p>
        </w:tc>
        <w:tc>
          <w:tcPr>
            <w:tcW w:w="507"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14:ligatures w14:val="none"/>
              </w:rPr>
            </w:pPr>
            <w:r>
              <w:rPr>
                <w:rFonts w:hint="default" w:cs="Times New Roman"/>
                <w:kern w:val="0"/>
                <w:sz w:val="24"/>
                <w14:ligatures w14:val="none"/>
              </w:rPr>
              <w:t>2497.63</w:t>
            </w:r>
          </w:p>
        </w:tc>
        <w:tc>
          <w:tcPr>
            <w:tcW w:w="498"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14:ligatures w14:val="none"/>
              </w:rPr>
            </w:pPr>
            <w:r>
              <w:rPr>
                <w:rFonts w:hint="default" w:cs="Times New Roman"/>
                <w:kern w:val="0"/>
                <w:sz w:val="24"/>
                <w14:ligatures w14:val="none"/>
              </w:rPr>
              <w:t>2524.54</w:t>
            </w:r>
          </w:p>
        </w:tc>
        <w:tc>
          <w:tcPr>
            <w:tcW w:w="498"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14:ligatures w14:val="none"/>
              </w:rPr>
            </w:pPr>
            <w:r>
              <w:rPr>
                <w:rFonts w:hint="default" w:cs="Times New Roman"/>
                <w:kern w:val="0"/>
                <w:sz w:val="24"/>
                <w14:ligatures w14:val="none"/>
              </w:rPr>
              <w:t>2409.92</w:t>
            </w:r>
          </w:p>
        </w:tc>
        <w:tc>
          <w:tcPr>
            <w:tcW w:w="498"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14:ligatures w14:val="none"/>
              </w:rPr>
            </w:pPr>
            <w:r>
              <w:rPr>
                <w:rFonts w:hint="default" w:cs="Times New Roman"/>
                <w:kern w:val="0"/>
                <w:sz w:val="24"/>
                <w14:ligatures w14:val="none"/>
              </w:rPr>
              <w:t>2709.28</w:t>
            </w:r>
          </w:p>
        </w:tc>
        <w:tc>
          <w:tcPr>
            <w:tcW w:w="520"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highlight w:val="yellow"/>
                <w:u w:val="none"/>
                <w:lang w:bidi="ar"/>
                <w14:ligatures w14:val="none"/>
              </w:rPr>
            </w:pPr>
            <w:r>
              <w:rPr>
                <w:rFonts w:hint="default" w:cs="Times New Roman"/>
                <w:kern w:val="0"/>
                <w:sz w:val="24"/>
                <w:highlight w:val="yellow"/>
                <w14:ligatures w14:val="none"/>
              </w:rPr>
              <w:t>2750</w:t>
            </w:r>
          </w:p>
        </w:tc>
        <w:tc>
          <w:tcPr>
            <w:tcW w:w="507"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u w:val="none"/>
                <w:lang w:bidi="ar"/>
                <w14:ligatures w14:val="none"/>
              </w:rPr>
            </w:pPr>
            <w:r>
              <w:rPr>
                <w:rFonts w:hint="default" w:cs="Times New Roman"/>
                <w:kern w:val="0"/>
                <w:sz w:val="24"/>
                <w14:ligatures w14:val="none"/>
              </w:rPr>
              <w:t>3000</w:t>
            </w:r>
          </w:p>
        </w:tc>
        <w:tc>
          <w:tcPr>
            <w:tcW w:w="731"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highlight w:val="yellow"/>
                <w:u w:val="none"/>
                <w:lang w:bidi="ar"/>
                <w14:ligatures w14:val="none"/>
              </w:rPr>
            </w:pPr>
            <w:r>
              <w:rPr>
                <w:rFonts w:hint="default" w:cs="Times New Roman"/>
                <w:kern w:val="0"/>
                <w:sz w:val="24"/>
                <w:highlight w:val="yellow"/>
                <w:lang w:val="en-US" w:eastAsia="zh-CN"/>
                <w14:ligatures w14:val="none"/>
              </w:rPr>
              <w:t>1.</w:t>
            </w:r>
            <w:r>
              <w:rPr>
                <w:rFonts w:hint="default" w:ascii="Times New Roman" w:hAnsi="Times New Roman" w:cs="Times New Roman"/>
                <w:kern w:val="0"/>
                <w:sz w:val="24"/>
                <w:highlight w:val="yellow"/>
                <w:lang w:val="en-US" w:eastAsia="zh-CN"/>
                <w14:ligatures w14:val="none"/>
              </w:rPr>
              <w:t>8</w:t>
            </w:r>
            <w:r>
              <w:rPr>
                <w:rFonts w:cs="Times New Roman"/>
                <w:kern w:val="0"/>
                <w:sz w:val="24"/>
                <w:highlight w:val="yellow"/>
                <w14:ligatures w14: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598" w:type="pct"/>
            <w:shd w:val="clear" w:color="auto" w:fill="auto"/>
            <w:noWrap/>
            <w:vAlign w:val="center"/>
          </w:tcPr>
          <w:p>
            <w:pPr>
              <w:widowControl w:val="0"/>
              <w:spacing w:line="360" w:lineRule="exact"/>
              <w:ind w:firstLine="0" w:firstLineChars="0"/>
              <w:jc w:val="left"/>
              <w:rPr>
                <w:rFonts w:cs="Times New Roman"/>
                <w:kern w:val="0"/>
                <w:sz w:val="24"/>
                <w14:ligatures w14:val="none"/>
              </w:rPr>
            </w:pPr>
            <w:r>
              <w:rPr>
                <w:rFonts w:cs="Times New Roman"/>
                <w:kern w:val="0"/>
                <w:sz w:val="24"/>
                <w14:ligatures w14:val="none"/>
              </w:rPr>
              <w:t>数字</w:t>
            </w:r>
            <w:r>
              <w:rPr>
                <w:rFonts w:hint="default" w:cs="Times New Roman"/>
                <w:kern w:val="0"/>
                <w:sz w:val="24"/>
                <w:lang w:val="en-US" w:eastAsia="zh-CN"/>
                <w14:ligatures w14:val="none"/>
              </w:rPr>
              <w:t>创意</w:t>
            </w:r>
            <w:r>
              <w:rPr>
                <w:rFonts w:cs="Times New Roman"/>
                <w:kern w:val="0"/>
                <w:sz w:val="24"/>
                <w14:ligatures w14:val="none"/>
              </w:rPr>
              <w:br w:type="textWrapping"/>
            </w:r>
            <w:r>
              <w:rPr>
                <w:rFonts w:cs="Times New Roman"/>
                <w:kern w:val="0"/>
                <w:sz w:val="24"/>
                <w14:ligatures w14:val="none"/>
              </w:rPr>
              <w:t>服务</w:t>
            </w:r>
          </w:p>
        </w:tc>
        <w:tc>
          <w:tcPr>
            <w:tcW w:w="1720" w:type="dxa"/>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cs="Times New Roman"/>
                <w:kern w:val="0"/>
                <w:sz w:val="24"/>
                <w:lang w:val="en-US" w:eastAsia="zh-CN"/>
                <w14:ligatures w14:val="none"/>
              </w:rPr>
              <w:t>434.57</w:t>
            </w:r>
          </w:p>
        </w:tc>
        <w:tc>
          <w:tcPr>
            <w:tcW w:w="1371" w:type="dxa"/>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cs="Times New Roman"/>
                <w:kern w:val="0"/>
                <w:sz w:val="24"/>
                <w:lang w:val="en-US" w:eastAsia="zh-CN"/>
                <w14:ligatures w14:val="none"/>
              </w:rPr>
              <w:t>914.66</w:t>
            </w:r>
          </w:p>
        </w:tc>
        <w:tc>
          <w:tcPr>
            <w:tcW w:w="1346" w:type="dxa"/>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cs="Times New Roman"/>
                <w:kern w:val="0"/>
                <w:sz w:val="24"/>
                <w:lang w:val="en-US" w:eastAsia="zh-CN"/>
                <w14:ligatures w14:val="none"/>
              </w:rPr>
              <w:t>958.25</w:t>
            </w:r>
          </w:p>
        </w:tc>
        <w:tc>
          <w:tcPr>
            <w:tcW w:w="1346" w:type="dxa"/>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cs="Times New Roman"/>
                <w:kern w:val="0"/>
                <w:sz w:val="24"/>
                <w:lang w:val="en-US" w:eastAsia="zh-CN"/>
                <w14:ligatures w14:val="none"/>
              </w:rPr>
              <w:t>1018.49</w:t>
            </w:r>
          </w:p>
        </w:tc>
        <w:tc>
          <w:tcPr>
            <w:tcW w:w="1346" w:type="dxa"/>
            <w:shd w:val="clear" w:color="auto" w:fill="auto"/>
            <w:noWrap/>
            <w:vAlign w:val="center"/>
          </w:tcPr>
          <w:p>
            <w:pPr>
              <w:keepNext w:val="0"/>
              <w:keepLines w:val="0"/>
              <w:widowControl w:val="0"/>
              <w:suppressLineNumbers w:val="0"/>
              <w:spacing w:line="240" w:lineRule="auto"/>
              <w:ind w:firstLine="0" w:firstLineChars="0"/>
              <w:jc w:val="both"/>
              <w:textAlignment w:val="auto"/>
              <w:rPr>
                <w:rFonts w:cs="Times New Roman"/>
                <w:kern w:val="0"/>
                <w:sz w:val="24"/>
                <w14:ligatures w14:val="none"/>
              </w:rPr>
            </w:pPr>
            <w:r>
              <w:rPr>
                <w:rFonts w:hint="default" w:cs="Times New Roman"/>
                <w:kern w:val="0"/>
                <w:sz w:val="24"/>
                <w:lang w:val="en-US" w:eastAsia="zh-CN"/>
                <w14:ligatures w14:val="none"/>
              </w:rPr>
              <w:t>1025.95</w:t>
            </w:r>
          </w:p>
        </w:tc>
        <w:tc>
          <w:tcPr>
            <w:tcW w:w="520"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highlight w:val="yellow"/>
                <w:u w:val="none"/>
                <w:lang w:bidi="ar"/>
                <w14:ligatures w14:val="none"/>
              </w:rPr>
            </w:pPr>
            <w:r>
              <w:rPr>
                <w:rFonts w:cs="Times New Roman"/>
                <w:kern w:val="0"/>
                <w:sz w:val="24"/>
                <w:highlight w:val="yellow"/>
                <w14:ligatures w14:val="none"/>
              </w:rPr>
              <w:t>1</w:t>
            </w:r>
            <w:r>
              <w:rPr>
                <w:rFonts w:hint="default" w:cs="Times New Roman"/>
                <w:kern w:val="0"/>
                <w:sz w:val="24"/>
                <w:highlight w:val="yellow"/>
                <w:lang w:val="en-US" w:eastAsia="zh-CN"/>
                <w14:ligatures w14:val="none"/>
              </w:rPr>
              <w:t>2</w:t>
            </w:r>
            <w:r>
              <w:rPr>
                <w:rFonts w:cs="Times New Roman"/>
                <w:kern w:val="0"/>
                <w:sz w:val="24"/>
                <w:highlight w:val="yellow"/>
                <w14:ligatures w14:val="none"/>
              </w:rPr>
              <w:t>00</w:t>
            </w:r>
          </w:p>
        </w:tc>
        <w:tc>
          <w:tcPr>
            <w:tcW w:w="507"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u w:val="none"/>
                <w:lang w:bidi="ar"/>
                <w14:ligatures w14:val="none"/>
              </w:rPr>
            </w:pPr>
            <w:r>
              <w:rPr>
                <w:rFonts w:cs="Times New Roman"/>
                <w:kern w:val="0"/>
                <w:sz w:val="24"/>
                <w14:ligatures w14:val="none"/>
              </w:rPr>
              <w:t>1700</w:t>
            </w:r>
          </w:p>
        </w:tc>
        <w:tc>
          <w:tcPr>
            <w:tcW w:w="731" w:type="pct"/>
            <w:shd w:val="clear" w:color="auto" w:fill="auto"/>
            <w:noWrap/>
            <w:vAlign w:val="center"/>
          </w:tcPr>
          <w:p>
            <w:pPr>
              <w:keepNext w:val="0"/>
              <w:keepLines w:val="0"/>
              <w:widowControl w:val="0"/>
              <w:suppressLineNumbers w:val="0"/>
              <w:spacing w:line="240" w:lineRule="auto"/>
              <w:ind w:firstLine="0" w:firstLineChars="0"/>
              <w:jc w:val="both"/>
              <w:textAlignment w:val="auto"/>
              <w:rPr>
                <w:rFonts w:hint="default" w:cs="Times New Roman"/>
                <w:kern w:val="0"/>
                <w:sz w:val="24"/>
                <w:highlight w:val="yellow"/>
                <w:u w:val="none"/>
                <w:lang w:bidi="ar"/>
                <w14:ligatures w14:val="none"/>
              </w:rPr>
            </w:pPr>
            <w:r>
              <w:rPr>
                <w:rFonts w:hint="default" w:cs="Times New Roman"/>
                <w:kern w:val="0"/>
                <w:sz w:val="24"/>
                <w:highlight w:val="yellow"/>
                <w:lang w:val="en-US" w:eastAsia="zh-CN"/>
                <w14:ligatures w14:val="none"/>
              </w:rPr>
              <w:t>7.2</w:t>
            </w:r>
            <w:r>
              <w:rPr>
                <w:rFonts w:cs="Times New Roman"/>
                <w:kern w:val="0"/>
                <w:sz w:val="24"/>
                <w:highlight w:val="yellow"/>
                <w14:ligatures w14:val="none"/>
              </w:rPr>
              <w:t>%</w:t>
            </w:r>
          </w:p>
        </w:tc>
      </w:tr>
      <w:bookmarkEnd w:id="253"/>
    </w:tbl>
    <w:p>
      <w:pPr>
        <w:spacing w:after="217" w:afterLines="50" w:line="240" w:lineRule="auto"/>
        <w:ind w:firstLine="480"/>
        <w:rPr>
          <w:rFonts w:hint="default" w:cs="Times New Roman"/>
          <w:sz w:val="24"/>
          <w:lang w:val="en-US" w:eastAsia="zh-CN"/>
        </w:rPr>
      </w:pPr>
      <w:r>
        <w:rPr>
          <w:rFonts w:cs="Times New Roman"/>
          <w:sz w:val="24"/>
        </w:rPr>
        <w:t>说明一：2025年预测值计算方法为，通过2025年</w:t>
      </w:r>
      <w:r>
        <w:rPr>
          <w:rFonts w:hint="default" w:cs="Times New Roman"/>
          <w:sz w:val="24"/>
          <w:lang w:val="en-US" w:eastAsia="zh-CN"/>
        </w:rPr>
        <w:t>三</w:t>
      </w:r>
      <w:r>
        <w:rPr>
          <w:rFonts w:cs="Times New Roman"/>
          <w:sz w:val="24"/>
        </w:rPr>
        <w:t>季度营收推断2025年全年数据</w:t>
      </w:r>
      <w:r>
        <w:rPr>
          <w:rFonts w:hint="default" w:cs="Times New Roman"/>
          <w:sz w:val="24"/>
          <w:lang w:eastAsia="zh-CN"/>
        </w:rPr>
        <w:t>，</w:t>
      </w:r>
      <w:r>
        <w:rPr>
          <w:rFonts w:hint="default" w:cs="Times New Roman"/>
          <w:sz w:val="24"/>
          <w:lang w:val="en-US" w:eastAsia="zh-CN"/>
        </w:rPr>
        <w:t>同时结合</w:t>
      </w:r>
      <w:r>
        <w:rPr>
          <w:rFonts w:cs="Times New Roman"/>
          <w:sz w:val="24"/>
        </w:rPr>
        <w:t>2020-2024年数据推测2025年全年数据</w:t>
      </w:r>
      <w:r>
        <w:rPr>
          <w:rFonts w:hint="default" w:cs="Times New Roman"/>
          <w:sz w:val="24"/>
          <w:lang w:eastAsia="zh-CN"/>
        </w:rPr>
        <w:t>，</w:t>
      </w:r>
      <w:r>
        <w:rPr>
          <w:rFonts w:hint="default" w:cs="Times New Roman"/>
          <w:sz w:val="24"/>
          <w:lang w:val="en-US" w:eastAsia="zh-CN"/>
        </w:rPr>
        <w:t>进行预测。</w:t>
      </w:r>
    </w:p>
    <w:p>
      <w:pPr>
        <w:spacing w:after="217" w:afterLines="50" w:line="240" w:lineRule="auto"/>
        <w:ind w:firstLine="480"/>
        <w:rPr>
          <w:rFonts w:cs="Times New Roman"/>
        </w:rPr>
      </w:pPr>
      <w:r>
        <w:rPr>
          <w:rFonts w:cs="Times New Roman"/>
          <w:sz w:val="24"/>
        </w:rPr>
        <w:t>说明二：2030年目标值计算方法为线性预测方法，通过2020-2025年数据</w:t>
      </w:r>
      <w:r>
        <w:rPr>
          <w:rFonts w:hint="default" w:cs="Times New Roman"/>
          <w:sz w:val="24"/>
          <w:lang w:val="en-US" w:eastAsia="zh-CN"/>
        </w:rPr>
        <w:t>基础预测</w:t>
      </w:r>
      <w:r>
        <w:rPr>
          <w:rFonts w:cs="Times New Roman"/>
          <w:sz w:val="24"/>
        </w:rPr>
        <w:t>20</w:t>
      </w:r>
      <w:r>
        <w:rPr>
          <w:rFonts w:hint="default" w:cs="Times New Roman"/>
          <w:sz w:val="24"/>
          <w:lang w:val="en-US" w:eastAsia="zh-CN"/>
        </w:rPr>
        <w:t>30</w:t>
      </w:r>
      <w:r>
        <w:rPr>
          <w:rFonts w:cs="Times New Roman"/>
          <w:sz w:val="24"/>
        </w:rPr>
        <w:t>年全年数据。</w:t>
      </w:r>
    </w:p>
    <w:p>
      <w:pPr>
        <w:spacing w:after="217" w:afterLines="50" w:line="240" w:lineRule="auto"/>
        <w:ind w:firstLine="480"/>
        <w:rPr>
          <w:rFonts w:ascii="Times New Roman" w:hAnsi="Times New Roman" w:cs="Times New Roman"/>
          <w:sz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435" w:charSpace="0"/>
        </w:sectPr>
      </w:pPr>
    </w:p>
    <w:p>
      <w:pPr>
        <w:pStyle w:val="2"/>
        <w:ind w:firstLine="643"/>
        <w:jc w:val="center"/>
        <w:rPr>
          <w:rFonts w:cs="Times New Roman"/>
        </w:rPr>
      </w:pPr>
      <w:bookmarkStart w:id="254" w:name="_Toc30721"/>
      <w:bookmarkStart w:id="255" w:name="_Toc24669"/>
      <w:bookmarkStart w:id="256" w:name="_Toc201310208"/>
      <w:bookmarkStart w:id="257" w:name="_Toc8252"/>
      <w:bookmarkStart w:id="258" w:name="_Toc23710"/>
      <w:r>
        <w:rPr>
          <w:rFonts w:cs="Times New Roman"/>
        </w:rPr>
        <w:t>附录三</w:t>
      </w:r>
      <w:r>
        <w:rPr>
          <w:rFonts w:hint="eastAsia" w:cs="Times New Roman"/>
          <w:lang w:val="en-US" w:eastAsia="zh-CN"/>
        </w:rPr>
        <w:t xml:space="preserve">  </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时期部分新增指标说明</w:t>
      </w:r>
      <w:bookmarkEnd w:id="254"/>
      <w:bookmarkEnd w:id="255"/>
      <w:bookmarkEnd w:id="256"/>
      <w:bookmarkEnd w:id="257"/>
      <w:bookmarkEnd w:id="258"/>
    </w:p>
    <w:p>
      <w:pPr>
        <w:pStyle w:val="60"/>
        <w:ind w:firstLine="643"/>
      </w:pPr>
      <w:r>
        <w:t>1、支柱产业营收年均增长</w:t>
      </w:r>
    </w:p>
    <w:p>
      <w:pPr>
        <w:ind w:firstLine="640"/>
        <w:rPr>
          <w:rFonts w:cs="Times New Roman"/>
          <w:highlight w:val="none"/>
        </w:rPr>
      </w:pP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时期，闵行区服务业支柱产业为</w:t>
      </w:r>
      <w:r>
        <w:rPr>
          <w:rFonts w:hint="default" w:cs="Times New Roman"/>
          <w:lang w:val="en-US" w:eastAsia="zh-CN"/>
        </w:rPr>
        <w:t>高端</w:t>
      </w:r>
      <w:r>
        <w:rPr>
          <w:rFonts w:cs="Times New Roman"/>
        </w:rPr>
        <w:t>商贸服务</w:t>
      </w:r>
      <w:r>
        <w:rPr>
          <w:rFonts w:hint="default" w:cs="Times New Roman"/>
          <w:lang w:eastAsia="zh-CN"/>
        </w:rPr>
        <w:t>、</w:t>
      </w:r>
      <w:r>
        <w:rPr>
          <w:rFonts w:cs="Times New Roman"/>
        </w:rPr>
        <w:t>新型制造服务</w:t>
      </w:r>
      <w:r>
        <w:rPr>
          <w:rFonts w:hint="default" w:cs="Times New Roman"/>
          <w:lang w:eastAsia="zh-CN"/>
        </w:rPr>
        <w:t>、</w:t>
      </w:r>
      <w:r>
        <w:rPr>
          <w:rFonts w:cs="Times New Roman"/>
        </w:rPr>
        <w:t>数字</w:t>
      </w:r>
      <w:r>
        <w:rPr>
          <w:rFonts w:hint="default" w:cs="Times New Roman"/>
          <w:lang w:val="en-US" w:eastAsia="zh-CN"/>
        </w:rPr>
        <w:t>创意</w:t>
      </w:r>
      <w:r>
        <w:rPr>
          <w:rFonts w:cs="Times New Roman"/>
        </w:rPr>
        <w:t>服务</w:t>
      </w:r>
      <w:r>
        <w:rPr>
          <w:rFonts w:hint="default" w:cs="Times New Roman"/>
          <w:lang w:val="en-US" w:eastAsia="zh-CN"/>
        </w:rPr>
        <w:t>三大</w:t>
      </w:r>
      <w:r>
        <w:rPr>
          <w:rFonts w:cs="Times New Roman"/>
        </w:rPr>
        <w:t>产业。</w:t>
      </w:r>
      <w:r>
        <w:rPr>
          <w:rFonts w:hint="default" w:cs="Times New Roman"/>
          <w:b/>
          <w:bCs/>
          <w:lang w:eastAsia="zh-CN"/>
        </w:rPr>
        <w:t>高端商贸</w:t>
      </w:r>
      <w:r>
        <w:rPr>
          <w:rFonts w:cs="Times New Roman"/>
          <w:b/>
          <w:bCs/>
        </w:rPr>
        <w:t>服务</w:t>
      </w:r>
      <w:r>
        <w:rPr>
          <w:rFonts w:hint="default" w:cs="Times New Roman"/>
          <w:lang w:val="en-US" w:eastAsia="zh-CN"/>
        </w:rPr>
        <w:t>为</w:t>
      </w:r>
      <w:r>
        <w:rPr>
          <w:rFonts w:hint="default" w:ascii="Times New Roman" w:hAnsi="Times New Roman" w:cs="Times New Roman"/>
          <w:lang w:eastAsia="zh-CN"/>
        </w:rPr>
        <w:t>“</w:t>
      </w:r>
      <w:r>
        <w:rPr>
          <w:rFonts w:cs="Times New Roman"/>
        </w:rPr>
        <w:t>十四五</w:t>
      </w:r>
      <w:r>
        <w:rPr>
          <w:rFonts w:hint="default" w:ascii="Times New Roman" w:hAnsi="Times New Roman" w:cs="Times New Roman"/>
          <w:lang w:eastAsia="zh-CN"/>
        </w:rPr>
        <w:t>”</w:t>
      </w:r>
      <w:r>
        <w:rPr>
          <w:rFonts w:cs="Times New Roman"/>
        </w:rPr>
        <w:t>原国际商贸产业</w:t>
      </w:r>
      <w:r>
        <w:rPr>
          <w:rFonts w:hint="default" w:cs="Times New Roman"/>
          <w:b/>
          <w:bCs/>
          <w:lang w:eastAsia="zh-CN"/>
        </w:rPr>
        <w:t>，</w:t>
      </w:r>
      <w:r>
        <w:rPr>
          <w:rFonts w:hint="default" w:cs="Times New Roman"/>
          <w:b w:val="0"/>
          <w:bCs w:val="0"/>
          <w:lang w:val="en-US" w:eastAsia="zh-CN"/>
        </w:rPr>
        <w:t>主要</w:t>
      </w:r>
      <w:r>
        <w:rPr>
          <w:rFonts w:cs="Times New Roman"/>
        </w:rPr>
        <w:t>包括总部经济、国际贸易</w:t>
      </w:r>
      <w:r>
        <w:rPr>
          <w:rFonts w:hint="default" w:cs="Times New Roman"/>
          <w:lang w:eastAsia="zh-CN"/>
        </w:rPr>
        <w:t>、</w:t>
      </w:r>
      <w:r>
        <w:rPr>
          <w:rFonts w:hint="default" w:cs="Times New Roman"/>
          <w:lang w:val="en-US" w:eastAsia="zh-CN"/>
        </w:rPr>
        <w:t>现代商业等3个部分</w:t>
      </w:r>
      <w:r>
        <w:rPr>
          <w:rFonts w:cs="Times New Roman"/>
        </w:rPr>
        <w:t>，建议沿用</w:t>
      </w:r>
      <w:r>
        <w:rPr>
          <w:rFonts w:hint="default" w:ascii="Times New Roman" w:hAnsi="Times New Roman" w:cs="Times New Roman"/>
          <w:lang w:eastAsia="zh-CN"/>
        </w:rPr>
        <w:t>“</w:t>
      </w:r>
      <w:r>
        <w:rPr>
          <w:rFonts w:cs="Times New Roman"/>
        </w:rPr>
        <w:t>十四五</w:t>
      </w:r>
      <w:r>
        <w:rPr>
          <w:rFonts w:hint="default" w:ascii="Times New Roman" w:hAnsi="Times New Roman" w:cs="Times New Roman"/>
          <w:lang w:eastAsia="zh-CN"/>
        </w:rPr>
        <w:t>”</w:t>
      </w:r>
      <w:r>
        <w:rPr>
          <w:rFonts w:cs="Times New Roman"/>
        </w:rPr>
        <w:t>时期统计口径。</w:t>
      </w:r>
      <w:r>
        <w:rPr>
          <w:rFonts w:cs="Times New Roman"/>
          <w:b/>
          <w:bCs/>
          <w:highlight w:val="none"/>
        </w:rPr>
        <w:t>新型制造服务</w:t>
      </w:r>
      <w:r>
        <w:rPr>
          <w:rFonts w:cs="Times New Roman"/>
          <w:highlight w:val="none"/>
        </w:rPr>
        <w:t>根据《上海市促进工业服务业赋能产业升级行动方案（2024-2027年）》内容梳理整合，建议结合原科技服务业</w:t>
      </w:r>
      <w:r>
        <w:rPr>
          <w:rStyle w:val="29"/>
          <w:rFonts w:cs="Times New Roman"/>
          <w:highlight w:val="none"/>
        </w:rPr>
        <w:footnoteReference w:id="8"/>
      </w:r>
      <w:r>
        <w:rPr>
          <w:rFonts w:cs="Times New Roman"/>
          <w:highlight w:val="none"/>
        </w:rPr>
        <w:t>中紧密围绕工业发展开展的技术应用和推广服务，与原文化创意服务中的工业设计服务，及生产性服务业</w:t>
      </w:r>
      <w:r>
        <w:rPr>
          <w:rStyle w:val="29"/>
          <w:rFonts w:cs="Times New Roman"/>
          <w:highlight w:val="none"/>
        </w:rPr>
        <w:footnoteReference w:id="9"/>
      </w:r>
      <w:r>
        <w:rPr>
          <w:rFonts w:cs="Times New Roman"/>
          <w:highlight w:val="none"/>
        </w:rPr>
        <w:t>中的货物运输、通用航空生产、仓储和邮政快递服务、节能环保服务、生产性租赁服务、生产性支持服务，面向工业企业的商务服务、人力资源服务、批发与贸易经济代理服务。各支柱产业按以上统计口径的营收情况见附录二。</w:t>
      </w:r>
      <w:r>
        <w:rPr>
          <w:rFonts w:cs="Times New Roman"/>
          <w:b/>
          <w:bCs/>
        </w:rPr>
        <w:t>数字</w:t>
      </w:r>
      <w:r>
        <w:rPr>
          <w:rFonts w:hint="default" w:cs="Times New Roman"/>
          <w:b/>
          <w:bCs/>
          <w:lang w:val="en-US" w:eastAsia="zh-CN"/>
        </w:rPr>
        <w:t>创意</w:t>
      </w:r>
      <w:r>
        <w:rPr>
          <w:rFonts w:cs="Times New Roman"/>
          <w:b/>
          <w:bCs/>
        </w:rPr>
        <w:t>服务</w:t>
      </w:r>
      <w:r>
        <w:rPr>
          <w:rFonts w:hint="default" w:cs="Times New Roman"/>
          <w:b w:val="0"/>
          <w:bCs w:val="0"/>
          <w:lang w:val="en-US" w:eastAsia="zh-CN"/>
        </w:rPr>
        <w:t>主要包括</w:t>
      </w:r>
      <w:r>
        <w:rPr>
          <w:rFonts w:cs="Times New Roman"/>
          <w:highlight w:val="none"/>
        </w:rPr>
        <w:t>软件和信息技术服务</w:t>
      </w:r>
      <w:r>
        <w:rPr>
          <w:rFonts w:hint="default" w:cs="Times New Roman"/>
          <w:highlight w:val="none"/>
          <w:lang w:val="en-US" w:eastAsia="zh-CN"/>
        </w:rPr>
        <w:t>以及</w:t>
      </w:r>
      <w:r>
        <w:rPr>
          <w:rFonts w:cs="Times New Roman"/>
        </w:rPr>
        <w:t>网络视听、数字传媒、游戏电竞、数字广告</w:t>
      </w:r>
      <w:r>
        <w:rPr>
          <w:rFonts w:hint="default" w:cs="Times New Roman"/>
          <w:lang w:val="en-US" w:eastAsia="zh-CN"/>
        </w:rPr>
        <w:t>等</w:t>
      </w:r>
      <w:r>
        <w:rPr>
          <w:rFonts w:hint="default" w:cs="Times New Roman"/>
          <w:highlight w:val="none"/>
          <w:lang w:val="en-US" w:eastAsia="zh-CN"/>
        </w:rPr>
        <w:t>数字内容服务。指标数据来自于</w:t>
      </w:r>
      <w:r>
        <w:rPr>
          <w:rFonts w:hint="default" w:ascii="Times New Roman" w:hAnsi="Times New Roman" w:cs="Times New Roman"/>
          <w:lang w:eastAsia="zh-CN"/>
        </w:rPr>
        <w:t>“</w:t>
      </w:r>
      <w:r>
        <w:rPr>
          <w:rFonts w:cs="Times New Roman"/>
        </w:rPr>
        <w:t>十四五</w:t>
      </w:r>
      <w:r>
        <w:rPr>
          <w:rFonts w:hint="default" w:ascii="Times New Roman" w:hAnsi="Times New Roman" w:cs="Times New Roman"/>
          <w:lang w:eastAsia="zh-CN"/>
        </w:rPr>
        <w:t>”</w:t>
      </w:r>
      <w:r>
        <w:rPr>
          <w:rFonts w:cs="Times New Roman"/>
        </w:rPr>
        <w:t>时期文化创意产业</w:t>
      </w:r>
      <w:r>
        <w:rPr>
          <w:rFonts w:hint="default" w:cs="Times New Roman"/>
          <w:lang w:val="en-US" w:eastAsia="zh-CN"/>
        </w:rPr>
        <w:t>统计的数字服务部分，</w:t>
      </w:r>
      <w:r>
        <w:rPr>
          <w:rFonts w:cs="Times New Roman"/>
        </w:rPr>
        <w:t>建议</w:t>
      </w:r>
      <w:r>
        <w:rPr>
          <w:rFonts w:hint="default" w:cs="Times New Roman"/>
          <w:lang w:val="en-US" w:eastAsia="zh-CN"/>
        </w:rPr>
        <w:t>在</w:t>
      </w:r>
      <w:r>
        <w:rPr>
          <w:rFonts w:cs="Times New Roman"/>
        </w:rPr>
        <w:t>《上海市文化创意产业分类目录（2022</w:t>
      </w:r>
      <w:r>
        <w:rPr>
          <w:rFonts w:cs="Times New Roman"/>
          <w:highlight w:val="none"/>
        </w:rPr>
        <w:t>）》</w:t>
      </w:r>
      <w:r>
        <w:rPr>
          <w:rStyle w:val="29"/>
          <w:rFonts w:cs="Times New Roman"/>
          <w:highlight w:val="none"/>
        </w:rPr>
        <w:footnoteReference w:id="10"/>
      </w:r>
      <w:r>
        <w:rPr>
          <w:rFonts w:cs="Times New Roman"/>
          <w:highlight w:val="none"/>
        </w:rPr>
        <w:t>中，选取媒体与艺术、互联网和相关服务、软件和信息技术服务、广告及会展服务、文化创意投资运营纳入统计。</w:t>
      </w:r>
    </w:p>
    <w:p>
      <w:pPr>
        <w:ind w:firstLine="640"/>
        <w:rPr>
          <w:rFonts w:cs="Times New Roman"/>
        </w:rPr>
      </w:pPr>
      <w:r>
        <w:rPr>
          <w:rFonts w:cs="Times New Roman"/>
          <w:highlight w:val="none"/>
        </w:rPr>
        <w:t>鉴于各支柱产业在业务范畴上存在交叉重叠，例如</w:t>
      </w:r>
      <w:r>
        <w:rPr>
          <w:rFonts w:hint="default" w:cs="Times New Roman"/>
          <w:highlight w:val="none"/>
          <w:lang w:eastAsia="zh-CN"/>
        </w:rPr>
        <w:t>高端商贸</w:t>
      </w:r>
      <w:r>
        <w:rPr>
          <w:rFonts w:cs="Times New Roman"/>
          <w:highlight w:val="none"/>
        </w:rPr>
        <w:t>中的批发零售业与新型制造服务中面向工业的批发与贸易经济代理服务，统计口径在执行中难以做到绝对区隔。</w:t>
      </w:r>
      <w:r>
        <w:rPr>
          <w:rFonts w:cs="Times New Roman"/>
        </w:rPr>
        <w:t>对此，建议单个支柱产业统计数据以实际业务属性为导向，应统尽统，力求反映产业发展真实面貌和整体规模。在</w:t>
      </w:r>
      <w:r>
        <w:rPr>
          <w:rFonts w:hint="default" w:cs="Times New Roman"/>
          <w:lang w:val="en-US" w:eastAsia="zh-CN"/>
        </w:rPr>
        <w:t>三大</w:t>
      </w:r>
      <w:r>
        <w:rPr>
          <w:rFonts w:cs="Times New Roman"/>
        </w:rPr>
        <w:t>支柱产业合并统计时，对于重合部分进行甄别剔除，避免重复统计，确保数据使用的科学性和准确性。</w:t>
      </w:r>
    </w:p>
    <w:p>
      <w:pPr>
        <w:ind w:firstLine="640"/>
        <w:rPr>
          <w:rFonts w:ascii="Times New Roman" w:hAnsi="Times New Roman" w:cs="Times New Roman"/>
        </w:rPr>
      </w:pPr>
      <w:r>
        <w:rPr>
          <w:rFonts w:ascii="Times New Roman" w:hAnsi="Times New Roman" w:cs="Times New Roman"/>
        </w:rPr>
        <w:t>2、规模以上高技术服务业营业收入</w:t>
      </w:r>
    </w:p>
    <w:p>
      <w:pPr>
        <w:ind w:firstLine="640"/>
        <w:rPr>
          <w:rFonts w:cs="Times New Roman"/>
        </w:rPr>
      </w:pPr>
      <w:r>
        <w:rPr>
          <w:rFonts w:cs="Times New Roman"/>
        </w:rPr>
        <w:t>高技术服务业是采用高技术手段为社会提供服务活动的集合，包括信息服务、电子商务服务、检验检测服务、专业技术服务业的高技术服务、研发与设计服务、科技成果转化服务、知识产权及相关法律服务、环境监测及治理服务和其他高技术服务等9类。规模以上高技术服务业为营收达到一定规模以上的服务业法人单位，各行业标准不同。</w:t>
      </w:r>
      <w:r>
        <w:rPr>
          <w:rFonts w:cs="Times New Roman"/>
          <w:highlight w:val="none"/>
        </w:rPr>
        <w:t>2020-202</w:t>
      </w:r>
      <w:r>
        <w:rPr>
          <w:rFonts w:hint="default" w:ascii="Times New Roman" w:hAnsi="Times New Roman" w:cs="Times New Roman"/>
          <w:highlight w:val="none"/>
          <w:lang w:eastAsia="zh-CN"/>
        </w:rPr>
        <w:t>5</w:t>
      </w:r>
      <w:r>
        <w:rPr>
          <w:rFonts w:cs="Times New Roman"/>
          <w:highlight w:val="none"/>
        </w:rPr>
        <w:t>年，闵行区规模以上高技术服务业营业收入年均增速为11.</w:t>
      </w:r>
      <w:r>
        <w:rPr>
          <w:rFonts w:hint="default" w:ascii="Times New Roman" w:hAnsi="Times New Roman" w:cs="Times New Roman"/>
          <w:highlight w:val="none"/>
          <w:lang w:val="en-US" w:eastAsia="zh-CN"/>
        </w:rPr>
        <w:t>6</w:t>
      </w:r>
      <w:r>
        <w:rPr>
          <w:rFonts w:cs="Times New Roman"/>
          <w:highlight w:val="none"/>
        </w:rPr>
        <w:t>2%。</w:t>
      </w:r>
    </w:p>
    <w:p>
      <w:pPr>
        <w:pStyle w:val="60"/>
        <w:ind w:firstLine="643"/>
      </w:pPr>
      <w:r>
        <w:t>3、网上零售额</w:t>
      </w:r>
    </w:p>
    <w:p>
      <w:pPr>
        <w:ind w:firstLine="640"/>
        <w:rPr>
          <w:rFonts w:cs="Times New Roman"/>
          <w:highlight w:val="yellow"/>
        </w:rPr>
      </w:pPr>
      <w:r>
        <w:rPr>
          <w:rFonts w:cs="Times New Roman"/>
        </w:rPr>
        <w:t>网上零售额是指通过公共网络交易平台（包括自建网站和第三方平台）实现的商品和服务零售额之和，反映网上零售市场的发展状况。</w:t>
      </w:r>
      <w:r>
        <w:rPr>
          <w:rFonts w:cs="Times New Roman"/>
          <w:highlight w:val="none"/>
        </w:rPr>
        <w:t>2020-202</w:t>
      </w:r>
      <w:r>
        <w:rPr>
          <w:rFonts w:hint="default" w:ascii="Times New Roman" w:hAnsi="Times New Roman" w:cs="Times New Roman"/>
          <w:highlight w:val="none"/>
          <w:lang w:eastAsia="zh-CN"/>
        </w:rPr>
        <w:t>5</w:t>
      </w:r>
      <w:r>
        <w:rPr>
          <w:rFonts w:cs="Times New Roman"/>
          <w:highlight w:val="none"/>
        </w:rPr>
        <w:t>年，闵行区网上零售额年均增速为12.</w:t>
      </w:r>
      <w:r>
        <w:rPr>
          <w:rFonts w:hint="default" w:ascii="Times New Roman" w:hAnsi="Times New Roman" w:cs="Times New Roman"/>
          <w:highlight w:val="none"/>
          <w:lang w:eastAsia="zh-CN"/>
        </w:rPr>
        <w:t>6</w:t>
      </w:r>
      <w:r>
        <w:rPr>
          <w:rFonts w:hint="default" w:ascii="Times New Roman" w:hAnsi="Times New Roman" w:cs="Times New Roman"/>
          <w:highlight w:val="none"/>
          <w:lang w:val="en-US" w:eastAsia="zh-CN"/>
        </w:rPr>
        <w:t>2</w:t>
      </w:r>
      <w:r>
        <w:rPr>
          <w:rFonts w:cs="Times New Roman"/>
          <w:highlight w:val="none"/>
        </w:rPr>
        <w:t>%。</w:t>
      </w:r>
    </w:p>
    <w:p>
      <w:pPr>
        <w:pStyle w:val="60"/>
        <w:ind w:firstLine="643"/>
      </w:pPr>
      <w:r>
        <w:rPr>
          <w:rFonts w:hint="default"/>
          <w:lang w:val="en-US" w:eastAsia="zh-CN"/>
        </w:rPr>
        <w:t>4</w:t>
      </w:r>
      <w:r>
        <w:t>、入选上海民营服务业100强企业数量</w:t>
      </w:r>
    </w:p>
    <w:p>
      <w:pPr>
        <w:ind w:firstLine="640"/>
        <w:rPr>
          <w:rFonts w:cs="Times New Roman"/>
        </w:rPr>
      </w:pPr>
      <w:r>
        <w:rPr>
          <w:rFonts w:cs="Times New Roman"/>
        </w:rPr>
        <w:t>上海民营服务业企业100强是</w:t>
      </w:r>
      <w:r>
        <w:rPr>
          <w:rFonts w:hint="default" w:ascii="Times New Roman" w:hAnsi="Times New Roman" w:cs="Times New Roman"/>
          <w:lang w:eastAsia="zh-CN"/>
        </w:rPr>
        <w:t>“</w:t>
      </w:r>
      <w:r>
        <w:rPr>
          <w:rFonts w:cs="Times New Roman"/>
        </w:rPr>
        <w:t>上海企联</w:t>
      </w:r>
      <w:r>
        <w:rPr>
          <w:rFonts w:hint="default" w:ascii="Times New Roman" w:hAnsi="Times New Roman" w:cs="Times New Roman"/>
          <w:lang w:eastAsia="zh-CN"/>
        </w:rPr>
        <w:t>”</w:t>
      </w:r>
      <w:r>
        <w:rPr>
          <w:rFonts w:cs="Times New Roman"/>
        </w:rPr>
        <w:t>根据中国企业联合会有关文件精神每年举办的百强企业排行榜活动之一。</w:t>
      </w:r>
      <w:r>
        <w:rPr>
          <w:rFonts w:hint="default" w:ascii="Times New Roman" w:hAnsi="Times New Roman" w:cs="Times New Roman"/>
          <w:lang w:eastAsia="zh-CN"/>
        </w:rPr>
        <w:t>“</w:t>
      </w:r>
      <w:r>
        <w:rPr>
          <w:rFonts w:cs="Times New Roman"/>
        </w:rPr>
        <w:t>上海企联</w:t>
      </w:r>
      <w:r>
        <w:rPr>
          <w:rFonts w:hint="default" w:ascii="Times New Roman" w:hAnsi="Times New Roman" w:cs="Times New Roman"/>
          <w:lang w:eastAsia="zh-CN"/>
        </w:rPr>
        <w:t>”</w:t>
      </w:r>
      <w:r>
        <w:rPr>
          <w:rFonts w:cs="Times New Roman"/>
        </w:rPr>
        <w:t>是上海市经济和信息化委员会直属单位，由上海市企业联合会（原上海市企业管理协会）、上海市企业家协会（原上海厂长经理工作研究会）合并重组构成。2021年到202</w:t>
      </w:r>
      <w:r>
        <w:rPr>
          <w:rFonts w:hint="default" w:ascii="Times New Roman" w:hAnsi="Times New Roman" w:cs="Times New Roman"/>
          <w:lang w:eastAsia="zh-CN"/>
        </w:rPr>
        <w:t>5</w:t>
      </w:r>
      <w:r>
        <w:rPr>
          <w:rFonts w:cs="Times New Roman"/>
        </w:rPr>
        <w:t>年，闵行区入选数量分别为8家、12家、9家、8家</w:t>
      </w:r>
      <w:r>
        <w:rPr>
          <w:rFonts w:hint="default" w:ascii="Times New Roman" w:hAnsi="Times New Roman" w:cs="Times New Roman"/>
          <w:lang w:eastAsia="zh-CN"/>
        </w:rPr>
        <w:t>、</w:t>
      </w:r>
      <w:r>
        <w:rPr>
          <w:rFonts w:hint="default" w:ascii="Times New Roman" w:hAnsi="Times New Roman" w:cs="Times New Roman"/>
          <w:lang w:val="en-US" w:eastAsia="zh-CN"/>
        </w:rPr>
        <w:t>8家</w:t>
      </w:r>
      <w:r>
        <w:rPr>
          <w:rFonts w:cs="Times New Roman"/>
        </w:rPr>
        <w:t>。</w:t>
      </w:r>
    </w:p>
    <w:p>
      <w:pPr>
        <w:ind w:firstLine="0" w:firstLineChars="0"/>
        <w:rPr>
          <w:rFonts w:cs="Times New Roman"/>
        </w:rPr>
      </w:pPr>
    </w:p>
    <w:p>
      <w:pPr>
        <w:spacing w:after="160" w:line="278" w:lineRule="auto"/>
        <w:ind w:firstLine="0" w:firstLineChars="0"/>
        <w:jc w:val="both"/>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435" w:charSpace="0"/>
        </w:sectPr>
      </w:pPr>
    </w:p>
    <w:p>
      <w:pPr>
        <w:pStyle w:val="2"/>
        <w:tabs>
          <w:tab w:val="left" w:pos="472"/>
        </w:tabs>
        <w:jc w:val="center"/>
        <w:rPr>
          <w:rFonts w:cs="Times New Roman"/>
        </w:rPr>
      </w:pPr>
      <w:bookmarkStart w:id="259" w:name="_Toc29701"/>
      <w:bookmarkStart w:id="260" w:name="_Toc201310209"/>
      <w:bookmarkStart w:id="261" w:name="_Toc19098"/>
      <w:bookmarkStart w:id="262" w:name="_Toc22404"/>
      <w:bookmarkStart w:id="263" w:name="_Toc12403"/>
      <w:r>
        <w:rPr>
          <w:rFonts w:cs="Times New Roman"/>
        </w:rPr>
        <w:t>附录四</w:t>
      </w:r>
      <w:r>
        <w:rPr>
          <w:rFonts w:hint="eastAsia" w:cs="Times New Roman"/>
          <w:lang w:val="en-US" w:eastAsia="zh-CN"/>
        </w:rPr>
        <w:t xml:space="preserve">  </w:t>
      </w:r>
      <w:r>
        <w:rPr>
          <w:rFonts w:cs="Times New Roman"/>
        </w:rPr>
        <w:t>闵行区</w:t>
      </w:r>
      <w:r>
        <w:rPr>
          <w:rFonts w:hint="default" w:ascii="Times New Roman" w:hAnsi="Times New Roman" w:cs="Times New Roman"/>
          <w:lang w:eastAsia="zh-CN"/>
        </w:rPr>
        <w:t>“</w:t>
      </w:r>
      <w:r>
        <w:rPr>
          <w:rFonts w:cs="Times New Roman"/>
        </w:rPr>
        <w:t>十五五</w:t>
      </w:r>
      <w:r>
        <w:rPr>
          <w:rFonts w:hint="default" w:ascii="Times New Roman" w:hAnsi="Times New Roman" w:cs="Times New Roman"/>
          <w:lang w:eastAsia="zh-CN"/>
        </w:rPr>
        <w:t>”</w:t>
      </w:r>
      <w:r>
        <w:rPr>
          <w:rFonts w:cs="Times New Roman"/>
        </w:rPr>
        <w:t>服务业发展重大项目表</w:t>
      </w:r>
      <w:bookmarkEnd w:id="259"/>
      <w:bookmarkEnd w:id="260"/>
      <w:bookmarkEnd w:id="261"/>
      <w:bookmarkEnd w:id="262"/>
      <w:bookmarkEnd w:id="263"/>
    </w:p>
    <w:tbl>
      <w:tblPr>
        <w:tblStyle w:val="23"/>
        <w:tblW w:w="51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257"/>
        <w:gridCol w:w="1694"/>
        <w:gridCol w:w="1334"/>
        <w:gridCol w:w="1587"/>
        <w:gridCol w:w="6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blHeader/>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b/>
                <w:bCs/>
                <w:sz w:val="24"/>
              </w:rPr>
              <w:t>序号</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b/>
                <w:bCs/>
                <w:sz w:val="24"/>
              </w:rPr>
              <w:t>项目名称</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cs="Times New Roman"/>
                <w:b/>
                <w:bCs/>
                <w:sz w:val="24"/>
              </w:rPr>
              <w:t>项目类型</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b/>
                <w:bCs/>
                <w:sz w:val="24"/>
              </w:rPr>
              <w:t>所在街镇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cs="Times New Roman"/>
                <w:b/>
                <w:bCs/>
                <w:sz w:val="24"/>
              </w:rPr>
              <w:t>所在集聚区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b/>
                <w:bCs/>
                <w:sz w:val="24"/>
              </w:rPr>
              <w:t>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pPr>
              <w:spacing w:line="216" w:lineRule="auto"/>
              <w:ind w:firstLine="0" w:firstLineChars="0"/>
              <w:rPr>
                <w:rFonts w:cs="Times New Roman"/>
                <w:sz w:val="24"/>
              </w:rPr>
            </w:pPr>
            <w:r>
              <w:rPr>
                <w:rFonts w:cs="Times New Roman"/>
                <w:b/>
                <w:bCs/>
                <w:sz w:val="24"/>
              </w:rPr>
              <w:t>一、</w:t>
            </w:r>
            <w:r>
              <w:rPr>
                <w:rFonts w:hint="default" w:ascii="Times New Roman" w:hAnsi="Times New Roman" w:cs="Times New Roman"/>
                <w:b/>
                <w:bCs/>
                <w:sz w:val="24"/>
                <w:lang w:eastAsia="zh-CN"/>
              </w:rPr>
              <w:t>“</w:t>
            </w:r>
            <w:r>
              <w:rPr>
                <w:rFonts w:hint="default" w:cs="Times New Roman"/>
                <w:b/>
                <w:bCs/>
                <w:sz w:val="24"/>
                <w:lang w:val="en-US" w:eastAsia="zh-CN"/>
              </w:rPr>
              <w:t>3</w:t>
            </w:r>
            <w:r>
              <w:rPr>
                <w:rFonts w:cs="Times New Roman"/>
                <w:b/>
                <w:bCs/>
                <w:sz w:val="24"/>
              </w:rPr>
              <w:t>+4</w:t>
            </w:r>
            <w:r>
              <w:rPr>
                <w:rFonts w:hint="default" w:ascii="Times New Roman" w:hAnsi="Times New Roman" w:cs="Times New Roman"/>
                <w:b/>
                <w:bCs/>
                <w:sz w:val="24"/>
                <w:lang w:eastAsia="zh-CN"/>
              </w:rPr>
              <w:t>”</w:t>
            </w:r>
            <w:r>
              <w:rPr>
                <w:rFonts w:cs="Times New Roman"/>
                <w:b/>
                <w:bCs/>
                <w:sz w:val="24"/>
              </w:rPr>
              <w:t>服务业体系建设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rPr>
                <w:rFonts w:cs="Times New Roman"/>
                <w:sz w:val="24"/>
              </w:rPr>
            </w:pPr>
            <w:r>
              <w:rPr>
                <w:rFonts w:cs="Times New Roman"/>
                <w:sz w:val="24"/>
              </w:rPr>
              <w:t>（一）</w:t>
            </w:r>
            <w:r>
              <w:rPr>
                <w:rFonts w:hint="default" w:cs="Times New Roman"/>
                <w:sz w:val="24"/>
                <w:lang w:eastAsia="zh-CN"/>
              </w:rPr>
              <w:t>高端商贸</w:t>
            </w:r>
            <w:r>
              <w:rPr>
                <w:rFonts w:cs="Times New Roman"/>
                <w:sz w:val="24"/>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上海全球创新医疗器械展览培训中心</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b/>
                <w:bCs/>
                <w:sz w:val="24"/>
                <w:lang w:val="en-US" w:eastAsia="zh-CN"/>
              </w:rPr>
            </w:pPr>
            <w:r>
              <w:rPr>
                <w:rFonts w:hint="default" w:cs="Times New Roman"/>
                <w:sz w:val="24"/>
                <w:lang w:val="en-US" w:eastAsia="zh-CN"/>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hint="default" w:cs="Times New Roman"/>
                <w:sz w:val="24"/>
                <w:lang w:eastAsia="zh-CN"/>
              </w:rPr>
              <w:t>虹桥国际中央商务区</w:t>
            </w:r>
            <w:r>
              <w:rPr>
                <w:rFonts w:cs="Times New Roman"/>
                <w:sz w:val="24"/>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项目位于</w:t>
            </w:r>
            <w:r>
              <w:rPr>
                <w:rFonts w:hint="default" w:cs="Times New Roman"/>
                <w:sz w:val="24"/>
                <w:lang w:val="en-US" w:eastAsia="zh-CN"/>
              </w:rPr>
              <w:t>新虹桥国际医学园区</w:t>
            </w:r>
            <w:r>
              <w:rPr>
                <w:rFonts w:cs="Times New Roman"/>
                <w:sz w:val="24"/>
              </w:rPr>
              <w:t>，定位医疗器械与耗材领域集</w:t>
            </w:r>
            <w:r>
              <w:rPr>
                <w:rFonts w:hint="default" w:ascii="Times New Roman" w:hAnsi="Times New Roman" w:cs="Times New Roman"/>
                <w:sz w:val="24"/>
                <w:lang w:eastAsia="zh-CN"/>
              </w:rPr>
              <w:t>“</w:t>
            </w:r>
            <w:r>
              <w:rPr>
                <w:rFonts w:cs="Times New Roman"/>
                <w:sz w:val="24"/>
              </w:rPr>
              <w:t>展览</w:t>
            </w:r>
            <w:r>
              <w:rPr>
                <w:rFonts w:hint="default" w:ascii="Times New Roman" w:hAnsi="Times New Roman" w:cs="Times New Roman"/>
                <w:sz w:val="24"/>
                <w:lang w:eastAsia="zh-CN"/>
              </w:rPr>
              <w:t>”“</w:t>
            </w:r>
            <w:r>
              <w:rPr>
                <w:rFonts w:cs="Times New Roman"/>
                <w:sz w:val="24"/>
              </w:rPr>
              <w:t>培训</w:t>
            </w:r>
            <w:r>
              <w:rPr>
                <w:rFonts w:hint="default" w:ascii="Times New Roman" w:hAnsi="Times New Roman" w:cs="Times New Roman"/>
                <w:sz w:val="24"/>
                <w:lang w:eastAsia="zh-CN"/>
              </w:rPr>
              <w:t>”“</w:t>
            </w:r>
            <w:r>
              <w:rPr>
                <w:rFonts w:cs="Times New Roman"/>
                <w:sz w:val="24"/>
              </w:rPr>
              <w:t>销售</w:t>
            </w:r>
            <w:r>
              <w:rPr>
                <w:rFonts w:hint="default" w:ascii="Times New Roman" w:hAnsi="Times New Roman" w:cs="Times New Roman"/>
                <w:sz w:val="24"/>
                <w:lang w:eastAsia="zh-CN"/>
              </w:rPr>
              <w:t>”</w:t>
            </w:r>
            <w:r>
              <w:rPr>
                <w:rFonts w:cs="Times New Roman"/>
                <w:sz w:val="24"/>
              </w:rPr>
              <w:t>三大功能为一体的展训中心。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虹桥低空经济产业平台</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sz w:val="24"/>
              </w:rPr>
              <w:t>新虹街道</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hint="default" w:cs="Times New Roman"/>
                <w:sz w:val="24"/>
                <w:lang w:eastAsia="zh-CN"/>
              </w:rPr>
              <w:t>虹桥国际中央商务区</w:t>
            </w:r>
            <w:r>
              <w:rPr>
                <w:rFonts w:cs="Times New Roman"/>
                <w:sz w:val="24"/>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积极争取设立长三角低空经济展览、销售平台。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拓展虹桥保税物流中心（B型）功能</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cs="Times New Roman"/>
                <w:sz w:val="24"/>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sz w:val="24"/>
              </w:rPr>
              <w:t>新虹街道</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hint="default" w:cs="Times New Roman"/>
                <w:sz w:val="24"/>
                <w:lang w:eastAsia="zh-CN"/>
              </w:rPr>
              <w:t>虹桥国际中央商务区</w:t>
            </w:r>
            <w:r>
              <w:rPr>
                <w:rFonts w:cs="Times New Roman"/>
                <w:sz w:val="24"/>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积极争取提高主营品类价值，拓展围网外保税展示品类。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虹桥品汇直播基地</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sz w:val="24"/>
              </w:rPr>
              <w:t>新虹街道</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hint="default" w:cs="Times New Roman"/>
                <w:sz w:val="24"/>
                <w:lang w:eastAsia="zh-CN"/>
              </w:rPr>
              <w:t>虹桥国际中央商务区</w:t>
            </w:r>
            <w:r>
              <w:rPr>
                <w:rFonts w:cs="Times New Roman"/>
                <w:sz w:val="24"/>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推进建立资源库，建设10-15个国家馆，构建线上国家馆生态优势。</w:t>
            </w:r>
          </w:p>
          <w:p>
            <w:pPr>
              <w:spacing w:line="216" w:lineRule="auto"/>
              <w:ind w:firstLine="0" w:firstLineChars="0"/>
              <w:jc w:val="left"/>
              <w:rPr>
                <w:rFonts w:cs="Times New Roman"/>
                <w:sz w:val="24"/>
              </w:rPr>
            </w:pPr>
            <w:r>
              <w:rPr>
                <w:rFonts w:cs="Times New Roman"/>
                <w:sz w:val="24"/>
              </w:rPr>
              <w:t>打造直播产学研用中心，转化培训生源为达人矩阵。</w:t>
            </w:r>
          </w:p>
          <w:p>
            <w:pPr>
              <w:spacing w:line="216" w:lineRule="auto"/>
              <w:ind w:firstLine="0" w:firstLineChars="0"/>
              <w:jc w:val="left"/>
              <w:rPr>
                <w:rFonts w:cs="Times New Roman"/>
                <w:sz w:val="24"/>
              </w:rPr>
            </w:pPr>
            <w:r>
              <w:rPr>
                <w:rFonts w:cs="Times New Roman"/>
                <w:sz w:val="24"/>
              </w:rPr>
              <w:t>建设</w:t>
            </w:r>
            <w:r>
              <w:rPr>
                <w:rFonts w:hint="default" w:ascii="Times New Roman" w:hAnsi="Times New Roman" w:cs="Times New Roman"/>
                <w:sz w:val="24"/>
                <w:lang w:eastAsia="zh-CN"/>
              </w:rPr>
              <w:t>“</w:t>
            </w:r>
            <w:r>
              <w:rPr>
                <w:rFonts w:cs="Times New Roman"/>
                <w:sz w:val="24"/>
              </w:rPr>
              <w:t>跨国直播中心</w:t>
            </w:r>
            <w:r>
              <w:rPr>
                <w:rFonts w:hint="default" w:ascii="Times New Roman" w:hAnsi="Times New Roman" w:cs="Times New Roman"/>
                <w:sz w:val="24"/>
                <w:lang w:eastAsia="zh-CN"/>
              </w:rPr>
              <w:t>”</w:t>
            </w:r>
            <w:r>
              <w:rPr>
                <w:rFonts w:cs="Times New Roman"/>
                <w:sz w:val="24"/>
              </w:rPr>
              <w:t>，配备AI同声传译、跨境支付系统，引入TikTok、亚马逊直播资源，开设日韩、东南亚等小语种直播间，覆盖海外消费者。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5"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ascii="Times New Roman" w:hAnsi="Times New Roman" w:eastAsia="仿宋_GB2312" w:cs="Times New Roman"/>
                <w:kern w:val="2"/>
                <w:sz w:val="24"/>
                <w:szCs w:val="24"/>
                <w:lang w:val="en-US" w:eastAsia="zh-CN" w:bidi="ar-SA"/>
                <w14:ligatures w14:val="standardContextual"/>
              </w:rPr>
            </w:pPr>
            <w:r>
              <w:rPr>
                <w:rFonts w:hint="default" w:cs="Times New Roman"/>
                <w:sz w:val="24"/>
                <w:lang w:val="en-US" w:eastAsia="zh-CN"/>
              </w:rPr>
              <w:t>5</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ascii="Times New Roman" w:hAnsi="Times New Roman" w:eastAsia="仿宋_GB2312" w:cs="Times New Roman"/>
                <w:kern w:val="2"/>
                <w:sz w:val="24"/>
                <w:szCs w:val="24"/>
                <w:lang w:val="en-US" w:eastAsia="zh-CN" w:bidi="ar-SA"/>
                <w14:ligatures w14:val="standardContextual"/>
              </w:rPr>
            </w:pPr>
            <w:r>
              <w:rPr>
                <w:rFonts w:hint="default" w:cs="Times New Roman"/>
                <w:sz w:val="24"/>
                <w:lang w:val="en-US" w:eastAsia="zh-CN"/>
              </w:rPr>
              <w:t>进博工业品常年展销平台</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cs="Times New Roman"/>
                <w:sz w:val="24"/>
              </w:rPr>
              <w:t>功能拓展提升</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cs="Times New Roman"/>
                <w:sz w:val="24"/>
              </w:rPr>
              <w:t>新虹街道</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hint="default" w:cs="Times New Roman"/>
                <w:sz w:val="24"/>
                <w:lang w:eastAsia="zh-CN"/>
              </w:rPr>
              <w:t>虹桥国际中央商务区</w:t>
            </w:r>
            <w:r>
              <w:rPr>
                <w:rFonts w:cs="Times New Roman"/>
                <w:sz w:val="24"/>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hint="default" w:eastAsia="仿宋_GB2312" w:cs="Times New Roman"/>
                <w:i w:val="0"/>
                <w:iCs w:val="0"/>
                <w:caps w:val="0"/>
                <w:spacing w:val="0"/>
                <w:sz w:val="24"/>
                <w:szCs w:val="24"/>
                <w:shd w:val="clear"/>
                <w:lang w:val="en-US" w:eastAsia="zh-CN"/>
              </w:rPr>
            </w:pPr>
            <w:r>
              <w:rPr>
                <w:rFonts w:hint="default" w:cs="Times New Roman"/>
                <w:i w:val="0"/>
                <w:iCs w:val="0"/>
                <w:caps w:val="0"/>
                <w:spacing w:val="0"/>
                <w:sz w:val="24"/>
                <w:szCs w:val="24"/>
                <w:shd w:val="clear"/>
                <w:lang w:val="en-US" w:eastAsia="zh-CN"/>
              </w:rPr>
              <w:t>通过进博工业品的展示、</w:t>
            </w:r>
            <w:r>
              <w:rPr>
                <w:rFonts w:hint="default" w:ascii="Times New Roman" w:hAnsi="Times New Roman" w:eastAsia="仿宋_GB2312" w:cs="Times New Roman"/>
                <w:i w:val="0"/>
                <w:iCs w:val="0"/>
                <w:caps w:val="0"/>
                <w:spacing w:val="0"/>
                <w:sz w:val="24"/>
                <w:szCs w:val="24"/>
                <w:shd w:val="clear"/>
              </w:rPr>
              <w:t>体验、服务和交易，</w:t>
            </w:r>
            <w:r>
              <w:rPr>
                <w:rFonts w:hint="default" w:cs="Times New Roman"/>
                <w:i w:val="0"/>
                <w:iCs w:val="0"/>
                <w:caps w:val="0"/>
                <w:spacing w:val="0"/>
                <w:sz w:val="24"/>
                <w:szCs w:val="24"/>
                <w:shd w:val="clear"/>
                <w:lang w:val="en-US" w:eastAsia="zh-CN"/>
              </w:rPr>
              <w:t>打造进博工业品常年展销平台</w:t>
            </w:r>
            <w:r>
              <w:rPr>
                <w:rFonts w:hint="default" w:cs="Times New Roman"/>
                <w:i w:val="0"/>
                <w:iCs w:val="0"/>
                <w:caps w:val="0"/>
                <w:spacing w:val="0"/>
                <w:sz w:val="24"/>
                <w:szCs w:val="24"/>
                <w:shd w:val="clea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虹桥中轴线特色消费新地标项目</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新虹街道</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eastAsia="zh-CN"/>
              </w:rPr>
              <w:t>虹桥国际中央商务区</w:t>
            </w:r>
            <w:r>
              <w:rPr>
                <w:rFonts w:cs="Times New Roman"/>
                <w:sz w:val="24"/>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虹桥天地演艺中心、虹桥天街一里九巷改造。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ascii="Times New Roman" w:hAnsi="Times New Roman" w:eastAsia="仿宋_GB2312" w:cs="Times New Roman"/>
                <w:kern w:val="2"/>
                <w:sz w:val="24"/>
                <w:szCs w:val="24"/>
                <w:lang w:val="en-US" w:eastAsia="zh-CN" w:bidi="ar-SA"/>
                <w14:ligatures w14:val="standardContextual"/>
              </w:rPr>
            </w:pPr>
            <w:r>
              <w:rPr>
                <w:rFonts w:hint="default" w:cs="Times New Roman"/>
                <w:sz w:val="24"/>
                <w:lang w:val="en-US" w:eastAsia="zh-CN"/>
              </w:rPr>
              <w:t>7</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cs="Times New Roman"/>
                <w:sz w:val="24"/>
              </w:rPr>
              <w:t>上海电竞中心暨上海超极合生汇项目</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cs="Times New Roman"/>
                <w:sz w:val="24"/>
              </w:rPr>
              <w:t>华漕镇</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hint="default" w:cs="Times New Roman"/>
                <w:sz w:val="24"/>
                <w:lang w:eastAsia="zh-CN"/>
              </w:rPr>
              <w:t>虹桥国际中央商务区</w:t>
            </w:r>
            <w:r>
              <w:rPr>
                <w:rFonts w:cs="Times New Roman"/>
                <w:sz w:val="24"/>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ascii="Times New Roman" w:hAnsi="Times New Roman" w:eastAsia="仿宋_GB2312" w:cs="Times New Roman"/>
                <w:kern w:val="2"/>
                <w:sz w:val="24"/>
                <w:szCs w:val="24"/>
                <w:lang w:val="en-US" w:eastAsia="zh-CN" w:bidi="ar-SA"/>
                <w14:ligatures w14:val="standardContextual"/>
              </w:rPr>
            </w:pPr>
            <w:r>
              <w:rPr>
                <w:rFonts w:cs="Times New Roman"/>
                <w:sz w:val="24"/>
              </w:rPr>
              <w:t>项目集购物中心、电竞产业园、五星级酒店、专业电竞赛馆为一体，计划于2026年开始推进招商运营团队组建及培训以及潜水、风洞、攀岩、影院、超市等特殊业态及主力店商户的招商签约，同步推进后续涉及的开业活动筹备以及前期预热等相关工作，争取2027年初整体开业目标的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6"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上海仲盛世界商城全面改造（二期、三期）</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莘庄镇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莘庄商务区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商场整体外立面焕新改造升级。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eastAsia="zh-CN"/>
              </w:rPr>
            </w:pPr>
            <w:r>
              <w:rPr>
                <w:rFonts w:hint="default" w:cs="Times New Roman"/>
                <w:sz w:val="24"/>
                <w:lang w:val="en-US" w:eastAsia="zh-CN"/>
              </w:rPr>
              <w:t>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TODTOWN天荟（三期）</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莘庄镇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莘庄</w:t>
            </w:r>
            <w:r>
              <w:rPr>
                <w:rFonts w:hint="default" w:cs="Times New Roman"/>
                <w:sz w:val="24"/>
                <w:lang w:val="en-US" w:eastAsia="zh-CN"/>
              </w:rPr>
              <w:t>综合枢纽商务区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地铁、铁路、北广场交通设施、其他基础设施以及上盖部分住宅、大型商场及公建配套的文体中心等。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eastAsia="zh-CN"/>
              </w:rPr>
            </w:pPr>
            <w:r>
              <w:rPr>
                <w:rFonts w:hint="default" w:cs="Times New Roman"/>
                <w:sz w:val="24"/>
                <w:lang w:val="en-US" w:eastAsia="zh-CN"/>
              </w:rPr>
              <w:t>10</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七宝老街片区域统筹更新</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七宝镇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hint="default" w:eastAsia="仿宋_GB2312" w:cs="Times New Roman"/>
                <w:sz w:val="24"/>
                <w:lang w:eastAsia="zh-CN"/>
              </w:rPr>
            </w:pPr>
            <w:r>
              <w:rPr>
                <w:rFonts w:cs="Times New Roman"/>
                <w:sz w:val="24"/>
              </w:rPr>
              <w:t>结合城市设计和历史风貌保护，提升区域商业能级，保留古镇传统特色的基础上优化空间布局、实现联动发展</w:t>
            </w:r>
            <w:r>
              <w:rPr>
                <w:rFonts w:hint="default" w:cs="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11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汇宝广场转型升级</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七宝镇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hint="default" w:eastAsia="仿宋_GB2312" w:cs="Times New Roman"/>
                <w:sz w:val="24"/>
                <w:lang w:val="en-US" w:eastAsia="zh-CN"/>
              </w:rPr>
            </w:pPr>
            <w:r>
              <w:rPr>
                <w:rFonts w:hint="default" w:cs="Times New Roman"/>
                <w:sz w:val="24"/>
                <w:lang w:val="en-US" w:eastAsia="zh-CN"/>
              </w:rPr>
              <w:t>引入京东对汇宝购物广场进行整体转型升级，合作落地上海首家超级mall，打造</w:t>
            </w:r>
            <w:r>
              <w:rPr>
                <w:rFonts w:hint="default" w:ascii="Times New Roman" w:hAnsi="Times New Roman" w:cs="Times New Roman"/>
                <w:sz w:val="24"/>
                <w:lang w:val="en-US" w:eastAsia="zh-CN"/>
              </w:rPr>
              <w:t>“</w:t>
            </w:r>
            <w:r>
              <w:rPr>
                <w:rFonts w:hint="default" w:cs="Times New Roman"/>
                <w:sz w:val="24"/>
                <w:lang w:val="en-US" w:eastAsia="zh-CN"/>
              </w:rPr>
              <w:t>家电家居一站式科技生活新体验</w:t>
            </w:r>
            <w:r>
              <w:rPr>
                <w:rFonts w:hint="default" w:ascii="Times New Roman" w:hAnsi="Times New Roman" w:cs="Times New Roman"/>
                <w:sz w:val="24"/>
                <w:lang w:val="en-US" w:eastAsia="zh-CN"/>
              </w:rPr>
              <w:t>”</w:t>
            </w:r>
            <w:r>
              <w:rPr>
                <w:rFonts w:hint="default" w:cs="Times New Roman"/>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cs="Times New Roman"/>
                <w:sz w:val="24"/>
              </w:rPr>
              <w:t>1</w:t>
            </w:r>
            <w:r>
              <w:rPr>
                <w:rFonts w:hint="default" w:cs="Times New Roman"/>
                <w:sz w:val="24"/>
                <w:lang w:val="en-US" w:eastAsia="zh-CN"/>
              </w:rPr>
              <w:t>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召稼楼</w:t>
            </w:r>
            <w:r>
              <w:rPr>
                <w:rFonts w:hint="default" w:ascii="Times New Roman" w:hAnsi="Times New Roman" w:cs="Times New Roman"/>
                <w:sz w:val="24"/>
                <w:lang w:eastAsia="zh-CN"/>
              </w:rPr>
              <w:t>“</w:t>
            </w:r>
            <w:r>
              <w:rPr>
                <w:rFonts w:cs="Times New Roman"/>
                <w:sz w:val="24"/>
              </w:rPr>
              <w:t>城中村</w:t>
            </w:r>
            <w:r>
              <w:rPr>
                <w:rFonts w:hint="default" w:ascii="Times New Roman" w:hAnsi="Times New Roman" w:cs="Times New Roman"/>
                <w:sz w:val="24"/>
                <w:lang w:eastAsia="zh-CN"/>
              </w:rPr>
              <w:t>”</w:t>
            </w:r>
            <w:r>
              <w:rPr>
                <w:rFonts w:cs="Times New Roman"/>
                <w:sz w:val="24"/>
              </w:rPr>
              <w:t>改造项目</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浦江镇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召稼楼改造项目占地约71公顷，远超现有古镇景区范围，改造后将涵盖晓烟湖轻度假区、古镇核心区、耕学健康社区三大功能区。项目规划总建筑量约42万平方米，其中住宅建筑量18.8万平米（容积率1.2）、商办建筑量约16.4万平米、公益性公服建筑量约6.9万平米。20</w:t>
            </w:r>
            <w:r>
              <w:rPr>
                <w:rFonts w:hint="default" w:cs="Times New Roman"/>
                <w:sz w:val="24"/>
                <w:lang w:val="en-US" w:eastAsia="zh-CN"/>
              </w:rPr>
              <w:t>30</w:t>
            </w:r>
            <w:r>
              <w:rPr>
                <w:rFonts w:cs="Times New Roman"/>
                <w:sz w:val="24"/>
              </w:rPr>
              <w:t>年基本完成整体改造。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4"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cs="Times New Roman"/>
                <w:sz w:val="24"/>
              </w:rPr>
              <w:t>1</w:t>
            </w:r>
            <w:r>
              <w:rPr>
                <w:rFonts w:hint="default" w:cs="Times New Roman"/>
                <w:sz w:val="24"/>
                <w:lang w:val="en-US" w:eastAsia="zh-CN"/>
              </w:rPr>
              <w:t>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15号线延伸段紫竹研发二期商业设施</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吴泾镇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大零号湾科技创新策源</w:t>
            </w:r>
          </w:p>
          <w:p>
            <w:pPr>
              <w:spacing w:line="216" w:lineRule="auto"/>
              <w:ind w:firstLine="0" w:firstLineChars="0"/>
              <w:jc w:val="center"/>
              <w:rPr>
                <w:rFonts w:cs="Times New Roman"/>
                <w:sz w:val="24"/>
              </w:rPr>
            </w:pPr>
            <w:r>
              <w:rPr>
                <w:rFonts w:cs="Times New Roman"/>
                <w:sz w:val="24"/>
              </w:rPr>
              <w:t>功能区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规划并推进。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4"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14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ascii="Times New Roman" w:hAnsi="Times New Roman" w:eastAsia="仿宋_GB2312" w:cs="Times New Roman"/>
                <w:sz w:val="24"/>
                <w:szCs w:val="24"/>
                <w:lang w:val="en-US" w:eastAsia="zh-CN"/>
              </w:rPr>
              <w:t>轴承厂地块23号线地铁上盖TOD项目</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hint="default" w:ascii="Times New Roman" w:hAnsi="Times New Roman" w:eastAsia="仿宋_GB2312" w:cs="Times New Roman"/>
                <w:kern w:val="2"/>
                <w:sz w:val="32"/>
                <w:szCs w:val="24"/>
                <w:lang w:val="en-US" w:eastAsia="zh-CN" w:bidi="ar-SA"/>
                <w14:ligatures w14:val="standardContextual"/>
              </w:rPr>
            </w:pPr>
            <w:r>
              <w:rPr>
                <w:rFonts w:hint="default" w:cs="Times New Roman"/>
                <w:kern w:val="2"/>
                <w:sz w:val="24"/>
                <w:szCs w:val="24"/>
                <w:lang w:val="en-US" w:eastAsia="zh-CN" w:bidi="ar-SA"/>
                <w14:ligatures w14:val="standardContextual"/>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89"/>
              </w:tabs>
              <w:spacing w:line="216" w:lineRule="auto"/>
              <w:ind w:firstLine="0" w:firstLineChars="0"/>
              <w:jc w:val="center"/>
              <w:rPr>
                <w:rFonts w:hint="default" w:cs="Times New Roman"/>
                <w:sz w:val="24"/>
                <w:lang w:val="en-US" w:eastAsia="zh-CN"/>
              </w:rPr>
            </w:pPr>
            <w:r>
              <w:rPr>
                <w:rFonts w:hint="default" w:cs="Times New Roman"/>
                <w:sz w:val="24"/>
                <w:lang w:val="en-US" w:eastAsia="zh-CN"/>
              </w:rPr>
              <w:t>江川路</w:t>
            </w:r>
          </w:p>
          <w:p>
            <w:pPr>
              <w:tabs>
                <w:tab w:val="left" w:pos="389"/>
              </w:tabs>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街道</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大零号湾科技创新策源</w:t>
            </w:r>
          </w:p>
          <w:p>
            <w:pPr>
              <w:spacing w:line="216" w:lineRule="auto"/>
              <w:ind w:firstLine="0" w:firstLineChars="0"/>
              <w:jc w:val="center"/>
              <w:rPr>
                <w:rFonts w:hint="default" w:eastAsia="仿宋_GB2312" w:cs="Times New Roman"/>
                <w:sz w:val="24"/>
                <w:lang w:eastAsia="zh-CN"/>
              </w:rPr>
            </w:pPr>
            <w:r>
              <w:rPr>
                <w:rFonts w:cs="Times New Roman"/>
                <w:sz w:val="24"/>
              </w:rPr>
              <w:t>功能区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406"/>
              </w:tabs>
              <w:spacing w:line="216" w:lineRule="auto"/>
              <w:ind w:firstLine="0" w:firstLineChars="0"/>
              <w:jc w:val="left"/>
              <w:rPr>
                <w:rFonts w:hint="default" w:eastAsia="仿宋_GB2312" w:cs="Times New Roman"/>
                <w:sz w:val="24"/>
                <w:lang w:eastAsia="zh-CN"/>
              </w:rPr>
            </w:pPr>
            <w:r>
              <w:rPr>
                <w:rFonts w:ascii="Times New Roman" w:hAnsi="Times New Roman" w:eastAsia="仿宋_GB2312" w:cs="Times New Roman"/>
                <w:i w:val="0"/>
                <w:iCs w:val="0"/>
                <w:caps w:val="0"/>
                <w:color w:val="auto"/>
                <w:spacing w:val="0"/>
                <w:sz w:val="24"/>
                <w:szCs w:val="24"/>
                <w:shd w:val="clear" w:fill="auto"/>
              </w:rPr>
              <w:t>结合</w:t>
            </w:r>
            <w:r>
              <w:rPr>
                <w:rFonts w:hint="default" w:ascii="Times New Roman" w:hAnsi="Times New Roman" w:eastAsia="仿宋_GB2312" w:cs="Times New Roman"/>
                <w:i w:val="0"/>
                <w:iCs w:val="0"/>
                <w:caps w:val="0"/>
                <w:color w:val="auto"/>
                <w:spacing w:val="0"/>
                <w:sz w:val="24"/>
                <w:szCs w:val="24"/>
                <w:shd w:val="clear" w:fill="auto"/>
                <w:lang w:val="en-US"/>
              </w:rPr>
              <w:t>23</w:t>
            </w:r>
            <w:r>
              <w:rPr>
                <w:rFonts w:hint="default" w:ascii="Times New Roman" w:hAnsi="Times New Roman" w:eastAsia="仿宋_GB2312" w:cs="Times New Roman"/>
                <w:i w:val="0"/>
                <w:iCs w:val="0"/>
                <w:caps w:val="0"/>
                <w:color w:val="auto"/>
                <w:spacing w:val="0"/>
                <w:sz w:val="24"/>
                <w:szCs w:val="24"/>
                <w:shd w:val="clear" w:fill="auto"/>
              </w:rPr>
              <w:t>号线东川路站点的建设，</w:t>
            </w:r>
            <w:r>
              <w:rPr>
                <w:rFonts w:hint="default" w:cs="Times New Roman"/>
                <w:i w:val="0"/>
                <w:iCs w:val="0"/>
                <w:caps w:val="0"/>
                <w:spacing w:val="0"/>
                <w:sz w:val="24"/>
                <w:szCs w:val="24"/>
                <w:shd w:val="clear"/>
                <w:lang w:val="en-US" w:eastAsia="zh-CN"/>
              </w:rPr>
              <w:t>推进</w:t>
            </w:r>
            <w:r>
              <w:rPr>
                <w:rFonts w:hint="default" w:ascii="Times New Roman" w:hAnsi="Times New Roman" w:eastAsia="仿宋_GB2312" w:cs="Times New Roman"/>
                <w:i w:val="0"/>
                <w:iCs w:val="0"/>
                <w:caps w:val="0"/>
                <w:color w:val="auto"/>
                <w:spacing w:val="0"/>
                <w:sz w:val="24"/>
                <w:szCs w:val="24"/>
                <w:shd w:val="clear" w:fill="auto"/>
              </w:rPr>
              <w:t>电气集团轴承厂地块存量工业转型，</w:t>
            </w:r>
            <w:r>
              <w:rPr>
                <w:rFonts w:hint="default" w:cs="Times New Roman"/>
                <w:i w:val="0"/>
                <w:iCs w:val="0"/>
                <w:caps w:val="0"/>
                <w:spacing w:val="0"/>
                <w:sz w:val="24"/>
                <w:szCs w:val="24"/>
                <w:shd w:val="clear"/>
                <w:lang w:val="en-US" w:eastAsia="zh-CN"/>
              </w:rPr>
              <w:t>着力</w:t>
            </w:r>
            <w:r>
              <w:rPr>
                <w:rFonts w:ascii="Times New Roman" w:hAnsi="Times New Roman" w:eastAsia="仿宋_GB2312" w:cs="Times New Roman"/>
                <w:i w:val="0"/>
                <w:iCs w:val="0"/>
                <w:caps w:val="0"/>
                <w:color w:val="auto"/>
                <w:spacing w:val="0"/>
                <w:sz w:val="24"/>
                <w:szCs w:val="24"/>
                <w:shd w:val="clear" w:fill="auto"/>
              </w:rPr>
              <w:t>打造成商业、办公、住宅和公共服务配套等丰富业态的TOD综合体</w:t>
            </w:r>
            <w:r>
              <w:rPr>
                <w:rFonts w:hint="default" w:cs="Times New Roman"/>
                <w:i w:val="0"/>
                <w:iCs w:val="0"/>
                <w:caps w:val="0"/>
                <w:spacing w:val="0"/>
                <w:sz w:val="24"/>
                <w:szCs w:val="24"/>
                <w:shd w:val="clea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5"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15</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锦江乐园城市更新项目</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梅陇镇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锦江乐园城市更新项目总用地面积约84898平方米，设计容积率1.0，拟建包含探秘哈利波特影视之旅（以下简称HP之旅）、35kV用户站、文化设施（二期）、摩天轮项目、酒店、民俗文化中心以及配套服务建筑。拟拆除锦江乐园内所有建筑物、场地及构筑物，新建探秘哈利·波特影视之旅项目（简称</w:t>
            </w:r>
            <w:r>
              <w:rPr>
                <w:rFonts w:hint="default" w:ascii="Times New Roman" w:hAnsi="Times New Roman" w:cs="Times New Roman"/>
                <w:sz w:val="24"/>
                <w:lang w:eastAsia="zh-CN"/>
              </w:rPr>
              <w:t>“</w:t>
            </w:r>
            <w:r>
              <w:rPr>
                <w:rFonts w:cs="Times New Roman"/>
                <w:sz w:val="24"/>
              </w:rPr>
              <w:t>HP之旅</w:t>
            </w:r>
            <w:r>
              <w:rPr>
                <w:rFonts w:hint="default" w:ascii="Times New Roman" w:hAnsi="Times New Roman" w:cs="Times New Roman"/>
                <w:sz w:val="24"/>
                <w:lang w:eastAsia="zh-CN"/>
              </w:rPr>
              <w:t>”</w:t>
            </w:r>
            <w:r>
              <w:rPr>
                <w:rFonts w:cs="Times New Roman"/>
                <w:sz w:val="24"/>
              </w:rPr>
              <w:t>）、35kV开关站、文化设施及室外总体工程。项目总建筑面积约82447平方米，地上建筑面积约46244平方米，地下建筑面积约36203平方米。项目分二期进行，其中：一期建设范围：为HP之旅和35kV开关站，总建筑面积74871平方米，其中，HP之旅建筑面积74206平方米，地上建筑面积38003平方米，地下建筑面积36203平方米；35kV开关站建筑面积665平方米。二期建设范围：为文化设施，总建筑面积7576平方米。项目计划2025年8月开工建设，2027年底试运营，2028年1月正式开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w:t>
            </w:r>
            <w:r>
              <w:rPr>
                <w:rFonts w:hint="default" w:cs="Times New Roman"/>
                <w:sz w:val="24"/>
                <w:lang w:val="en-US" w:eastAsia="zh-CN"/>
              </w:rPr>
              <w:t>二</w:t>
            </w:r>
            <w:r>
              <w:rPr>
                <w:rFonts w:cs="Times New Roman"/>
                <w:sz w:val="24"/>
              </w:rPr>
              <w:t>）新型制造服务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color w:val="000000" w:themeColor="text1"/>
                <w:sz w:val="24"/>
                <w:lang w:val="en-US" w:eastAsia="zh-CN"/>
                <w14:textFill>
                  <w14:solidFill>
                    <w14:schemeClr w14:val="tx1"/>
                  </w14:solidFill>
                </w14:textFill>
              </w:rPr>
            </w:pPr>
            <w:r>
              <w:rPr>
                <w:rFonts w:hint="default" w:cs="Times New Roman"/>
                <w:color w:val="000000" w:themeColor="text1"/>
                <w:sz w:val="24"/>
                <w:lang w:eastAsia="zh-CN"/>
                <w14:textFill>
                  <w14:solidFill>
                    <w14:schemeClr w14:val="tx1"/>
                  </w14:solidFill>
                </w14:textFill>
              </w:rPr>
              <w:t>1</w:t>
            </w:r>
            <w:r>
              <w:rPr>
                <w:rFonts w:hint="default" w:cs="Times New Roman"/>
                <w:color w:val="000000" w:themeColor="text1"/>
                <w:sz w:val="24"/>
                <w:lang w:val="en-US" w:eastAsia="zh-CN"/>
                <w14:textFill>
                  <w14:solidFill>
                    <w14:schemeClr w14:val="tx1"/>
                  </w14:solidFill>
                </w14:textFill>
              </w:rPr>
              <w:t>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color w:val="000000" w:themeColor="text1"/>
                <w:sz w:val="24"/>
                <w14:textFill>
                  <w14:solidFill>
                    <w14:schemeClr w14:val="tx1"/>
                  </w14:solidFill>
                </w14:textFill>
              </w:rPr>
            </w:pPr>
            <w:r>
              <w:rPr>
                <w:rFonts w:hint="default" w:cs="Times New Roman"/>
                <w:color w:val="000000" w:themeColor="text1"/>
                <w:sz w:val="24"/>
                <w:lang w:val="en-US" w:eastAsia="zh-CN"/>
                <w14:textFill>
                  <w14:solidFill>
                    <w14:schemeClr w14:val="tx1"/>
                  </w14:solidFill>
                </w14:textFill>
              </w:rPr>
              <w:t>虹桥国际质检技术服务集聚区</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color w:val="000000" w:themeColor="text1"/>
                <w:sz w:val="24"/>
                <w14:textFill>
                  <w14:solidFill>
                    <w14:schemeClr w14:val="tx1"/>
                  </w14:solidFill>
                </w14:textFill>
              </w:rPr>
            </w:pPr>
            <w:r>
              <w:rPr>
                <w:rFonts w:hint="default" w:cs="Times New Roman"/>
                <w:color w:val="000000" w:themeColor="text1"/>
                <w:sz w:val="24"/>
                <w:lang w:val="en-US" w:eastAsia="zh-CN"/>
                <w14:textFill>
                  <w14:solidFill>
                    <w14:schemeClr w14:val="tx1"/>
                  </w14:solidFill>
                </w14:textFill>
              </w:rPr>
              <w:t>新虹街道</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color w:val="000000" w:themeColor="text1"/>
                <w:sz w:val="24"/>
                <w14:textFill>
                  <w14:solidFill>
                    <w14:schemeClr w14:val="tx1"/>
                  </w14:solidFill>
                </w14:textFill>
              </w:rPr>
            </w:pPr>
            <w:r>
              <w:rPr>
                <w:rFonts w:hint="default" w:cs="Times New Roman"/>
                <w:color w:val="000000" w:themeColor="text1"/>
                <w:sz w:val="24"/>
                <w:lang w:eastAsia="zh-CN"/>
                <w14:textFill>
                  <w14:solidFill>
                    <w14:schemeClr w14:val="tx1"/>
                  </w14:solidFill>
                </w14:textFill>
              </w:rPr>
              <w:t>虹桥国际中央商务区</w:t>
            </w:r>
            <w:r>
              <w:rPr>
                <w:rFonts w:cs="Times New Roman"/>
                <w:color w:val="000000" w:themeColor="text1"/>
                <w:sz w:val="24"/>
                <w14:textFill>
                  <w14:solidFill>
                    <w14:schemeClr w14:val="tx1"/>
                  </w14:solidFill>
                </w14:textFill>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聚焦认证服务，</w:t>
            </w:r>
            <w:r>
              <w:rPr>
                <w:rFonts w:hint="default" w:cs="Times New Roman"/>
                <w:color w:val="000000" w:themeColor="text1"/>
                <w:sz w:val="24"/>
                <w:lang w:val="en-US" w:eastAsia="zh-CN"/>
                <w14:textFill>
                  <w14:solidFill>
                    <w14:schemeClr w14:val="tx1"/>
                  </w14:solidFill>
                </w14:textFill>
              </w:rPr>
              <w:t>探索推进集聚区落地。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2"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17</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鸣志总部及研发中心</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虹桥国际中央商务区（闵行部分）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hint="default" w:cs="Times New Roman"/>
                <w:sz w:val="24"/>
                <w:lang w:val="en-US" w:eastAsia="zh-CN"/>
              </w:rPr>
              <w:t>鸣志总部暨研发中心项目规划总建筑面积约9.48万平方米，将承载鸣志集团的总部管理、研发、投资、运营等功能，同时打造国家级研发技术中心、企业级创新产业孵化中心和全球跨境贸易电子商务平台.项目预计于2027年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6"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18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赛意信息华东研发总部</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虹桥国际中央商务区（闵行部分）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hint="default" w:cs="Times New Roman"/>
                <w:sz w:val="24"/>
                <w:lang w:val="en-US" w:eastAsia="zh-CN"/>
              </w:rPr>
              <w:t>项目总投资约4亿元，总建设面积43492平方米，将打造赛意信息</w:t>
            </w:r>
            <w:r>
              <w:rPr>
                <w:rFonts w:hint="default" w:ascii="Times New Roman" w:hAnsi="Times New Roman" w:cs="Times New Roman"/>
                <w:sz w:val="24"/>
                <w:lang w:val="en-US" w:eastAsia="zh-CN"/>
              </w:rPr>
              <w:t>“</w:t>
            </w:r>
            <w:r>
              <w:rPr>
                <w:rFonts w:hint="default" w:cs="Times New Roman"/>
                <w:sz w:val="24"/>
                <w:lang w:val="en-US" w:eastAsia="zh-CN"/>
              </w:rPr>
              <w:t>华东研发中心＋华东营销管理中心＋华东数字化产业人才学院</w:t>
            </w:r>
            <w:r>
              <w:rPr>
                <w:rFonts w:hint="default" w:ascii="Times New Roman" w:hAnsi="Times New Roman" w:cs="Times New Roman"/>
                <w:sz w:val="24"/>
                <w:lang w:val="en-US" w:eastAsia="zh-CN"/>
              </w:rPr>
              <w:t>”</w:t>
            </w:r>
            <w:r>
              <w:rPr>
                <w:rFonts w:hint="default" w:cs="Times New Roman"/>
                <w:sz w:val="24"/>
                <w:lang w:val="en-US" w:eastAsia="zh-CN"/>
              </w:rPr>
              <w:t>的数字化创新赋能发展平台。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9"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19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先声药业（中国）研发中心</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虹桥国际中央商务区（闵行部分）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hint="default" w:cs="Times New Roman"/>
                <w:sz w:val="24"/>
                <w:lang w:val="en-US" w:eastAsia="zh-CN"/>
              </w:rPr>
              <w:t>项目位于虹桥前湾地区，总建筑面积9.4万平方米，由研发总部、区域营销总部和生活配套等三大功能组成，总投资超12亿元，预计2026年建成投入使用。作为上海市生物医药重大产业项目，先声药业（中国）研发中心项目是先声药业集团的重大战略布局，未来将聚焦抗肿瘤、自身免疫等重大疾病治疗领域开展创新药的研发，并建设</w:t>
            </w:r>
            <w:r>
              <w:rPr>
                <w:rFonts w:hint="default" w:ascii="Times New Roman" w:hAnsi="Times New Roman" w:cs="Times New Roman"/>
                <w:sz w:val="24"/>
                <w:lang w:val="en-US" w:eastAsia="zh-CN"/>
              </w:rPr>
              <w:t>“</w:t>
            </w:r>
            <w:r>
              <w:rPr>
                <w:rFonts w:hint="default" w:cs="Times New Roman"/>
                <w:sz w:val="24"/>
                <w:lang w:val="en-US" w:eastAsia="zh-CN"/>
              </w:rPr>
              <w:t>神经与肿瘤药物研发全国重点实验室</w:t>
            </w:r>
            <w:r>
              <w:rPr>
                <w:rFonts w:hint="default" w:ascii="Times New Roman" w:hAnsi="Times New Roman" w:cs="Times New Roman"/>
                <w:sz w:val="24"/>
                <w:lang w:val="en-US" w:eastAsia="zh-CN"/>
              </w:rPr>
              <w:t>”</w:t>
            </w:r>
            <w:r>
              <w:rPr>
                <w:rFonts w:hint="default" w:cs="Times New Roman"/>
                <w:sz w:val="24"/>
                <w:lang w:val="en-US" w:eastAsia="zh-CN"/>
              </w:rPr>
              <w:t>的转化医学中心。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9"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20</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正大天晴全球研发总部</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虹桥国际中央商务区（闵行部分）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hint="default" w:cs="Times New Roman"/>
                <w:sz w:val="24"/>
                <w:lang w:val="en-US" w:eastAsia="zh-CN"/>
              </w:rPr>
              <w:t>正大天晴全球研发总部是正大天晴药业集团为落实创新发展战略，在上海虹桥前湾地区布局的创新药物研发总部。研发总部项目占地约58.2亩，总投资约18亿元，总建筑面积约18万平米。项目建成后将借助上海地域优势，面向全球吸引高端人才，从事具有自主知识产权、高端新药的研发与产业化，与南京药物研究院南京、连云港创新试验基地形成互补，有利于推动区域乃至长三角地区生物医药产业的进一步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9"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21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东软上海科技中心</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虹桥国际中央商务区（闵行部分）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hint="default" w:cs="Times New Roman"/>
                <w:sz w:val="24"/>
                <w:lang w:val="en-US" w:eastAsia="zh-CN"/>
              </w:rPr>
              <w:t>东软上海科技中心项目,2022年10月正式启动,正在虹桥前湾地区全速推进。项目选址于虹桥前湾地区MHP0-1402单元13-01地块（用地面积3.5万平方米），总投资20亿元，总建筑面积17.7万平方米，计划2026年中竣工、2026年四季度正式投用。作为东软控股在华东区域的战略核心载体，项目聚焦高端医疗装备研发与信息科技服务创新双核领域，致力于打造世界级数字医疗设备研发中心和科技产业总部基地，为区域高质量发展注入澎湃动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ascii="Times New Roman" w:hAnsi="Times New Roman" w:eastAsia="仿宋_GB2312" w:cs="Times New Roman"/>
                <w:kern w:val="2"/>
                <w:sz w:val="24"/>
                <w:szCs w:val="24"/>
                <w:lang w:val="en-US" w:eastAsia="zh-CN" w:bidi="ar-SA"/>
                <w14:ligatures w14:val="standardContextual"/>
              </w:rPr>
            </w:pPr>
            <w:r>
              <w:rPr>
                <w:rFonts w:hint="default" w:cs="Times New Roman"/>
                <w:kern w:val="2"/>
                <w:sz w:val="24"/>
                <w:szCs w:val="24"/>
                <w:lang w:val="en-US" w:eastAsia="zh-CN" w:bidi="ar-SA"/>
                <w14:ligatures w14:val="standardContextual"/>
              </w:rPr>
              <w:t>22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hint="default" w:ascii="Times New Roman" w:hAnsi="Times New Roman" w:cs="Times New Roman"/>
                <w:sz w:val="24"/>
                <w:lang w:eastAsia="zh-CN"/>
              </w:rPr>
              <w:t>“</w:t>
            </w:r>
            <w:r>
              <w:rPr>
                <w:rFonts w:cs="Times New Roman"/>
                <w:sz w:val="24"/>
              </w:rPr>
              <w:t>大零号湾</w:t>
            </w:r>
            <w:r>
              <w:rPr>
                <w:rFonts w:hint="default" w:ascii="Times New Roman" w:hAnsi="Times New Roman" w:cs="Times New Roman"/>
                <w:sz w:val="24"/>
                <w:lang w:eastAsia="zh-CN"/>
              </w:rPr>
              <w:t>”</w:t>
            </w:r>
            <w:r>
              <w:rPr>
                <w:rFonts w:cs="Times New Roman"/>
                <w:sz w:val="24"/>
              </w:rPr>
              <w:t>科技创新策源研究院</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cs="Times New Roman"/>
                <w:sz w:val="24"/>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kern w:val="2"/>
                <w:sz w:val="24"/>
                <w:szCs w:val="24"/>
                <w:lang w:val="en-US" w:eastAsia="zh-CN" w:bidi="ar-SA"/>
                <w14:ligatures w14:val="standardContextual"/>
              </w:rPr>
            </w:pPr>
            <w:r>
              <w:rPr>
                <w:rFonts w:cs="Times New Roman"/>
                <w:sz w:val="24"/>
              </w:rPr>
              <w:t>吴泾镇</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ascii="Times New Roman" w:hAnsi="Times New Roman" w:eastAsia="仿宋_GB2312" w:cs="Times New Roman"/>
                <w:b/>
                <w:bCs/>
                <w:kern w:val="2"/>
                <w:sz w:val="24"/>
                <w:szCs w:val="24"/>
                <w:lang w:val="en-US" w:eastAsia="zh-CN" w:bidi="ar-SA"/>
                <w14:ligatures w14:val="standardContextual"/>
              </w:rPr>
            </w:pPr>
            <w:r>
              <w:rPr>
                <w:rFonts w:cs="Times New Roman"/>
                <w:sz w:val="24"/>
              </w:rPr>
              <w:t>大零号湾科技创新策源功能区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ascii="Times New Roman" w:hAnsi="Times New Roman" w:eastAsia="仿宋_GB2312" w:cs="Times New Roman"/>
                <w:kern w:val="2"/>
                <w:sz w:val="24"/>
                <w:szCs w:val="24"/>
                <w:lang w:val="en-US" w:eastAsia="zh-CN" w:bidi="ar-SA"/>
                <w14:ligatures w14:val="standardContextual"/>
              </w:rPr>
            </w:pPr>
            <w:r>
              <w:rPr>
                <w:rFonts w:cs="Times New Roman"/>
                <w:sz w:val="24"/>
              </w:rPr>
              <w:t>华师大紫竹建设，主要面向重大科技战略、未来产业布局等开展决策咨询研究。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color w:val="auto"/>
                <w:sz w:val="24"/>
                <w:lang w:val="en-US" w:eastAsia="zh-CN"/>
              </w:rPr>
            </w:pPr>
            <w:r>
              <w:rPr>
                <w:rFonts w:hint="default" w:cs="Times New Roman"/>
                <w:color w:val="auto"/>
                <w:sz w:val="24"/>
                <w:lang w:val="en-US" w:eastAsia="zh-CN"/>
              </w:rPr>
              <w:t>23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color w:val="auto"/>
                <w:sz w:val="24"/>
              </w:rPr>
            </w:pPr>
            <w:r>
              <w:rPr>
                <w:rFonts w:hint="default" w:ascii="Times New Roman" w:hAnsi="Times New Roman" w:eastAsia="仿宋_GB2312" w:cs="Times New Roman"/>
                <w:color w:val="auto"/>
                <w:sz w:val="24"/>
                <w:szCs w:val="24"/>
                <w:lang w:val="en-US" w:eastAsia="zh-CN"/>
              </w:rPr>
              <w:t>莲花茶城转型升级</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color w:val="auto"/>
                <w:sz w:val="24"/>
              </w:rPr>
            </w:pPr>
            <w:r>
              <w:rPr>
                <w:rFonts w:hint="default" w:ascii="Times New Roman" w:hAnsi="Times New Roman" w:eastAsia="仿宋_GB2312" w:cs="Times New Roman"/>
                <w:color w:val="auto"/>
                <w:sz w:val="24"/>
                <w:szCs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古美路</w:t>
            </w:r>
          </w:p>
          <w:p>
            <w:pPr>
              <w:spacing w:line="216" w:lineRule="auto"/>
              <w:ind w:firstLine="0" w:firstLineChars="0"/>
              <w:jc w:val="center"/>
              <w:rPr>
                <w:rFonts w:hint="default" w:eastAsia="仿宋_GB2312" w:cs="Times New Roman"/>
                <w:color w:val="auto"/>
                <w:sz w:val="24"/>
                <w:lang w:val="en-US" w:eastAsia="zh-CN"/>
              </w:rPr>
            </w:pPr>
            <w:r>
              <w:rPr>
                <w:rFonts w:hint="default" w:cs="Times New Roman"/>
                <w:color w:val="auto"/>
                <w:sz w:val="24"/>
                <w:lang w:val="en-US" w:eastAsia="zh-CN"/>
              </w:rPr>
              <w:t>街道</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color w:val="auto"/>
                <w:sz w:val="24"/>
              </w:rPr>
            </w:pPr>
            <w:r>
              <w:rPr>
                <w:rFonts w:cs="Times New Roman"/>
                <w:color w:val="auto"/>
                <w:sz w:val="24"/>
              </w:rPr>
              <w:t>——</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hint="default" w:eastAsia="仿宋_GB2312" w:cs="Times New Roman"/>
                <w:color w:val="auto"/>
                <w:sz w:val="24"/>
                <w:lang w:eastAsia="zh-CN"/>
              </w:rPr>
            </w:pPr>
            <w:r>
              <w:rPr>
                <w:rFonts w:hint="default" w:ascii="Times New Roman" w:hAnsi="Times New Roman" w:eastAsia="仿宋_GB2312" w:cs="Times New Roman"/>
                <w:color w:val="auto"/>
                <w:sz w:val="24"/>
                <w:szCs w:val="24"/>
                <w:lang w:eastAsia="zh-CN"/>
              </w:rPr>
              <w:t>通过</w:t>
            </w:r>
            <w:r>
              <w:rPr>
                <w:rFonts w:hint="default" w:ascii="Times New Roman" w:hAnsi="Times New Roman" w:eastAsia="仿宋_GB2312" w:cs="Times New Roman"/>
                <w:color w:val="auto"/>
                <w:sz w:val="24"/>
                <w:szCs w:val="24"/>
                <w:lang w:val="en-US" w:eastAsia="zh-CN"/>
              </w:rPr>
              <w:t>地块产业升级，引入一家能源材料企业，布局研发、展示、销售等功能，打造集研发中心、集团办公、展示中心为一体的企业总部，发挥总部经济效应</w:t>
            </w:r>
            <w:r>
              <w:rPr>
                <w:rFonts w:hint="default" w:ascii="Times New Roman" w:hAnsi="Times New Roman"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ascii="Times New Roman" w:hAnsi="Times New Roman" w:eastAsia="仿宋_GB2312" w:cs="Times New Roman"/>
                <w:kern w:val="2"/>
                <w:sz w:val="24"/>
                <w:szCs w:val="24"/>
                <w:lang w:val="en-US" w:eastAsia="zh-CN" w:bidi="ar-SA"/>
                <w14:ligatures w14:val="standardContextual"/>
              </w:rPr>
            </w:pPr>
            <w:r>
              <w:rPr>
                <w:rFonts w:hint="default" w:cs="Times New Roman"/>
                <w:sz w:val="24"/>
                <w:lang w:val="en-US" w:eastAsia="zh-CN"/>
              </w:rPr>
              <w:t>24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ascii="Times New Roman" w:hAnsi="Times New Roman" w:eastAsia="仿宋_GB2312" w:cs="Times New Roman"/>
                <w:kern w:val="2"/>
                <w:sz w:val="24"/>
                <w:szCs w:val="24"/>
                <w:lang w:val="en-US" w:eastAsia="zh-CN" w:bidi="ar-SA"/>
                <w14:ligatures w14:val="standardContextual"/>
              </w:rPr>
            </w:pPr>
            <w:r>
              <w:rPr>
                <w:rFonts w:cs="Times New Roman"/>
                <w:sz w:val="24"/>
              </w:rPr>
              <w:t>临港莘海科技园</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ascii="Times New Roman" w:hAnsi="Times New Roman" w:eastAsia="仿宋_GB2312" w:cs="Times New Roman"/>
                <w:kern w:val="2"/>
                <w:sz w:val="24"/>
                <w:szCs w:val="24"/>
                <w:lang w:val="en-US" w:eastAsia="zh-CN" w:bidi="ar-SA"/>
                <w14:ligatures w14:val="standardContextual"/>
              </w:rPr>
            </w:pPr>
            <w:r>
              <w:rPr>
                <w:rFonts w:cs="Times New Roman"/>
                <w:sz w:val="24"/>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ascii="Times New Roman" w:hAnsi="Times New Roman" w:eastAsia="仿宋_GB2312" w:cs="Times New Roman"/>
                <w:kern w:val="2"/>
                <w:sz w:val="24"/>
                <w:szCs w:val="24"/>
                <w:lang w:val="en-US" w:eastAsia="zh-CN" w:bidi="ar-SA"/>
                <w14:ligatures w14:val="standardContextual"/>
              </w:rPr>
            </w:pPr>
            <w:r>
              <w:rPr>
                <w:rFonts w:cs="Times New Roman"/>
                <w:sz w:val="24"/>
              </w:rPr>
              <w:t>莘庄镇</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ascii="Times New Roman" w:hAnsi="Times New Roman" w:eastAsia="仿宋_GB2312" w:cs="Times New Roman"/>
                <w:kern w:val="2"/>
                <w:sz w:val="24"/>
                <w:szCs w:val="24"/>
                <w:lang w:val="en-US" w:eastAsia="zh-CN" w:bidi="ar-SA"/>
                <w14:ligatures w14:val="standardContextual"/>
              </w:rPr>
            </w:pPr>
            <w:r>
              <w:rPr>
                <w:rFonts w:cs="Times New Roman"/>
                <w:sz w:val="24"/>
              </w:rPr>
              <w:t>莘庄商务区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hint="default" w:ascii="Times New Roman" w:hAnsi="Times New Roman" w:eastAsia="仿宋_GB2312" w:cs="Times New Roman"/>
                <w:kern w:val="2"/>
                <w:sz w:val="24"/>
                <w:szCs w:val="24"/>
                <w:lang w:val="en-US" w:eastAsia="zh-CN" w:bidi="ar-SA"/>
                <w14:ligatures w14:val="standardContextual"/>
              </w:rPr>
            </w:pPr>
            <w:r>
              <w:rPr>
                <w:rFonts w:cs="Times New Roman"/>
                <w:sz w:val="24"/>
              </w:rPr>
              <w:t>临港莘海科技园是莘庄镇打造工业软件科技创新合作中心的重要载体，十五五期间将依托工业软件科技创新合作中心、莘庄镇工业数字化创新中心不断加大相关研发机构与总部落户力度。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cs="Times New Roman"/>
                <w:sz w:val="24"/>
              </w:rPr>
              <w:t>（</w:t>
            </w:r>
            <w:r>
              <w:rPr>
                <w:rFonts w:hint="default" w:cs="Times New Roman"/>
                <w:sz w:val="24"/>
                <w:lang w:val="en-US" w:eastAsia="zh-CN"/>
              </w:rPr>
              <w:t>三</w:t>
            </w:r>
            <w:r>
              <w:rPr>
                <w:rFonts w:cs="Times New Roman"/>
                <w:sz w:val="24"/>
              </w:rPr>
              <w:t>）数字</w:t>
            </w:r>
            <w:r>
              <w:rPr>
                <w:rFonts w:hint="default" w:cs="Times New Roman"/>
                <w:sz w:val="24"/>
                <w:lang w:val="en-US" w:eastAsia="zh-CN"/>
              </w:rPr>
              <w:t>创意</w:t>
            </w:r>
            <w:r>
              <w:rPr>
                <w:rFonts w:cs="Times New Roman"/>
                <w:sz w:val="24"/>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2"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25</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SMG全媒体创新平台（东方智媒城）二期</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浦江镇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临港浦江国际科技城/东方智媒城</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sz w:val="24"/>
              </w:rPr>
            </w:pPr>
            <w:r>
              <w:rPr>
                <w:rFonts w:hint="default" w:cs="Times New Roman"/>
                <w:sz w:val="24"/>
              </w:rPr>
              <w:t>东方智媒城产业园区总占地约400亩，建筑总量近100万方，分四期开发，项目一期（约17万平方米）于2024年12月全面竣工交付，二期（约117亩，约27万平方米）已获取土地，视一期市政配套进度及市场情况适时开发。东方智媒城以共享、智慧、活力为三大核心开发理念，积极布局面向移动互联网和人工智能技术的新媒体数字化基础设施，是上海广播电视台媒体深度融合高质量发展的头部展示平台与产业主基地，目标建成具有国际影响力的国家级网络视听基地新片区和特色鲜明的大视听产业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7"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26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ascii="Times New Roman" w:hAnsi="Times New Roman" w:cs="Times New Roman"/>
                <w:sz w:val="24"/>
                <w:lang w:val="en-US" w:eastAsia="zh-CN"/>
              </w:rPr>
              <w:t>“</w:t>
            </w:r>
            <w:r>
              <w:rPr>
                <w:rFonts w:hint="default" w:cs="Times New Roman"/>
                <w:sz w:val="24"/>
                <w:lang w:val="en-US" w:eastAsia="zh-CN"/>
              </w:rPr>
              <w:t>锦尚秀带</w:t>
            </w:r>
            <w:r>
              <w:rPr>
                <w:rFonts w:hint="default" w:ascii="Times New Roman" w:hAnsi="Times New Roman" w:cs="Times New Roman"/>
                <w:sz w:val="24"/>
                <w:lang w:val="en-US" w:eastAsia="zh-CN"/>
              </w:rPr>
              <w:t>”</w:t>
            </w:r>
            <w:r>
              <w:rPr>
                <w:rFonts w:hint="default" w:cs="Times New Roman"/>
                <w:sz w:val="24"/>
                <w:lang w:val="en-US" w:eastAsia="zh-CN"/>
              </w:rPr>
              <w:t>产业集聚区</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浦锦街道</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锦尚秀带</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both"/>
              <w:rPr>
                <w:rFonts w:cs="Times New Roman"/>
                <w:sz w:val="24"/>
              </w:rPr>
            </w:pPr>
            <w:r>
              <w:rPr>
                <w:rFonts w:hint="default" w:cs="Times New Roman"/>
                <w:sz w:val="24"/>
                <w:lang w:val="en-US" w:eastAsia="zh-CN"/>
              </w:rPr>
              <w:t>激活时尚文创基因，推动资源整合与模式创新。一是构建</w:t>
            </w:r>
            <w:r>
              <w:rPr>
                <w:rFonts w:hint="default" w:ascii="Times New Roman" w:hAnsi="Times New Roman" w:cs="Times New Roman"/>
                <w:sz w:val="24"/>
                <w:lang w:val="en-US" w:eastAsia="zh-CN"/>
              </w:rPr>
              <w:t>“</w:t>
            </w:r>
            <w:r>
              <w:rPr>
                <w:rFonts w:hint="default" w:cs="Times New Roman"/>
                <w:sz w:val="24"/>
                <w:lang w:val="en-US" w:eastAsia="zh-CN"/>
              </w:rPr>
              <w:t>一带双核三场景</w:t>
            </w:r>
            <w:r>
              <w:rPr>
                <w:rFonts w:hint="default" w:ascii="Times New Roman" w:hAnsi="Times New Roman" w:cs="Times New Roman"/>
                <w:sz w:val="24"/>
                <w:lang w:val="en-US" w:eastAsia="zh-CN"/>
              </w:rPr>
              <w:t>”</w:t>
            </w:r>
            <w:r>
              <w:rPr>
                <w:rFonts w:hint="default" w:cs="Times New Roman"/>
                <w:sz w:val="24"/>
                <w:lang w:val="en-US" w:eastAsia="zh-CN"/>
              </w:rPr>
              <w:t>宠物产业生态。一轴：以浦星公路为轴，布局宠物高端智造与展销；两核：依托丰收村（文旅核）与塘口村（产业核）实现双核驱动，共建功能互补的产业发展极；三场景：推进宠物友好</w:t>
            </w:r>
            <w:r>
              <w:rPr>
                <w:rFonts w:hint="default" w:ascii="Times New Roman" w:hAnsi="Times New Roman" w:cs="Times New Roman"/>
                <w:sz w:val="24"/>
                <w:lang w:val="en-US" w:eastAsia="zh-CN"/>
              </w:rPr>
              <w:t>“</w:t>
            </w:r>
            <w:r>
              <w:rPr>
                <w:rFonts w:hint="default" w:cs="Times New Roman"/>
                <w:sz w:val="24"/>
                <w:lang w:val="en-US" w:eastAsia="zh-CN"/>
              </w:rPr>
              <w:t>1+1+1</w:t>
            </w:r>
            <w:r>
              <w:rPr>
                <w:rFonts w:hint="default" w:ascii="Times New Roman" w:hAnsi="Times New Roman" w:cs="Times New Roman"/>
                <w:sz w:val="24"/>
                <w:lang w:val="en-US" w:eastAsia="zh-CN"/>
              </w:rPr>
              <w:t>”</w:t>
            </w:r>
            <w:r>
              <w:rPr>
                <w:rFonts w:hint="default" w:cs="Times New Roman"/>
                <w:sz w:val="24"/>
                <w:lang w:val="en-US" w:eastAsia="zh-CN"/>
              </w:rPr>
              <w:t>试点工作，联动商圈、社区与乡村场景与资源，打造一站式拟人化服务体系，推动人宠和谐与消费融合。二是打造时尚文创融合示范区。依托上戏艺术资源，在丰收村渐进式引入小而美的艺术家工作室或设计工坊等新业态，塑造乡村文化新亮点；整合全域绿地与商业资源，探索</w:t>
            </w:r>
            <w:r>
              <w:rPr>
                <w:rFonts w:hint="default" w:ascii="Times New Roman" w:hAnsi="Times New Roman" w:cs="Times New Roman"/>
                <w:sz w:val="24"/>
                <w:lang w:val="en-US" w:eastAsia="zh-CN"/>
              </w:rPr>
              <w:t>“</w:t>
            </w:r>
            <w:r>
              <w:rPr>
                <w:rFonts w:hint="default" w:cs="Times New Roman"/>
                <w:sz w:val="24"/>
                <w:lang w:val="en-US" w:eastAsia="zh-CN"/>
              </w:rPr>
              <w:t>数智文娱+就近消费</w:t>
            </w:r>
            <w:r>
              <w:rPr>
                <w:rFonts w:hint="default" w:ascii="Times New Roman" w:hAnsi="Times New Roman" w:cs="Times New Roman"/>
                <w:sz w:val="24"/>
                <w:lang w:val="en-US" w:eastAsia="zh-CN"/>
              </w:rPr>
              <w:t>”</w:t>
            </w:r>
            <w:r>
              <w:rPr>
                <w:rFonts w:hint="default" w:cs="Times New Roman"/>
                <w:sz w:val="24"/>
                <w:lang w:val="en-US" w:eastAsia="zh-CN"/>
              </w:rPr>
              <w:t>等融合体验，提升文旅商业价值。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rPr>
                <w:rFonts w:cs="Times New Roman"/>
                <w:sz w:val="24"/>
              </w:rPr>
            </w:pPr>
            <w:r>
              <w:rPr>
                <w:rFonts w:cs="Times New Roman"/>
                <w:sz w:val="24"/>
              </w:rPr>
              <w:t>（</w:t>
            </w:r>
            <w:r>
              <w:rPr>
                <w:rFonts w:hint="default" w:cs="Times New Roman"/>
                <w:sz w:val="24"/>
                <w:lang w:val="en-US" w:eastAsia="zh-CN"/>
              </w:rPr>
              <w:t>四</w:t>
            </w:r>
            <w:r>
              <w:rPr>
                <w:rFonts w:cs="Times New Roman"/>
                <w:sz w:val="24"/>
              </w:rPr>
              <w:t>）其他特色服务业和综合性项目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6"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27</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虹桥国际</w:t>
            </w:r>
            <w:r>
              <w:rPr>
                <w:rFonts w:hint="default" w:cs="Times New Roman"/>
                <w:sz w:val="24"/>
                <w:lang w:val="en-US" w:eastAsia="zh-CN"/>
              </w:rPr>
              <w:t>青年创业港</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cs="Times New Roman"/>
                <w:sz w:val="24"/>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sz w:val="24"/>
              </w:rPr>
              <w:t>新虹街道</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hint="default" w:cs="Times New Roman"/>
                <w:sz w:val="24"/>
                <w:lang w:eastAsia="zh-CN"/>
              </w:rPr>
              <w:t>虹桥国际中央商务区</w:t>
            </w:r>
            <w:r>
              <w:rPr>
                <w:rFonts w:cs="Times New Roman"/>
                <w:sz w:val="24"/>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rPr>
                <w:rFonts w:cs="Times New Roman"/>
                <w:sz w:val="24"/>
              </w:rPr>
            </w:pPr>
            <w:r>
              <w:rPr>
                <w:rFonts w:cs="Times New Roman"/>
                <w:sz w:val="24"/>
              </w:rPr>
              <w:t>项目位于虹桥园主楼，</w:t>
            </w:r>
            <w:r>
              <w:rPr>
                <w:rFonts w:hint="default" w:cs="Times New Roman"/>
                <w:sz w:val="24"/>
                <w:lang w:val="en-US" w:eastAsia="zh-CN"/>
              </w:rPr>
              <w:t>推动高水平人才高地建设举措落地实施，发挥虹桥国际开发枢纽核心区位优势，将</w:t>
            </w:r>
            <w:r>
              <w:rPr>
                <w:rFonts w:hint="default" w:ascii="Times New Roman" w:hAnsi="Times New Roman" w:cs="Times New Roman"/>
                <w:sz w:val="24"/>
                <w:lang w:val="en-US" w:eastAsia="zh-CN"/>
              </w:rPr>
              <w:t>“</w:t>
            </w:r>
            <w:r>
              <w:rPr>
                <w:rFonts w:hint="default" w:cs="Times New Roman"/>
                <w:sz w:val="24"/>
                <w:lang w:val="en-US" w:eastAsia="zh-CN"/>
              </w:rPr>
              <w:t>枢纽流量</w:t>
            </w:r>
            <w:r>
              <w:rPr>
                <w:rFonts w:hint="default" w:ascii="Times New Roman" w:hAnsi="Times New Roman" w:cs="Times New Roman"/>
                <w:sz w:val="24"/>
                <w:lang w:val="en-US" w:eastAsia="zh-CN"/>
              </w:rPr>
              <w:t>”</w:t>
            </w:r>
            <w:r>
              <w:rPr>
                <w:rFonts w:hint="default" w:cs="Times New Roman"/>
                <w:sz w:val="24"/>
                <w:lang w:val="en-US" w:eastAsia="zh-CN"/>
              </w:rPr>
              <w:t>转化为实实在在的</w:t>
            </w:r>
            <w:r>
              <w:rPr>
                <w:rFonts w:hint="default" w:ascii="Times New Roman" w:hAnsi="Times New Roman" w:cs="Times New Roman"/>
                <w:sz w:val="24"/>
                <w:lang w:val="en-US" w:eastAsia="zh-CN"/>
              </w:rPr>
              <w:t>“</w:t>
            </w:r>
            <w:r>
              <w:rPr>
                <w:rFonts w:hint="default" w:cs="Times New Roman"/>
                <w:sz w:val="24"/>
                <w:lang w:val="en-US" w:eastAsia="zh-CN"/>
              </w:rPr>
              <w:t>发展增量</w:t>
            </w:r>
            <w:r>
              <w:rPr>
                <w:rFonts w:hint="default" w:ascii="Times New Roman" w:hAnsi="Times New Roman" w:cs="Times New Roman"/>
                <w:sz w:val="24"/>
                <w:lang w:val="en-US" w:eastAsia="zh-CN"/>
              </w:rPr>
              <w:t>”</w:t>
            </w:r>
            <w:r>
              <w:rPr>
                <w:rFonts w:hint="default" w:cs="Times New Roman"/>
                <w:sz w:val="24"/>
                <w:lang w:val="en-US" w:eastAsia="zh-CN"/>
              </w:rPr>
              <w:t>，打造集</w:t>
            </w:r>
            <w:r>
              <w:rPr>
                <w:rFonts w:hint="default" w:ascii="Times New Roman" w:hAnsi="Times New Roman" w:cs="Times New Roman"/>
                <w:sz w:val="24"/>
                <w:lang w:val="en-US" w:eastAsia="zh-CN"/>
              </w:rPr>
              <w:t>“</w:t>
            </w:r>
            <w:r>
              <w:rPr>
                <w:rFonts w:hint="default" w:cs="Times New Roman"/>
                <w:sz w:val="24"/>
                <w:lang w:val="en-US" w:eastAsia="zh-CN"/>
              </w:rPr>
              <w:t>创业孵化、产业对接、国际服务</w:t>
            </w:r>
            <w:r>
              <w:rPr>
                <w:rFonts w:hint="default" w:ascii="Times New Roman" w:hAnsi="Times New Roman" w:cs="Times New Roman"/>
                <w:sz w:val="24"/>
                <w:lang w:val="en-US" w:eastAsia="zh-CN"/>
              </w:rPr>
              <w:t>”</w:t>
            </w:r>
            <w:r>
              <w:rPr>
                <w:rFonts w:hint="default" w:cs="Times New Roman"/>
                <w:sz w:val="24"/>
                <w:lang w:val="en-US" w:eastAsia="zh-CN"/>
              </w:rPr>
              <w:t>于一体的青年创新创业平台。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6"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cs="Times New Roman"/>
                <w:sz w:val="24"/>
              </w:rPr>
              <w:t>2</w:t>
            </w:r>
            <w:r>
              <w:rPr>
                <w:rFonts w:hint="default" w:cs="Times New Roman"/>
                <w:sz w:val="24"/>
                <w:lang w:val="en-US" w:eastAsia="zh-CN"/>
              </w:rPr>
              <w:t>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立信会计金融学院项目</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cs="Times New Roman"/>
                <w:sz w:val="24"/>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sz w:val="24"/>
              </w:rPr>
              <w:t>新虹街道</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hint="default" w:cs="Times New Roman"/>
                <w:sz w:val="24"/>
                <w:lang w:eastAsia="zh-CN"/>
              </w:rPr>
              <w:t>虹桥国际中央商务区</w:t>
            </w:r>
            <w:r>
              <w:rPr>
                <w:rFonts w:cs="Times New Roman"/>
                <w:sz w:val="24"/>
              </w:rPr>
              <w:t>（闵行部分）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rPr>
                <w:rFonts w:cs="Times New Roman"/>
                <w:sz w:val="24"/>
              </w:rPr>
            </w:pPr>
            <w:r>
              <w:rPr>
                <w:rFonts w:cs="Times New Roman"/>
                <w:sz w:val="24"/>
              </w:rPr>
              <w:t>加快推进上海立信会计金融学院项目落地，依托立信虹桥会计中心等平台功能，吸引国内8大会计师事务所及国际知名会计师事务所入驻，吸引会计服务高端要素汇聚本区。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2"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cs="Times New Roman"/>
                <w:sz w:val="24"/>
              </w:rPr>
              <w:t>2</w:t>
            </w:r>
            <w:r>
              <w:rPr>
                <w:rFonts w:hint="default" w:cs="Times New Roman"/>
                <w:sz w:val="24"/>
                <w:lang w:val="en-US" w:eastAsia="zh-CN"/>
              </w:rPr>
              <w:t>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融资服务中心窗口</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b/>
                <w:bCs/>
                <w:sz w:val="24"/>
              </w:rPr>
              <w:t>——</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b/>
                <w:bCs/>
                <w:sz w:val="24"/>
              </w:rPr>
              <w:t>——</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rPr>
                <w:rFonts w:cs="Times New Roman"/>
                <w:sz w:val="24"/>
              </w:rPr>
            </w:pPr>
            <w:r>
              <w:rPr>
                <w:rFonts w:cs="Times New Roman"/>
                <w:sz w:val="24"/>
              </w:rPr>
              <w:t>布局</w:t>
            </w:r>
            <w:r>
              <w:rPr>
                <w:rFonts w:hint="default" w:ascii="Times New Roman" w:hAnsi="Times New Roman" w:cs="Times New Roman"/>
                <w:sz w:val="24"/>
                <w:lang w:eastAsia="zh-CN"/>
              </w:rPr>
              <w:t>“</w:t>
            </w:r>
            <w:r>
              <w:rPr>
                <w:rFonts w:cs="Times New Roman"/>
                <w:sz w:val="24"/>
              </w:rPr>
              <w:t>1+N</w:t>
            </w:r>
            <w:r>
              <w:rPr>
                <w:rFonts w:hint="default" w:ascii="Times New Roman" w:hAnsi="Times New Roman" w:cs="Times New Roman"/>
                <w:sz w:val="24"/>
                <w:lang w:eastAsia="zh-CN"/>
              </w:rPr>
              <w:t>”</w:t>
            </w:r>
            <w:r>
              <w:rPr>
                <w:rFonts w:cs="Times New Roman"/>
                <w:sz w:val="24"/>
              </w:rPr>
              <w:t>的融资服务长效工作模式，打造集普惠金融顾问、小微企业贷款、科创型企业知识产权质押、担保增信服务等于一体的综合型融资服务中心窗口，布局更为灵活高效的融资服务中心流动窗口。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30</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脑机接口产业集聚区</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虹桥国际中央商务区（闵行部分）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both"/>
              <w:rPr>
                <w:rFonts w:cs="Times New Roman"/>
                <w:sz w:val="24"/>
              </w:rPr>
            </w:pPr>
            <w:r>
              <w:rPr>
                <w:rFonts w:hint="default" w:cs="Times New Roman"/>
                <w:sz w:val="24"/>
                <w:lang w:val="en-US" w:eastAsia="zh-CN"/>
              </w:rPr>
              <w:t>依托华山医院谋划布局脑科学领域产学研功能，打造脑机接口未来产业集聚区。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31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泰和诚肿瘤医院</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虹桥国际中央商务区（闵行部分）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both"/>
              <w:rPr>
                <w:rFonts w:cs="Times New Roman"/>
                <w:sz w:val="24"/>
              </w:rPr>
            </w:pPr>
            <w:r>
              <w:rPr>
                <w:rFonts w:hint="default" w:cs="Times New Roman"/>
                <w:sz w:val="24"/>
                <w:lang w:val="en-US" w:eastAsia="zh-CN"/>
              </w:rPr>
              <w:t>争取甲类大型医疗设备质子放疗系统配置获批并投入使用，提供肿瘤精准治疗服务。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6"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32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上海市养老科技产业园建设（二期）</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b/>
                <w:bCs/>
                <w:sz w:val="24"/>
              </w:rPr>
            </w:pPr>
            <w:r>
              <w:rPr>
                <w:rFonts w:cs="Times New Roman"/>
                <w:sz w:val="24"/>
              </w:rPr>
              <w:t>吴泾镇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cs="Times New Roman"/>
                <w:sz w:val="24"/>
              </w:rPr>
              <w:t>大零号湾科技创新策源功能区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rPr>
                <w:rFonts w:cs="Times New Roman"/>
                <w:sz w:val="24"/>
              </w:rPr>
            </w:pPr>
            <w:r>
              <w:rPr>
                <w:rFonts w:cs="Times New Roman"/>
                <w:sz w:val="24"/>
              </w:rPr>
              <w:t>首期载体选址国盛健康云城B19号楼，建筑面积10332.81m²，于2025年6月实现开园。</w:t>
            </w:r>
            <w:r>
              <w:rPr>
                <w:rFonts w:hint="default" w:ascii="Times New Roman" w:hAnsi="Times New Roman" w:cs="Times New Roman"/>
                <w:sz w:val="24"/>
                <w:lang w:eastAsia="zh-CN"/>
              </w:rPr>
              <w:t>“</w:t>
            </w:r>
            <w:r>
              <w:rPr>
                <w:rFonts w:cs="Times New Roman"/>
                <w:sz w:val="24"/>
              </w:rPr>
              <w:t>十五五</w:t>
            </w:r>
            <w:r>
              <w:rPr>
                <w:rFonts w:hint="default" w:ascii="Times New Roman" w:hAnsi="Times New Roman" w:cs="Times New Roman"/>
                <w:sz w:val="24"/>
                <w:lang w:eastAsia="zh-CN"/>
              </w:rPr>
              <w:t>”</w:t>
            </w:r>
            <w:r>
              <w:rPr>
                <w:rFonts w:cs="Times New Roman"/>
                <w:sz w:val="24"/>
              </w:rPr>
              <w:t>期间将拓展功能区，争创国家级银发经济产业园区。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2"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33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虹桥前湾云台项目</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虹桥国际中央商务区（闵行部分）</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both"/>
              <w:rPr>
                <w:rFonts w:cs="Times New Roman"/>
                <w:sz w:val="24"/>
              </w:rPr>
            </w:pPr>
            <w:r>
              <w:rPr>
                <w:rFonts w:hint="default" w:cs="Times New Roman"/>
                <w:sz w:val="24"/>
                <w:lang w:val="en-US" w:eastAsia="zh-CN"/>
              </w:rPr>
              <w:t>项目拟建设面向长三角地区研发创新园区，打造国际一流展示和交流平台等。通过打造创新产业新高地、创新园区新标杆，建设培育新业态的功能型平台载体，引入数字经济、低碳环保和生物医药产业链上下游环节的腰部及以上企业，打造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6"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34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在建轨交23号线澄江路站金融港商业商办建设</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吴泾镇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rPr>
                <w:rFonts w:cs="Times New Roman"/>
                <w:sz w:val="24"/>
              </w:rPr>
            </w:pPr>
            <w:r>
              <w:rPr>
                <w:rFonts w:cs="Times New Roman"/>
                <w:sz w:val="24"/>
              </w:rPr>
              <w:t>以轨交站点带动功能集聚，形成集商业办公、租赁住房、宜居社区、开放空间等功能为一体的复合型TOD片区。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9"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35</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莘庄老街片区</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莘庄镇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cs="Times New Roman"/>
                <w:sz w:val="24"/>
              </w:rPr>
              <w:t>莘庄商务区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rPr>
                <w:rFonts w:cs="Times New Roman"/>
                <w:sz w:val="24"/>
              </w:rPr>
            </w:pPr>
            <w:r>
              <w:rPr>
                <w:rFonts w:cs="Times New Roman"/>
                <w:sz w:val="24"/>
              </w:rPr>
              <w:t>莘庄老街片区东至沪闵路、西至中春路、南至沪杭铁路、北至莘松路，占地面积0.753平方公里，项目计划通过局部微更新，优化街区设施和环境，释放商办空间。目前梳理出可用于改造的沿街商铺建筑面积14.73万</w:t>
            </w:r>
            <w:r>
              <w:rPr>
                <w:rFonts w:eastAsia="微软雅黑" w:cs="Times New Roman"/>
                <w:sz w:val="24"/>
              </w:rPr>
              <w:t>㎡</w:t>
            </w:r>
            <w:r>
              <w:rPr>
                <w:rFonts w:cs="Times New Roman"/>
                <w:sz w:val="24"/>
              </w:rPr>
              <w:t>，行政办公用房资产建筑面积1.05万</w:t>
            </w:r>
            <w:r>
              <w:rPr>
                <w:rFonts w:eastAsia="微软雅黑" w:cs="Times New Roman"/>
                <w:sz w:val="24"/>
              </w:rPr>
              <w:t>㎡</w:t>
            </w:r>
            <w:r>
              <w:rPr>
                <w:rFonts w:cs="Times New Roman"/>
                <w:sz w:val="24"/>
              </w:rPr>
              <w:t>，计划于2026年-2027年研究莘西路以西区域二期老街更新改造项目，2028年计划二期项目开工，2029年二期项目建设，2030年二期项目完工。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5"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36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元江商务区科创城市功能服务片区规划落地及开发建设</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颛桥镇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元江地区</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both"/>
              <w:rPr>
                <w:rFonts w:cs="Times New Roman"/>
                <w:sz w:val="24"/>
              </w:rPr>
            </w:pPr>
            <w:r>
              <w:rPr>
                <w:rFonts w:hint="default" w:cs="Times New Roman"/>
                <w:sz w:val="24"/>
                <w:lang w:val="en-US" w:eastAsia="zh-CN"/>
              </w:rPr>
              <w:t>作为闵行地区中心、大零号湾科创城区的重要组成部分，结合上位对</w:t>
            </w:r>
            <w:r>
              <w:rPr>
                <w:rFonts w:hint="default" w:ascii="Times New Roman" w:hAnsi="Times New Roman" w:cs="Times New Roman"/>
                <w:sz w:val="24"/>
                <w:lang w:val="en-US" w:eastAsia="zh-CN"/>
              </w:rPr>
              <w:t>“</w:t>
            </w:r>
            <w:r>
              <w:rPr>
                <w:rFonts w:hint="default" w:cs="Times New Roman"/>
                <w:sz w:val="24"/>
                <w:lang w:val="en-US" w:eastAsia="zh-CN"/>
              </w:rPr>
              <w:t>科创、活力、服务</w:t>
            </w:r>
            <w:r>
              <w:rPr>
                <w:rFonts w:hint="default" w:ascii="Times New Roman" w:hAnsi="Times New Roman" w:cs="Times New Roman"/>
                <w:sz w:val="24"/>
                <w:lang w:val="en-US" w:eastAsia="zh-CN"/>
              </w:rPr>
              <w:t>”</w:t>
            </w:r>
            <w:r>
              <w:rPr>
                <w:rFonts w:hint="default" w:cs="Times New Roman"/>
                <w:sz w:val="24"/>
                <w:lang w:val="en-US" w:eastAsia="zh-CN"/>
              </w:rPr>
              <w:t>的要求将元江地区中心打造成为大零号湾的产城服务融合区。重点培育科技创新、商业、文化、居住等功能，形成服务闵行南部地区的特色服务中心。增加高等级公共服务设施配套，提升公共活动中心空间覆盖，形成商业服务和生活服务的复合化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3"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37</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闵行检验检测（质检计量）产业集群</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功能拓展提升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hint="default" w:cs="Times New Roman"/>
                <w:sz w:val="24"/>
                <w:lang w:val="en-US" w:eastAsia="zh-CN"/>
              </w:rPr>
              <w:t>颛桥镇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sz w:val="24"/>
              </w:rPr>
            </w:pPr>
            <w:r>
              <w:rPr>
                <w:rFonts w:hint="default" w:cs="Times New Roman"/>
                <w:sz w:val="24"/>
                <w:lang w:val="en-US" w:eastAsia="zh-CN"/>
              </w:rPr>
              <w:t>颛桥镇</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both"/>
              <w:rPr>
                <w:rFonts w:cs="Times New Roman"/>
                <w:sz w:val="24"/>
              </w:rPr>
            </w:pPr>
            <w:r>
              <w:rPr>
                <w:rFonts w:hint="default" w:cs="Times New Roman"/>
                <w:sz w:val="24"/>
                <w:lang w:val="en-US" w:eastAsia="zh-CN"/>
              </w:rPr>
              <w:t>紧抓检验检测产业辐射机遇，承接大零号湾和莘庄城市副中心建设溢出效应，加快构建</w:t>
            </w:r>
            <w:r>
              <w:rPr>
                <w:rFonts w:hint="default" w:ascii="Times New Roman" w:hAnsi="Times New Roman" w:cs="Times New Roman"/>
                <w:sz w:val="24"/>
                <w:lang w:val="en-US" w:eastAsia="zh-CN"/>
              </w:rPr>
              <w:t>“</w:t>
            </w:r>
            <w:r>
              <w:rPr>
                <w:rFonts w:hint="default" w:cs="Times New Roman"/>
                <w:sz w:val="24"/>
                <w:lang w:val="en-US" w:eastAsia="zh-CN"/>
              </w:rPr>
              <w:t>东西南北</w:t>
            </w:r>
            <w:r>
              <w:rPr>
                <w:rFonts w:hint="default" w:ascii="Times New Roman" w:hAnsi="Times New Roman" w:cs="Times New Roman"/>
                <w:sz w:val="24"/>
                <w:lang w:val="en-US" w:eastAsia="zh-CN"/>
              </w:rPr>
              <w:t>”</w:t>
            </w:r>
            <w:r>
              <w:rPr>
                <w:rFonts w:hint="default" w:cs="Times New Roman"/>
                <w:sz w:val="24"/>
                <w:lang w:val="en-US" w:eastAsia="zh-CN"/>
              </w:rPr>
              <w:t>全方位对接引商新模式、新机制，南接零号湾，西接马桥，北接大虹桥，东接市区重点区块转型，进一步吸纳优质检验检测企业主体集聚发展。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left"/>
              <w:rPr>
                <w:rFonts w:cs="Times New Roman"/>
                <w:b/>
                <w:bCs/>
                <w:sz w:val="24"/>
              </w:rPr>
            </w:pPr>
            <w:r>
              <w:rPr>
                <w:rFonts w:cs="Times New Roman"/>
                <w:b/>
                <w:bCs/>
                <w:sz w:val="24"/>
              </w:rPr>
              <w:t>二、公服、基础设施建设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hint="default" w:eastAsia="仿宋_GB2312" w:cs="Times New Roman"/>
                <w:sz w:val="24"/>
                <w:lang w:val="en-US" w:eastAsia="zh-CN"/>
              </w:rPr>
            </w:pPr>
            <w:r>
              <w:rPr>
                <w:rFonts w:hint="default" w:cs="Times New Roman"/>
                <w:sz w:val="24"/>
                <w:lang w:val="en-US" w:eastAsia="zh-CN"/>
              </w:rPr>
              <w:t>38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前湾公园（三期）</w:t>
            </w:r>
          </w:p>
        </w:tc>
        <w:tc>
          <w:tcPr>
            <w:tcW w:w="580"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cs="Times New Roman"/>
                <w:b/>
                <w:bCs/>
                <w:sz w:val="24"/>
              </w:rPr>
            </w:pPr>
            <w:r>
              <w:rPr>
                <w:rFonts w:cs="Times New Roman"/>
                <w:sz w:val="24"/>
              </w:rPr>
              <w:t>硬件建设更新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jc w:val="center"/>
              <w:rPr>
                <w:rFonts w:cs="Times New Roman"/>
                <w:sz w:val="24"/>
              </w:rPr>
            </w:pPr>
            <w:r>
              <w:rPr>
                <w:rFonts w:cs="Times New Roman"/>
                <w:sz w:val="24"/>
              </w:rPr>
              <w:t>华漕镇</w:t>
            </w:r>
          </w:p>
        </w:tc>
        <w:tc>
          <w:tcPr>
            <w:tcW w:w="543" w:type="pct"/>
            <w:tcBorders>
              <w:top w:val="single" w:color="auto" w:sz="4" w:space="0"/>
              <w:left w:val="single" w:color="auto" w:sz="4" w:space="0"/>
              <w:bottom w:val="single" w:color="auto" w:sz="4" w:space="0"/>
              <w:right w:val="single" w:color="auto" w:sz="4" w:space="0"/>
            </w:tcBorders>
            <w:vAlign w:val="center"/>
          </w:tcPr>
          <w:p>
            <w:pPr>
              <w:spacing w:line="216" w:lineRule="auto"/>
              <w:ind w:firstLine="0" w:firstLineChars="0"/>
              <w:jc w:val="center"/>
              <w:rPr>
                <w:rFonts w:hint="default" w:eastAsia="仿宋_GB2312" w:cs="Times New Roman"/>
                <w:sz w:val="24"/>
                <w:lang w:eastAsia="zh-CN"/>
              </w:rPr>
            </w:pPr>
            <w:r>
              <w:rPr>
                <w:rFonts w:hint="default" w:cs="Times New Roman"/>
                <w:sz w:val="24"/>
                <w:lang w:eastAsia="zh-CN"/>
              </w:rPr>
              <w:t>虹桥国际中央商务区（</w:t>
            </w:r>
            <w:r>
              <w:rPr>
                <w:rFonts w:hint="default" w:cs="Times New Roman"/>
                <w:sz w:val="24"/>
                <w:lang w:val="en-US" w:eastAsia="zh-CN"/>
              </w:rPr>
              <w:t>闵行部分</w:t>
            </w:r>
            <w:r>
              <w:rPr>
                <w:rFonts w:hint="default" w:cs="Times New Roman"/>
                <w:sz w:val="24"/>
                <w:lang w:eastAsia="zh-CN"/>
              </w:rPr>
              <w:t>）</w:t>
            </w:r>
          </w:p>
        </w:tc>
        <w:tc>
          <w:tcPr>
            <w:tcW w:w="239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ind w:firstLine="0" w:firstLineChars="0"/>
              <w:rPr>
                <w:rFonts w:cs="Times New Roman"/>
                <w:sz w:val="24"/>
              </w:rPr>
            </w:pPr>
            <w:r>
              <w:rPr>
                <w:rFonts w:cs="Times New Roman"/>
                <w:sz w:val="24"/>
              </w:rPr>
              <w:t>正在编制工可报告。</w:t>
            </w:r>
          </w:p>
        </w:tc>
      </w:tr>
    </w:tbl>
    <w:p>
      <w:pPr>
        <w:ind w:firstLine="640"/>
        <w:rPr>
          <w:rFonts w:cs="Times New Roman"/>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altName w:val="华文仿宋"/>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w:altName w:val="华文仿宋"/>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微软雅黑">
    <w:altName w:val="黑体"/>
    <w:panose1 w:val="020B0503020204020204"/>
    <w:charset w:val="86"/>
    <w:family w:val="swiss"/>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 w:name="创艺简老宋">
    <w:panose1 w:val="00000000000000000000"/>
    <w:charset w:val="00"/>
    <w:family w:val="auto"/>
    <w:pitch w:val="default"/>
    <w:sig w:usb0="00000000" w:usb1="00000000" w:usb2="00000000" w:usb3="00000000" w:csb0="000041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eastAsia="宋体"/>
        <w:sz w:val="24"/>
        <w:szCs w:val="24"/>
      </w:rPr>
      <w:id w:val="-1"/>
      <w:docPartObj>
        <w:docPartGallery w:val="autotext"/>
      </w:docPartObj>
    </w:sdtPr>
    <w:sdtEndPr>
      <w:rPr>
        <w:rFonts w:ascii="宋体" w:hAnsi="宋体" w:eastAsia="宋体"/>
        <w:sz w:val="24"/>
        <w:szCs w:val="24"/>
      </w:rPr>
    </w:sdtEndPr>
    <w:sdtContent>
      <w:p>
        <w:pPr>
          <w:pStyle w:val="14"/>
          <w:ind w:firstLine="560"/>
          <w:jc w:val="center"/>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PAGE   \* MERGEFORMAT</w:instrText>
        </w:r>
        <w:r>
          <w:rPr>
            <w:rFonts w:ascii="宋体" w:hAnsi="宋体" w:eastAsia="宋体"/>
            <w:sz w:val="24"/>
            <w:szCs w:val="24"/>
          </w:rPr>
          <w:fldChar w:fldCharType="separate"/>
        </w:r>
        <w:r>
          <w:rPr>
            <w:rFonts w:ascii="宋体" w:hAnsi="宋体" w:eastAsia="宋体"/>
            <w:sz w:val="24"/>
            <w:szCs w:val="24"/>
            <w:lang w:val="zh-CN"/>
          </w:rPr>
          <w:t>2</w:t>
        </w:r>
        <w:r>
          <w:rPr>
            <w:rFonts w:ascii="宋体" w:hAnsi="宋体" w:eastAsia="宋体"/>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pPr>
        <w:spacing w:before="0" w:after="0" w:line="240" w:lineRule="auto"/>
        <w:ind w:firstLine="640"/>
      </w:pPr>
      <w:r>
        <w:separator/>
      </w:r>
    </w:p>
  </w:footnote>
  <w:footnote w:type="continuationSeparator" w:id="23">
    <w:p>
      <w:pPr>
        <w:spacing w:before="0" w:after="0" w:line="240" w:lineRule="auto"/>
        <w:ind w:firstLine="640"/>
      </w:pPr>
      <w:r>
        <w:continuationSeparator/>
      </w:r>
    </w:p>
  </w:footnote>
  <w:footnote w:id="0">
    <w:p>
      <w:pPr>
        <w:pStyle w:val="18"/>
        <w:snapToGrid w:val="0"/>
        <w:rPr>
          <w:rFonts w:hint="default" w:ascii="Times New Roman" w:hAnsi="Times New Roman" w:eastAsia="宋体" w:cs="Times New Roman"/>
          <w:sz w:val="24"/>
          <w:szCs w:val="24"/>
          <w:lang w:val="en-US" w:eastAsia="zh-CN"/>
        </w:rPr>
      </w:pPr>
      <w:r>
        <w:rPr>
          <w:rStyle w:val="25"/>
          <w:rFonts w:ascii="Times New Roman" w:hAnsi="Times New Roman" w:cs="Times New Roman"/>
          <w:sz w:val="24"/>
          <w:szCs w:val="24"/>
        </w:rPr>
        <w:footnoteRef/>
      </w:r>
      <w:r>
        <w:rPr>
          <w:rStyle w:val="25"/>
          <w:rFonts w:hint="eastAsia"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default" w:ascii="Times New Roman" w:hAnsi="Times New Roman" w:cs="Times New Roman"/>
          <w:sz w:val="24"/>
          <w:szCs w:val="24"/>
          <w:lang w:val="en-US" w:eastAsia="zh-CN"/>
        </w:rPr>
        <w:t>4+4</w:t>
      </w:r>
      <w:r>
        <w:rPr>
          <w:rFonts w:hint="eastAsia" w:ascii="Times New Roman" w:hAnsi="Times New Roman" w:cs="Times New Roman"/>
          <w:sz w:val="24"/>
          <w:szCs w:val="24"/>
          <w:lang w:eastAsia="zh-CN"/>
        </w:rPr>
        <w:t>”</w:t>
      </w:r>
      <w:r>
        <w:rPr>
          <w:rFonts w:hint="default" w:ascii="Times New Roman" w:hAnsi="Times New Roman" w:cs="Times New Roman"/>
          <w:sz w:val="24"/>
          <w:szCs w:val="24"/>
          <w:lang w:val="en-US" w:eastAsia="zh-CN"/>
        </w:rPr>
        <w:t>现代产业体系</w:t>
      </w:r>
      <w:r>
        <w:rPr>
          <w:rFonts w:hint="eastAsia" w:ascii="Times New Roman" w:hAnsi="Times New Roman" w:cs="Times New Roman"/>
          <w:sz w:val="24"/>
          <w:szCs w:val="24"/>
          <w:lang w:val="en-US" w:eastAsia="zh-CN"/>
        </w:rPr>
        <w:t>为“十四五”规划提出的全区产业体系，“4”指高</w:t>
      </w:r>
      <w:r>
        <w:rPr>
          <w:rFonts w:ascii="Times New Roman" w:hAnsi="Times New Roman" w:eastAsia="宋体" w:cs="Times New Roman"/>
          <w:sz w:val="24"/>
          <w:szCs w:val="24"/>
        </w:rPr>
        <w:t>端装备、新一代信息技术、人工智能、生物医药</w:t>
      </w:r>
      <w:r>
        <w:rPr>
          <w:rFonts w:hint="eastAsia" w:ascii="Times New Roman" w:hAnsi="Times New Roman" w:cs="Times New Roman"/>
          <w:sz w:val="24"/>
          <w:szCs w:val="24"/>
          <w:lang w:val="en-US" w:eastAsia="zh-CN"/>
        </w:rPr>
        <w:t>等制造业，“4”指</w:t>
      </w:r>
      <w:r>
        <w:rPr>
          <w:rFonts w:ascii="Times New Roman" w:hAnsi="Times New Roman" w:eastAsia="宋体" w:cs="Times New Roman"/>
          <w:sz w:val="24"/>
          <w:szCs w:val="24"/>
        </w:rPr>
        <w:t>国际商贸、现代金融、文化创意、科技服务</w:t>
      </w:r>
      <w:r>
        <w:rPr>
          <w:rFonts w:hint="eastAsia" w:ascii="Times New Roman" w:hAnsi="Times New Roman" w:cs="Times New Roman"/>
          <w:sz w:val="24"/>
          <w:szCs w:val="24"/>
          <w:lang w:val="en-US" w:eastAsia="zh-CN"/>
        </w:rPr>
        <w:t>等现代服务业。</w:t>
      </w:r>
    </w:p>
  </w:footnote>
  <w:footnote w:id="1">
    <w:p>
      <w:pPr>
        <w:pStyle w:val="18"/>
        <w:snapToGrid w:val="0"/>
        <w:rPr>
          <w:rFonts w:hint="default"/>
          <w:sz w:val="24"/>
          <w:szCs w:val="24"/>
        </w:rPr>
      </w:pPr>
      <w:r>
        <w:rPr>
          <w:rFonts w:hint="eastAsia"/>
          <w:sz w:val="24"/>
          <w:szCs w:val="24"/>
          <w:lang w:val="en-US" w:eastAsia="zh-CN"/>
        </w:rPr>
        <w:t>2</w:t>
      </w:r>
      <w:r>
        <w:rPr>
          <w:rFonts w:hint="eastAsia"/>
          <w:sz w:val="24"/>
          <w:szCs w:val="24"/>
          <w:lang w:eastAsia="zh-CN"/>
        </w:rPr>
        <w:t>、“</w:t>
      </w:r>
      <w:r>
        <w:rPr>
          <w:rFonts w:hint="eastAsia"/>
          <w:sz w:val="24"/>
          <w:szCs w:val="24"/>
          <w:lang w:val="en-US" w:eastAsia="zh-CN"/>
        </w:rPr>
        <w:t>4+2</w:t>
      </w:r>
      <w:r>
        <w:rPr>
          <w:rFonts w:hint="eastAsia"/>
          <w:sz w:val="24"/>
          <w:szCs w:val="24"/>
          <w:lang w:eastAsia="zh-CN"/>
        </w:rPr>
        <w:t>”</w:t>
      </w:r>
      <w:r>
        <w:rPr>
          <w:rFonts w:hint="eastAsia"/>
          <w:sz w:val="24"/>
          <w:szCs w:val="24"/>
          <w:lang w:val="en-US" w:eastAsia="zh-CN"/>
        </w:rPr>
        <w:t>现代服务业体系为“十四五”现代服务业规划提出的产业体系，</w:t>
      </w:r>
      <w:r>
        <w:rPr>
          <w:rFonts w:hint="eastAsia" w:cs="宋体"/>
          <w:sz w:val="24"/>
          <w:szCs w:val="24"/>
          <w:lang w:val="en-US" w:eastAsia="zh-CN"/>
        </w:rPr>
        <w:t>“</w:t>
      </w:r>
      <w:r>
        <w:rPr>
          <w:rFonts w:hint="eastAsia" w:ascii="宋体" w:hAnsi="宋体" w:eastAsia="宋体" w:cs="宋体"/>
          <w:sz w:val="24"/>
          <w:szCs w:val="24"/>
          <w:lang w:val="en-US" w:eastAsia="zh-CN"/>
        </w:rPr>
        <w:t>4</w:t>
      </w:r>
      <w:r>
        <w:rPr>
          <w:rFonts w:hint="eastAsia" w:cs="宋体"/>
          <w:sz w:val="24"/>
          <w:szCs w:val="24"/>
          <w:lang w:val="en-US" w:eastAsia="zh-CN"/>
        </w:rPr>
        <w:t>”</w:t>
      </w:r>
      <w:r>
        <w:rPr>
          <w:rFonts w:hint="eastAsia" w:ascii="宋体" w:hAnsi="宋体" w:eastAsia="宋体" w:cs="宋体"/>
          <w:sz w:val="24"/>
          <w:szCs w:val="24"/>
          <w:lang w:val="en-US" w:eastAsia="zh-CN"/>
        </w:rPr>
        <w:t>指国际商贸、科技服务、文化创意、现代金融</w:t>
      </w:r>
      <w:r>
        <w:rPr>
          <w:rFonts w:hint="eastAsia" w:cs="宋体"/>
          <w:sz w:val="24"/>
          <w:szCs w:val="24"/>
          <w:lang w:val="en-US" w:eastAsia="zh-CN"/>
        </w:rPr>
        <w:t>四大重点产业</w:t>
      </w:r>
      <w:r>
        <w:rPr>
          <w:rFonts w:hint="eastAsia" w:ascii="宋体" w:hAnsi="宋体" w:eastAsia="宋体" w:cs="宋体"/>
          <w:sz w:val="24"/>
          <w:szCs w:val="24"/>
          <w:lang w:val="en-US" w:eastAsia="zh-CN"/>
        </w:rPr>
        <w:t>，</w:t>
      </w:r>
      <w:r>
        <w:rPr>
          <w:rFonts w:hint="eastAsia" w:cs="宋体"/>
          <w:sz w:val="24"/>
          <w:szCs w:val="24"/>
          <w:lang w:val="en-US" w:eastAsia="zh-CN"/>
        </w:rPr>
        <w:t>“</w:t>
      </w:r>
      <w:r>
        <w:rPr>
          <w:rFonts w:hint="eastAsia" w:ascii="宋体" w:hAnsi="宋体" w:eastAsia="宋体" w:cs="宋体"/>
          <w:sz w:val="24"/>
          <w:szCs w:val="24"/>
          <w:lang w:val="en-US" w:eastAsia="zh-CN"/>
        </w:rPr>
        <w:t>2</w:t>
      </w:r>
      <w:r>
        <w:rPr>
          <w:rFonts w:hint="eastAsia" w:cs="宋体"/>
          <w:sz w:val="24"/>
          <w:szCs w:val="24"/>
          <w:lang w:val="en-US" w:eastAsia="zh-CN"/>
        </w:rPr>
        <w:t>”</w:t>
      </w:r>
      <w:r>
        <w:rPr>
          <w:rFonts w:hint="eastAsia" w:ascii="宋体" w:hAnsi="宋体" w:eastAsia="宋体" w:cs="宋体"/>
          <w:sz w:val="24"/>
          <w:szCs w:val="24"/>
          <w:lang w:val="en-US" w:eastAsia="zh-CN"/>
        </w:rPr>
        <w:t>指专业服务、</w:t>
      </w:r>
      <w:r>
        <w:rPr>
          <w:rFonts w:hint="eastAsia" w:cs="宋体"/>
          <w:sz w:val="24"/>
          <w:szCs w:val="24"/>
          <w:lang w:val="en-US" w:eastAsia="zh-CN"/>
        </w:rPr>
        <w:t>医疗</w:t>
      </w:r>
      <w:r>
        <w:rPr>
          <w:rFonts w:hint="eastAsia" w:ascii="宋体" w:hAnsi="宋体" w:eastAsia="宋体" w:cs="宋体"/>
          <w:sz w:val="24"/>
          <w:szCs w:val="24"/>
          <w:lang w:val="en-US" w:eastAsia="zh-CN"/>
        </w:rPr>
        <w:t>健康服务</w:t>
      </w:r>
      <w:r>
        <w:rPr>
          <w:rFonts w:hint="eastAsia" w:cs="宋体"/>
          <w:sz w:val="24"/>
          <w:szCs w:val="24"/>
          <w:lang w:val="en-US" w:eastAsia="zh-CN"/>
        </w:rPr>
        <w:t>两大潜力产业。</w:t>
      </w:r>
    </w:p>
  </w:footnote>
  <w:footnote w:id="2">
    <w:p>
      <w:pPr>
        <w:pStyle w:val="18"/>
        <w:snapToGrid w:val="0"/>
        <w:rPr>
          <w:rFonts w:hint="default" w:eastAsia="宋体"/>
          <w:sz w:val="24"/>
          <w:szCs w:val="24"/>
          <w:lang w:val="en-US" w:eastAsia="zh-CN"/>
        </w:rPr>
      </w:pPr>
      <w:r>
        <w:rPr>
          <w:rFonts w:hint="eastAsia"/>
          <w:sz w:val="24"/>
          <w:szCs w:val="24"/>
          <w:lang w:val="en-US" w:eastAsia="zh-CN"/>
        </w:rPr>
        <w:t>3</w:t>
      </w:r>
      <w:r>
        <w:rPr>
          <w:rFonts w:hint="eastAsia"/>
          <w:sz w:val="24"/>
          <w:szCs w:val="24"/>
          <w:lang w:eastAsia="zh-CN"/>
        </w:rPr>
        <w:t>、</w:t>
      </w:r>
      <w:r>
        <w:rPr>
          <w:rFonts w:hint="eastAsia"/>
          <w:sz w:val="24"/>
          <w:szCs w:val="24"/>
          <w:lang w:val="en-US" w:eastAsia="zh-CN"/>
        </w:rPr>
        <w:t>五大中心指</w:t>
      </w:r>
      <w:r>
        <w:rPr>
          <w:rFonts w:cs="Times New Roman"/>
          <w:sz w:val="24"/>
          <w:szCs w:val="24"/>
        </w:rPr>
        <w:t>加工制造、研发设计、物流分拨、检测维修、销售服务等</w:t>
      </w:r>
      <w:r>
        <w:rPr>
          <w:rFonts w:hint="eastAsia" w:cs="Times New Roman"/>
          <w:sz w:val="24"/>
          <w:szCs w:val="24"/>
          <w:lang w:val="en-US" w:eastAsia="zh-CN"/>
        </w:rPr>
        <w:t>五大功能建设。</w:t>
      </w:r>
    </w:p>
  </w:footnote>
  <w:footnote w:id="3">
    <w:p>
      <w:pPr>
        <w:pStyle w:val="18"/>
        <w:tabs>
          <w:tab w:val="left" w:pos="6720"/>
        </w:tabs>
        <w:rPr>
          <w:rFonts w:ascii="Times New Roman" w:hAnsi="Times New Roman" w:cs="Times New Roman"/>
          <w:sz w:val="24"/>
          <w:szCs w:val="24"/>
        </w:rPr>
      </w:pPr>
      <w:r>
        <w:rPr>
          <w:rStyle w:val="29"/>
          <w:rFonts w:ascii="Times New Roman" w:hAnsi="Times New Roman" w:cs="Times New Roman"/>
          <w:sz w:val="24"/>
          <w:szCs w:val="24"/>
          <w:vertAlign w:val="baseline"/>
        </w:rPr>
        <w:footnoteRef/>
      </w:r>
      <w:r>
        <w:rPr>
          <w:rFonts w:hint="eastAsia" w:ascii="Times New Roman" w:hAnsi="Times New Roman" w:cs="Times New Roman"/>
          <w:sz w:val="24"/>
          <w:szCs w:val="24"/>
          <w:lang w:val="en-US" w:eastAsia="zh-CN"/>
        </w:rPr>
        <w:t>、</w:t>
      </w:r>
      <w:r>
        <w:rPr>
          <w:rFonts w:ascii="Times New Roman" w:hAnsi="Times New Roman" w:cs="Times New Roman"/>
          <w:sz w:val="24"/>
          <w:szCs w:val="24"/>
        </w:rPr>
        <w:t>数据来源：202</w:t>
      </w:r>
      <w:r>
        <w:rPr>
          <w:rFonts w:hint="eastAsia" w:ascii="Times New Roman" w:hAnsi="Times New Roman" w:cs="Times New Roman"/>
          <w:sz w:val="24"/>
          <w:szCs w:val="24"/>
          <w:lang w:val="en-US" w:eastAsia="zh-CN"/>
        </w:rPr>
        <w:t>5</w:t>
      </w:r>
      <w:r>
        <w:rPr>
          <w:rFonts w:ascii="Times New Roman" w:hAnsi="Times New Roman" w:cs="Times New Roman"/>
          <w:sz w:val="24"/>
          <w:szCs w:val="24"/>
        </w:rPr>
        <w:t>年第四季度上海写字楼办公楼出租租金市场分析报告与发展前景趋势展望（高力国际）。</w:t>
      </w:r>
    </w:p>
  </w:footnote>
  <w:footnote w:id="4">
    <w:p>
      <w:pPr>
        <w:pStyle w:val="18"/>
        <w:jc w:val="both"/>
        <w:rPr>
          <w:rFonts w:ascii="Times New Roman" w:hAnsi="Times New Roman" w:cs="Times New Roman"/>
          <w:sz w:val="24"/>
          <w:szCs w:val="24"/>
        </w:rPr>
      </w:pPr>
      <w:r>
        <w:rPr>
          <w:rStyle w:val="29"/>
          <w:rFonts w:ascii="Times New Roman" w:hAnsi="Times New Roman" w:cs="Times New Roman"/>
          <w:sz w:val="24"/>
          <w:szCs w:val="24"/>
          <w:vertAlign w:val="baseline"/>
        </w:rPr>
        <w:footnoteRef/>
      </w:r>
      <w:r>
        <w:rPr>
          <w:rFonts w:hint="eastAsia" w:ascii="Times New Roman" w:hAnsi="Times New Roman" w:cs="Times New Roman"/>
          <w:sz w:val="24"/>
          <w:szCs w:val="24"/>
          <w:lang w:eastAsia="zh-CN"/>
        </w:rPr>
        <w:t>、</w:t>
      </w:r>
      <w:r>
        <w:rPr>
          <w:rFonts w:ascii="Times New Roman" w:hAnsi="Times New Roman" w:cs="Times New Roman"/>
          <w:sz w:val="24"/>
          <w:szCs w:val="24"/>
        </w:rPr>
        <w:t>根据《上海市商业空间布局专项规划（2022-2035年）》和《闵行区商圈更新发展三年行动方案（2025—2027）》，闵行计划到2027年逐步形成</w:t>
      </w:r>
      <w:r>
        <w:rPr>
          <w:rFonts w:hint="eastAsia" w:ascii="Times New Roman" w:hAnsi="Times New Roman" w:cs="Times New Roman"/>
          <w:sz w:val="24"/>
          <w:szCs w:val="24"/>
          <w:lang w:eastAsia="zh-CN"/>
        </w:rPr>
        <w:t>“</w:t>
      </w:r>
      <w:r>
        <w:rPr>
          <w:rFonts w:ascii="Times New Roman" w:hAnsi="Times New Roman" w:cs="Times New Roman"/>
          <w:sz w:val="24"/>
          <w:szCs w:val="24"/>
        </w:rPr>
        <w:t>1+2+6+N</w:t>
      </w:r>
      <w:r>
        <w:rPr>
          <w:rFonts w:hint="eastAsia" w:ascii="Times New Roman" w:hAnsi="Times New Roman" w:cs="Times New Roman"/>
          <w:sz w:val="24"/>
          <w:szCs w:val="24"/>
          <w:lang w:eastAsia="zh-CN"/>
        </w:rPr>
        <w:t>”</w:t>
      </w:r>
      <w:r>
        <w:rPr>
          <w:rFonts w:ascii="Times New Roman" w:hAnsi="Times New Roman" w:cs="Times New Roman"/>
          <w:sz w:val="24"/>
          <w:szCs w:val="24"/>
        </w:rPr>
        <w:t>（打造1个国际级消费中心、2个市级商业中心，培育6个地区级商业中心，建设具有地区特色的商业街区和一刻钟便民生活圈）的商业空间格局，1个国际级消费中心为虹桥商务区国际消费中心，2个市级商业中心为吴中路商业中心、莘庄商业中心（远期），6个地区级商业中心为七宝商业中心、南方商城商业中心、银都路商业中心、颛桥商业中心、大零号湾商业中心、浦江商业中心，具有地区特色的商业街区主要包括马桥、华漕、古美、吴泾等。</w:t>
      </w:r>
    </w:p>
  </w:footnote>
  <w:footnote w:id="5">
    <w:p>
      <w:pPr>
        <w:pStyle w:val="18"/>
        <w:snapToGrid w:val="0"/>
        <w:rPr>
          <w:rFonts w:hint="default" w:eastAsia="宋体"/>
          <w:sz w:val="24"/>
          <w:szCs w:val="24"/>
          <w:lang w:val="en-US" w:eastAsia="zh-CN"/>
        </w:rPr>
      </w:pPr>
      <w:r>
        <w:rPr>
          <w:rFonts w:hint="eastAsia"/>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中共闵行区关于深入学习贯彻习近平总书记考察上海重要讲话精神持续强化科技创新策源功能加快培育发展新质生产力的实施意见》提出，全力打造航空航天、先进能源装备及绿色低碳、生物医药三大主导产业集群，持续做强新一代电子信息、人工智能、时尚消费品等优势产业，加快布局未来空间、未来能源、未来健康等未来产业。</w:t>
      </w:r>
    </w:p>
  </w:footnote>
  <w:footnote w:id="6">
    <w:p>
      <w:pPr>
        <w:pStyle w:val="18"/>
        <w:rPr>
          <w:rFonts w:ascii="Times New Roman" w:hAnsi="Times New Roman" w:cs="Times New Roman"/>
          <w:sz w:val="24"/>
          <w:szCs w:val="24"/>
        </w:rPr>
      </w:pPr>
      <w:r>
        <w:rPr>
          <w:rFonts w:ascii="Times New Roman" w:hAnsi="Times New Roman" w:cs="Times New Roman"/>
          <w:sz w:val="24"/>
          <w:szCs w:val="24"/>
        </w:rPr>
        <w:footnoteRef/>
      </w:r>
      <w:r>
        <w:rPr>
          <w:rFonts w:hint="eastAsia"/>
          <w:sz w:val="24"/>
          <w:szCs w:val="24"/>
          <w:lang w:val="en-US" w:eastAsia="zh-CN"/>
        </w:rPr>
        <w:t>、</w:t>
      </w:r>
      <w:r>
        <w:rPr>
          <w:rFonts w:ascii="Times New Roman" w:hAnsi="Times New Roman" w:cs="Times New Roman"/>
          <w:sz w:val="24"/>
          <w:szCs w:val="24"/>
        </w:rPr>
        <w:t>仅统计限上商品销售总额（</w:t>
      </w:r>
      <w:r>
        <w:rPr>
          <w:rFonts w:hint="eastAsia" w:ascii="Times New Roman" w:hAnsi="Times New Roman" w:cs="Times New Roman"/>
          <w:sz w:val="24"/>
          <w:szCs w:val="24"/>
          <w:lang w:val="en-US" w:eastAsia="zh-CN"/>
        </w:rPr>
        <w:t>8454.37</w:t>
      </w:r>
      <w:r>
        <w:rPr>
          <w:rFonts w:ascii="Times New Roman" w:hAnsi="Times New Roman" w:cs="Times New Roman"/>
          <w:sz w:val="24"/>
          <w:szCs w:val="24"/>
        </w:rPr>
        <w:t>亿元）。</w:t>
      </w:r>
    </w:p>
  </w:footnote>
  <w:footnote w:id="7">
    <w:p>
      <w:pPr>
        <w:pStyle w:val="18"/>
        <w:rPr>
          <w:rFonts w:ascii="Times New Roman" w:hAnsi="Times New Roman" w:cs="Times New Roman"/>
          <w:sz w:val="24"/>
          <w:szCs w:val="24"/>
        </w:rPr>
      </w:pPr>
      <w:r>
        <w:rPr>
          <w:rFonts w:ascii="Times New Roman" w:hAnsi="Times New Roman" w:cs="Times New Roman"/>
          <w:sz w:val="24"/>
          <w:szCs w:val="24"/>
        </w:rPr>
        <w:footnoteRef/>
      </w:r>
      <w:r>
        <w:rPr>
          <w:rFonts w:hint="eastAsia" w:ascii="Times New Roman" w:hAnsi="Times New Roman" w:cs="Times New Roman"/>
          <w:sz w:val="24"/>
          <w:szCs w:val="24"/>
          <w:lang w:eastAsia="zh-CN"/>
        </w:rPr>
        <w:t>、</w:t>
      </w:r>
      <w:r>
        <w:rPr>
          <w:rFonts w:hint="eastAsia" w:ascii="Times New Roman" w:hAnsi="Times New Roman" w:cs="Times New Roman"/>
          <w:sz w:val="24"/>
          <w:szCs w:val="24"/>
        </w:rPr>
        <w:t>新增实际到位外资指</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十四五</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时期（2021-2025年）累计实际到位外资，比</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十三五</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时期（2016-2020年）累计实际到位外资的差值。</w:t>
      </w:r>
    </w:p>
  </w:footnote>
  <w:footnote w:id="8">
    <w:p>
      <w:pPr>
        <w:pStyle w:val="18"/>
        <w:rPr>
          <w:rFonts w:ascii="Times New Roman" w:hAnsi="Times New Roman" w:cs="Times New Roman"/>
          <w:sz w:val="24"/>
          <w:szCs w:val="24"/>
        </w:rPr>
      </w:pPr>
      <w:r>
        <w:rPr>
          <w:rStyle w:val="29"/>
          <w:rFonts w:ascii="Times New Roman" w:hAnsi="Times New Roman" w:cs="Times New Roman"/>
          <w:sz w:val="24"/>
          <w:szCs w:val="24"/>
          <w:vertAlign w:val="baseline"/>
        </w:rPr>
        <w:footnoteRef/>
      </w:r>
      <w:r>
        <w:rPr>
          <w:rFonts w:hint="eastAsia" w:ascii="Times New Roman" w:hAnsi="Times New Roman" w:cs="Times New Roman"/>
          <w:sz w:val="24"/>
          <w:szCs w:val="24"/>
          <w:lang w:eastAsia="zh-CN"/>
        </w:rPr>
        <w:t>、</w:t>
      </w:r>
      <w:r>
        <w:rPr>
          <w:rFonts w:ascii="Times New Roman" w:hAnsi="Times New Roman" w:cs="Times New Roman"/>
          <w:sz w:val="24"/>
          <w:szCs w:val="24"/>
        </w:rPr>
        <w:t>包括研究和试验发展、专业技术服务业、科技推广和应用服务业3大类。</w:t>
      </w:r>
    </w:p>
  </w:footnote>
  <w:footnote w:id="9">
    <w:p>
      <w:pPr>
        <w:pStyle w:val="18"/>
        <w:rPr>
          <w:rFonts w:ascii="Times New Roman" w:hAnsi="Times New Roman" w:cs="Times New Roman"/>
          <w:sz w:val="24"/>
          <w:szCs w:val="24"/>
        </w:rPr>
      </w:pPr>
      <w:r>
        <w:rPr>
          <w:rStyle w:val="29"/>
          <w:rFonts w:ascii="Times New Roman" w:hAnsi="Times New Roman" w:cs="Times New Roman"/>
          <w:sz w:val="24"/>
          <w:szCs w:val="24"/>
          <w:vertAlign w:val="baseline"/>
        </w:rPr>
        <w:footnoteRef/>
      </w:r>
      <w:r>
        <w:rPr>
          <w:rFonts w:hint="eastAsia" w:ascii="Times New Roman" w:hAnsi="Times New Roman" w:cs="Times New Roman"/>
          <w:sz w:val="24"/>
          <w:szCs w:val="24"/>
          <w:lang w:eastAsia="zh-CN"/>
        </w:rPr>
        <w:t>、</w:t>
      </w:r>
      <w:r>
        <w:rPr>
          <w:rFonts w:ascii="Times New Roman" w:hAnsi="Times New Roman" w:cs="Times New Roman"/>
          <w:sz w:val="24"/>
          <w:szCs w:val="24"/>
        </w:rPr>
        <w:t>包括研发设计与其他技术服务、货物运输、通用航空生产、仓储和邮政快递服务、信息服务、金融服务、节能与环保服务、生产性租赁服务、商务服务、人力资源管理与职业教育培训服务、批发与贸易经纪代理服务、生产性支持服务10类。</w:t>
      </w:r>
    </w:p>
  </w:footnote>
  <w:footnote w:id="10">
    <w:p>
      <w:pPr>
        <w:pStyle w:val="18"/>
        <w:rPr>
          <w:rFonts w:ascii="Times New Roman" w:hAnsi="Times New Roman" w:cs="Times New Roman"/>
          <w:sz w:val="24"/>
          <w:szCs w:val="24"/>
        </w:rPr>
      </w:pPr>
      <w:r>
        <w:rPr>
          <w:rStyle w:val="29"/>
          <w:rFonts w:ascii="Times New Roman" w:hAnsi="Times New Roman" w:cs="Times New Roman"/>
          <w:sz w:val="24"/>
          <w:szCs w:val="24"/>
          <w:vertAlign w:val="baseline"/>
        </w:rPr>
        <w:footnoteRef/>
      </w:r>
      <w:r>
        <w:rPr>
          <w:rFonts w:hint="eastAsia" w:ascii="Times New Roman" w:hAnsi="Times New Roman" w:cs="Times New Roman"/>
          <w:sz w:val="24"/>
          <w:szCs w:val="24"/>
          <w:lang w:eastAsia="zh-CN"/>
        </w:rPr>
        <w:t>、</w:t>
      </w:r>
      <w:r>
        <w:rPr>
          <w:rFonts w:ascii="Times New Roman" w:hAnsi="Times New Roman" w:cs="Times New Roman"/>
          <w:sz w:val="24"/>
          <w:szCs w:val="24"/>
        </w:rPr>
        <w:t>包括媒体与艺术、工业设计、建筑设计、时尚创意、互联网和相关服务、软件和信息技术服务、广告及会展服务、休闲娱乐、文化创意投资运营、咨询和中介服务、文化装备制造及销售、文化创意及辅助用品生产12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footnotePr>
    <w:footnote w:id="22"/>
    <w:footnote w:id="23"/>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6DB"/>
    <w:rsid w:val="00000347"/>
    <w:rsid w:val="00000839"/>
    <w:rsid w:val="00000C0A"/>
    <w:rsid w:val="00000C8F"/>
    <w:rsid w:val="00000DD7"/>
    <w:rsid w:val="00000E15"/>
    <w:rsid w:val="00000E74"/>
    <w:rsid w:val="00000F20"/>
    <w:rsid w:val="00000F30"/>
    <w:rsid w:val="00001060"/>
    <w:rsid w:val="0000114F"/>
    <w:rsid w:val="00001471"/>
    <w:rsid w:val="00001C25"/>
    <w:rsid w:val="00001E17"/>
    <w:rsid w:val="0000201C"/>
    <w:rsid w:val="000023BC"/>
    <w:rsid w:val="000025C5"/>
    <w:rsid w:val="00002A29"/>
    <w:rsid w:val="00002B87"/>
    <w:rsid w:val="00002EB8"/>
    <w:rsid w:val="00003115"/>
    <w:rsid w:val="000035F3"/>
    <w:rsid w:val="00004179"/>
    <w:rsid w:val="0000429D"/>
    <w:rsid w:val="000042AC"/>
    <w:rsid w:val="000045D3"/>
    <w:rsid w:val="0000469B"/>
    <w:rsid w:val="00004AA0"/>
    <w:rsid w:val="000050A0"/>
    <w:rsid w:val="000052C1"/>
    <w:rsid w:val="00005349"/>
    <w:rsid w:val="000055D9"/>
    <w:rsid w:val="000057D5"/>
    <w:rsid w:val="00005920"/>
    <w:rsid w:val="0000594F"/>
    <w:rsid w:val="00005B62"/>
    <w:rsid w:val="00005F60"/>
    <w:rsid w:val="00006183"/>
    <w:rsid w:val="00006868"/>
    <w:rsid w:val="00006879"/>
    <w:rsid w:val="0000694E"/>
    <w:rsid w:val="00006D51"/>
    <w:rsid w:val="00006E00"/>
    <w:rsid w:val="000070AB"/>
    <w:rsid w:val="00007466"/>
    <w:rsid w:val="000078C5"/>
    <w:rsid w:val="00007A4D"/>
    <w:rsid w:val="00007EA8"/>
    <w:rsid w:val="000105CB"/>
    <w:rsid w:val="000107C6"/>
    <w:rsid w:val="0001099D"/>
    <w:rsid w:val="000109D0"/>
    <w:rsid w:val="00010C02"/>
    <w:rsid w:val="0001110B"/>
    <w:rsid w:val="00011B6A"/>
    <w:rsid w:val="00011ED2"/>
    <w:rsid w:val="0001240C"/>
    <w:rsid w:val="00012803"/>
    <w:rsid w:val="00012945"/>
    <w:rsid w:val="00012C02"/>
    <w:rsid w:val="00012DFE"/>
    <w:rsid w:val="000130C5"/>
    <w:rsid w:val="0001310D"/>
    <w:rsid w:val="00013202"/>
    <w:rsid w:val="0001346E"/>
    <w:rsid w:val="000136C1"/>
    <w:rsid w:val="000137D6"/>
    <w:rsid w:val="000138E4"/>
    <w:rsid w:val="000139D7"/>
    <w:rsid w:val="00013A42"/>
    <w:rsid w:val="00013DCC"/>
    <w:rsid w:val="0001407E"/>
    <w:rsid w:val="0001449E"/>
    <w:rsid w:val="00014744"/>
    <w:rsid w:val="00014F43"/>
    <w:rsid w:val="00014F46"/>
    <w:rsid w:val="00014FA9"/>
    <w:rsid w:val="0001522C"/>
    <w:rsid w:val="000156E6"/>
    <w:rsid w:val="00015C21"/>
    <w:rsid w:val="00015EA6"/>
    <w:rsid w:val="00015F4B"/>
    <w:rsid w:val="0001642B"/>
    <w:rsid w:val="00016AA6"/>
    <w:rsid w:val="00016FA7"/>
    <w:rsid w:val="000170AF"/>
    <w:rsid w:val="00017750"/>
    <w:rsid w:val="000179E5"/>
    <w:rsid w:val="00017C07"/>
    <w:rsid w:val="000207C7"/>
    <w:rsid w:val="00020BA9"/>
    <w:rsid w:val="00020CC2"/>
    <w:rsid w:val="00020FE8"/>
    <w:rsid w:val="00021949"/>
    <w:rsid w:val="000219DD"/>
    <w:rsid w:val="000219EC"/>
    <w:rsid w:val="00022031"/>
    <w:rsid w:val="0002233E"/>
    <w:rsid w:val="000224DF"/>
    <w:rsid w:val="00022DE3"/>
    <w:rsid w:val="00023240"/>
    <w:rsid w:val="00023480"/>
    <w:rsid w:val="0002365B"/>
    <w:rsid w:val="000236AE"/>
    <w:rsid w:val="00023C4B"/>
    <w:rsid w:val="00023CF1"/>
    <w:rsid w:val="00024319"/>
    <w:rsid w:val="00024380"/>
    <w:rsid w:val="000246C0"/>
    <w:rsid w:val="00024AAA"/>
    <w:rsid w:val="00024B2B"/>
    <w:rsid w:val="00024EC6"/>
    <w:rsid w:val="00024FA0"/>
    <w:rsid w:val="00025103"/>
    <w:rsid w:val="00025231"/>
    <w:rsid w:val="000252A7"/>
    <w:rsid w:val="00025370"/>
    <w:rsid w:val="00025AE8"/>
    <w:rsid w:val="00025FCC"/>
    <w:rsid w:val="0002644F"/>
    <w:rsid w:val="00026B7E"/>
    <w:rsid w:val="00026D09"/>
    <w:rsid w:val="000274D0"/>
    <w:rsid w:val="00027BEF"/>
    <w:rsid w:val="000302A7"/>
    <w:rsid w:val="000304C3"/>
    <w:rsid w:val="000306F6"/>
    <w:rsid w:val="00030B3A"/>
    <w:rsid w:val="00030B6F"/>
    <w:rsid w:val="00030BB4"/>
    <w:rsid w:val="00030C72"/>
    <w:rsid w:val="00030FA0"/>
    <w:rsid w:val="00030FF0"/>
    <w:rsid w:val="00031FAC"/>
    <w:rsid w:val="0003255A"/>
    <w:rsid w:val="000328DB"/>
    <w:rsid w:val="0003293E"/>
    <w:rsid w:val="00032A33"/>
    <w:rsid w:val="00032E1D"/>
    <w:rsid w:val="00032E3B"/>
    <w:rsid w:val="00032E80"/>
    <w:rsid w:val="00033318"/>
    <w:rsid w:val="00033450"/>
    <w:rsid w:val="000334CE"/>
    <w:rsid w:val="00033616"/>
    <w:rsid w:val="0003388F"/>
    <w:rsid w:val="00033C95"/>
    <w:rsid w:val="00033D66"/>
    <w:rsid w:val="00034155"/>
    <w:rsid w:val="00034358"/>
    <w:rsid w:val="000344A6"/>
    <w:rsid w:val="00034968"/>
    <w:rsid w:val="00034D25"/>
    <w:rsid w:val="00034F98"/>
    <w:rsid w:val="0003518C"/>
    <w:rsid w:val="00035374"/>
    <w:rsid w:val="00035485"/>
    <w:rsid w:val="00035791"/>
    <w:rsid w:val="00035998"/>
    <w:rsid w:val="00035FD1"/>
    <w:rsid w:val="000360E2"/>
    <w:rsid w:val="0003665B"/>
    <w:rsid w:val="0003695A"/>
    <w:rsid w:val="00036EA6"/>
    <w:rsid w:val="00037547"/>
    <w:rsid w:val="000375D4"/>
    <w:rsid w:val="00037A13"/>
    <w:rsid w:val="00037AB1"/>
    <w:rsid w:val="00037B97"/>
    <w:rsid w:val="00037C59"/>
    <w:rsid w:val="00037F5B"/>
    <w:rsid w:val="0004038A"/>
    <w:rsid w:val="000405CE"/>
    <w:rsid w:val="0004068C"/>
    <w:rsid w:val="0004073B"/>
    <w:rsid w:val="00040741"/>
    <w:rsid w:val="0004083F"/>
    <w:rsid w:val="000408B6"/>
    <w:rsid w:val="00040A17"/>
    <w:rsid w:val="00041682"/>
    <w:rsid w:val="00041701"/>
    <w:rsid w:val="00041CE8"/>
    <w:rsid w:val="00041DBD"/>
    <w:rsid w:val="0004210B"/>
    <w:rsid w:val="0004224C"/>
    <w:rsid w:val="00042508"/>
    <w:rsid w:val="0004251C"/>
    <w:rsid w:val="00042553"/>
    <w:rsid w:val="000426CA"/>
    <w:rsid w:val="00042906"/>
    <w:rsid w:val="00042A87"/>
    <w:rsid w:val="00042B0A"/>
    <w:rsid w:val="00042DBC"/>
    <w:rsid w:val="0004327F"/>
    <w:rsid w:val="00043334"/>
    <w:rsid w:val="00043AC7"/>
    <w:rsid w:val="0004422A"/>
    <w:rsid w:val="00044398"/>
    <w:rsid w:val="000443E9"/>
    <w:rsid w:val="00044A48"/>
    <w:rsid w:val="00044BCC"/>
    <w:rsid w:val="00044DEF"/>
    <w:rsid w:val="00045824"/>
    <w:rsid w:val="00045997"/>
    <w:rsid w:val="00045A9D"/>
    <w:rsid w:val="00045DAA"/>
    <w:rsid w:val="00045DAF"/>
    <w:rsid w:val="000462D0"/>
    <w:rsid w:val="0004644B"/>
    <w:rsid w:val="00046626"/>
    <w:rsid w:val="00046665"/>
    <w:rsid w:val="0004693F"/>
    <w:rsid w:val="00046979"/>
    <w:rsid w:val="00046C94"/>
    <w:rsid w:val="00046D97"/>
    <w:rsid w:val="00046DC4"/>
    <w:rsid w:val="00046EB1"/>
    <w:rsid w:val="000471DA"/>
    <w:rsid w:val="000472BE"/>
    <w:rsid w:val="0004732B"/>
    <w:rsid w:val="0004772E"/>
    <w:rsid w:val="0004783D"/>
    <w:rsid w:val="00047E3B"/>
    <w:rsid w:val="00050031"/>
    <w:rsid w:val="0005042E"/>
    <w:rsid w:val="0005048D"/>
    <w:rsid w:val="00050594"/>
    <w:rsid w:val="0005063E"/>
    <w:rsid w:val="00050706"/>
    <w:rsid w:val="0005070B"/>
    <w:rsid w:val="00050C7C"/>
    <w:rsid w:val="000510EE"/>
    <w:rsid w:val="000514CA"/>
    <w:rsid w:val="00051A11"/>
    <w:rsid w:val="00051B64"/>
    <w:rsid w:val="00051D8C"/>
    <w:rsid w:val="00051DE0"/>
    <w:rsid w:val="00052228"/>
    <w:rsid w:val="0005277F"/>
    <w:rsid w:val="00052892"/>
    <w:rsid w:val="00052BA1"/>
    <w:rsid w:val="00053231"/>
    <w:rsid w:val="00053363"/>
    <w:rsid w:val="000535E9"/>
    <w:rsid w:val="00053612"/>
    <w:rsid w:val="0005369A"/>
    <w:rsid w:val="00053A58"/>
    <w:rsid w:val="00053BF0"/>
    <w:rsid w:val="00053FE2"/>
    <w:rsid w:val="000543A3"/>
    <w:rsid w:val="00054A6C"/>
    <w:rsid w:val="00054AB5"/>
    <w:rsid w:val="00054C75"/>
    <w:rsid w:val="00054CB6"/>
    <w:rsid w:val="000550AE"/>
    <w:rsid w:val="00055387"/>
    <w:rsid w:val="000564D7"/>
    <w:rsid w:val="00056AE5"/>
    <w:rsid w:val="00056BAF"/>
    <w:rsid w:val="00057348"/>
    <w:rsid w:val="000573C9"/>
    <w:rsid w:val="00057434"/>
    <w:rsid w:val="00057734"/>
    <w:rsid w:val="0005775D"/>
    <w:rsid w:val="0005783B"/>
    <w:rsid w:val="00057D09"/>
    <w:rsid w:val="00057E81"/>
    <w:rsid w:val="00057F45"/>
    <w:rsid w:val="00057F8B"/>
    <w:rsid w:val="0006017F"/>
    <w:rsid w:val="00060DAF"/>
    <w:rsid w:val="00061189"/>
    <w:rsid w:val="00061A46"/>
    <w:rsid w:val="00061A89"/>
    <w:rsid w:val="00061CC0"/>
    <w:rsid w:val="00061F8D"/>
    <w:rsid w:val="0006218D"/>
    <w:rsid w:val="00062667"/>
    <w:rsid w:val="0006290A"/>
    <w:rsid w:val="00062D50"/>
    <w:rsid w:val="0006305D"/>
    <w:rsid w:val="00063175"/>
    <w:rsid w:val="0006343A"/>
    <w:rsid w:val="00063619"/>
    <w:rsid w:val="000636CC"/>
    <w:rsid w:val="00063BF3"/>
    <w:rsid w:val="00063D22"/>
    <w:rsid w:val="000640DD"/>
    <w:rsid w:val="000645B1"/>
    <w:rsid w:val="000645C8"/>
    <w:rsid w:val="000647E6"/>
    <w:rsid w:val="00064A41"/>
    <w:rsid w:val="00064BA9"/>
    <w:rsid w:val="00064E36"/>
    <w:rsid w:val="00064F57"/>
    <w:rsid w:val="000651D0"/>
    <w:rsid w:val="0006528C"/>
    <w:rsid w:val="00065533"/>
    <w:rsid w:val="000656ED"/>
    <w:rsid w:val="000658B2"/>
    <w:rsid w:val="00065B7D"/>
    <w:rsid w:val="00065BB2"/>
    <w:rsid w:val="00065CC6"/>
    <w:rsid w:val="00065F4C"/>
    <w:rsid w:val="00065FE4"/>
    <w:rsid w:val="00066A0E"/>
    <w:rsid w:val="00066AF5"/>
    <w:rsid w:val="00066B19"/>
    <w:rsid w:val="00066CAC"/>
    <w:rsid w:val="00066DA3"/>
    <w:rsid w:val="00066DAA"/>
    <w:rsid w:val="00067060"/>
    <w:rsid w:val="0006712C"/>
    <w:rsid w:val="00067384"/>
    <w:rsid w:val="000677D3"/>
    <w:rsid w:val="0006786E"/>
    <w:rsid w:val="00067AD8"/>
    <w:rsid w:val="000707AF"/>
    <w:rsid w:val="00070A12"/>
    <w:rsid w:val="000712AF"/>
    <w:rsid w:val="000714F9"/>
    <w:rsid w:val="00071637"/>
    <w:rsid w:val="000718EB"/>
    <w:rsid w:val="0007195B"/>
    <w:rsid w:val="00071D3A"/>
    <w:rsid w:val="00071E38"/>
    <w:rsid w:val="00071E51"/>
    <w:rsid w:val="00071E74"/>
    <w:rsid w:val="00072025"/>
    <w:rsid w:val="00072428"/>
    <w:rsid w:val="00072929"/>
    <w:rsid w:val="0007295D"/>
    <w:rsid w:val="00072AB0"/>
    <w:rsid w:val="00072B6F"/>
    <w:rsid w:val="00072FF7"/>
    <w:rsid w:val="00073516"/>
    <w:rsid w:val="000739B1"/>
    <w:rsid w:val="00073A35"/>
    <w:rsid w:val="00073AF6"/>
    <w:rsid w:val="00073B05"/>
    <w:rsid w:val="00073DA4"/>
    <w:rsid w:val="00074207"/>
    <w:rsid w:val="00074440"/>
    <w:rsid w:val="00074A38"/>
    <w:rsid w:val="00074CD4"/>
    <w:rsid w:val="00074EA9"/>
    <w:rsid w:val="00074F89"/>
    <w:rsid w:val="0007527C"/>
    <w:rsid w:val="000754E4"/>
    <w:rsid w:val="000756BF"/>
    <w:rsid w:val="000756E7"/>
    <w:rsid w:val="0007675E"/>
    <w:rsid w:val="0007679E"/>
    <w:rsid w:val="00076923"/>
    <w:rsid w:val="0007695C"/>
    <w:rsid w:val="00076AB8"/>
    <w:rsid w:val="00076D85"/>
    <w:rsid w:val="00076F8D"/>
    <w:rsid w:val="0007783A"/>
    <w:rsid w:val="000779AD"/>
    <w:rsid w:val="00077F28"/>
    <w:rsid w:val="00080262"/>
    <w:rsid w:val="00080275"/>
    <w:rsid w:val="00080436"/>
    <w:rsid w:val="00080E51"/>
    <w:rsid w:val="00080F22"/>
    <w:rsid w:val="000812C8"/>
    <w:rsid w:val="00081425"/>
    <w:rsid w:val="000817C5"/>
    <w:rsid w:val="00081C81"/>
    <w:rsid w:val="00081DDD"/>
    <w:rsid w:val="00082110"/>
    <w:rsid w:val="00082458"/>
    <w:rsid w:val="00082AD8"/>
    <w:rsid w:val="00082AED"/>
    <w:rsid w:val="00082C17"/>
    <w:rsid w:val="00082E9F"/>
    <w:rsid w:val="000836E8"/>
    <w:rsid w:val="000837C3"/>
    <w:rsid w:val="00083F61"/>
    <w:rsid w:val="00083FA2"/>
    <w:rsid w:val="000847CA"/>
    <w:rsid w:val="00084975"/>
    <w:rsid w:val="00085626"/>
    <w:rsid w:val="000857EC"/>
    <w:rsid w:val="000858E0"/>
    <w:rsid w:val="0008594D"/>
    <w:rsid w:val="00085A55"/>
    <w:rsid w:val="00085A93"/>
    <w:rsid w:val="00085ADF"/>
    <w:rsid w:val="00085C42"/>
    <w:rsid w:val="000861E7"/>
    <w:rsid w:val="00086372"/>
    <w:rsid w:val="00086541"/>
    <w:rsid w:val="00086586"/>
    <w:rsid w:val="00086934"/>
    <w:rsid w:val="00086BB8"/>
    <w:rsid w:val="00086C54"/>
    <w:rsid w:val="00086F88"/>
    <w:rsid w:val="00087001"/>
    <w:rsid w:val="00087124"/>
    <w:rsid w:val="000871AF"/>
    <w:rsid w:val="0008776F"/>
    <w:rsid w:val="000878CA"/>
    <w:rsid w:val="000879E6"/>
    <w:rsid w:val="00087A80"/>
    <w:rsid w:val="00087BF3"/>
    <w:rsid w:val="00087F96"/>
    <w:rsid w:val="00090252"/>
    <w:rsid w:val="00090469"/>
    <w:rsid w:val="000905E4"/>
    <w:rsid w:val="000907D6"/>
    <w:rsid w:val="00090957"/>
    <w:rsid w:val="00090C3E"/>
    <w:rsid w:val="0009122F"/>
    <w:rsid w:val="0009185C"/>
    <w:rsid w:val="000918EA"/>
    <w:rsid w:val="00091932"/>
    <w:rsid w:val="0009196B"/>
    <w:rsid w:val="000919AF"/>
    <w:rsid w:val="00091AD6"/>
    <w:rsid w:val="00092003"/>
    <w:rsid w:val="000924DB"/>
    <w:rsid w:val="0009264D"/>
    <w:rsid w:val="00092B25"/>
    <w:rsid w:val="00092CC6"/>
    <w:rsid w:val="000935D5"/>
    <w:rsid w:val="0009371A"/>
    <w:rsid w:val="0009371B"/>
    <w:rsid w:val="00093855"/>
    <w:rsid w:val="00093A50"/>
    <w:rsid w:val="00093A66"/>
    <w:rsid w:val="000940BC"/>
    <w:rsid w:val="00094572"/>
    <w:rsid w:val="00094795"/>
    <w:rsid w:val="0009482D"/>
    <w:rsid w:val="0009493D"/>
    <w:rsid w:val="00094ED0"/>
    <w:rsid w:val="00094F78"/>
    <w:rsid w:val="00094FD3"/>
    <w:rsid w:val="00095421"/>
    <w:rsid w:val="00095541"/>
    <w:rsid w:val="0009558E"/>
    <w:rsid w:val="00095813"/>
    <w:rsid w:val="00095A3E"/>
    <w:rsid w:val="00095BB0"/>
    <w:rsid w:val="000961B1"/>
    <w:rsid w:val="00096693"/>
    <w:rsid w:val="00096784"/>
    <w:rsid w:val="000969FC"/>
    <w:rsid w:val="00097407"/>
    <w:rsid w:val="000974C7"/>
    <w:rsid w:val="0009768A"/>
    <w:rsid w:val="00097738"/>
    <w:rsid w:val="00097DCD"/>
    <w:rsid w:val="000A005E"/>
    <w:rsid w:val="000A01BD"/>
    <w:rsid w:val="000A03D9"/>
    <w:rsid w:val="000A04D9"/>
    <w:rsid w:val="000A0FF2"/>
    <w:rsid w:val="000A1086"/>
    <w:rsid w:val="000A11F0"/>
    <w:rsid w:val="000A171B"/>
    <w:rsid w:val="000A226C"/>
    <w:rsid w:val="000A2890"/>
    <w:rsid w:val="000A29EC"/>
    <w:rsid w:val="000A2C69"/>
    <w:rsid w:val="000A3376"/>
    <w:rsid w:val="000A3423"/>
    <w:rsid w:val="000A381B"/>
    <w:rsid w:val="000A39B4"/>
    <w:rsid w:val="000A39C1"/>
    <w:rsid w:val="000A46DD"/>
    <w:rsid w:val="000A4C7B"/>
    <w:rsid w:val="000A51B6"/>
    <w:rsid w:val="000A54E0"/>
    <w:rsid w:val="000A5CA4"/>
    <w:rsid w:val="000A5CFA"/>
    <w:rsid w:val="000A5FC6"/>
    <w:rsid w:val="000A6288"/>
    <w:rsid w:val="000A6682"/>
    <w:rsid w:val="000A67CB"/>
    <w:rsid w:val="000A69A4"/>
    <w:rsid w:val="000A6AC6"/>
    <w:rsid w:val="000A6C3F"/>
    <w:rsid w:val="000A70A0"/>
    <w:rsid w:val="000A7310"/>
    <w:rsid w:val="000A7547"/>
    <w:rsid w:val="000A7576"/>
    <w:rsid w:val="000A7635"/>
    <w:rsid w:val="000A7727"/>
    <w:rsid w:val="000B0166"/>
    <w:rsid w:val="000B03E9"/>
    <w:rsid w:val="000B092E"/>
    <w:rsid w:val="000B0A4E"/>
    <w:rsid w:val="000B0AB0"/>
    <w:rsid w:val="000B0AC7"/>
    <w:rsid w:val="000B0FA3"/>
    <w:rsid w:val="000B1079"/>
    <w:rsid w:val="000B1A3A"/>
    <w:rsid w:val="000B1CF5"/>
    <w:rsid w:val="000B215A"/>
    <w:rsid w:val="000B2644"/>
    <w:rsid w:val="000B28E6"/>
    <w:rsid w:val="000B2910"/>
    <w:rsid w:val="000B2C81"/>
    <w:rsid w:val="000B2F98"/>
    <w:rsid w:val="000B31D9"/>
    <w:rsid w:val="000B3304"/>
    <w:rsid w:val="000B3383"/>
    <w:rsid w:val="000B3453"/>
    <w:rsid w:val="000B345F"/>
    <w:rsid w:val="000B3931"/>
    <w:rsid w:val="000B3A22"/>
    <w:rsid w:val="000B3E98"/>
    <w:rsid w:val="000B41B1"/>
    <w:rsid w:val="000B45B6"/>
    <w:rsid w:val="000B4A5B"/>
    <w:rsid w:val="000B4B38"/>
    <w:rsid w:val="000B5175"/>
    <w:rsid w:val="000B539A"/>
    <w:rsid w:val="000B5420"/>
    <w:rsid w:val="000B573C"/>
    <w:rsid w:val="000B5853"/>
    <w:rsid w:val="000B5931"/>
    <w:rsid w:val="000B5B83"/>
    <w:rsid w:val="000B607B"/>
    <w:rsid w:val="000B627F"/>
    <w:rsid w:val="000B6689"/>
    <w:rsid w:val="000B6F4F"/>
    <w:rsid w:val="000B70E6"/>
    <w:rsid w:val="000B74C4"/>
    <w:rsid w:val="000B7526"/>
    <w:rsid w:val="000B7558"/>
    <w:rsid w:val="000B75DD"/>
    <w:rsid w:val="000B794C"/>
    <w:rsid w:val="000B7F63"/>
    <w:rsid w:val="000C04DD"/>
    <w:rsid w:val="000C0FBA"/>
    <w:rsid w:val="000C1611"/>
    <w:rsid w:val="000C1A4F"/>
    <w:rsid w:val="000C1A5E"/>
    <w:rsid w:val="000C24A1"/>
    <w:rsid w:val="000C2838"/>
    <w:rsid w:val="000C2A86"/>
    <w:rsid w:val="000C2A88"/>
    <w:rsid w:val="000C2BA8"/>
    <w:rsid w:val="000C2C13"/>
    <w:rsid w:val="000C36FE"/>
    <w:rsid w:val="000C3B8C"/>
    <w:rsid w:val="000C3FA4"/>
    <w:rsid w:val="000C405E"/>
    <w:rsid w:val="000C439F"/>
    <w:rsid w:val="000C49B0"/>
    <w:rsid w:val="000C4AFA"/>
    <w:rsid w:val="000C4D14"/>
    <w:rsid w:val="000C4E24"/>
    <w:rsid w:val="000C4ED4"/>
    <w:rsid w:val="000C51BD"/>
    <w:rsid w:val="000C51F1"/>
    <w:rsid w:val="000C530B"/>
    <w:rsid w:val="000C548A"/>
    <w:rsid w:val="000C5599"/>
    <w:rsid w:val="000C55AE"/>
    <w:rsid w:val="000C574A"/>
    <w:rsid w:val="000C57A0"/>
    <w:rsid w:val="000C5992"/>
    <w:rsid w:val="000C5AF5"/>
    <w:rsid w:val="000C5B70"/>
    <w:rsid w:val="000C5D71"/>
    <w:rsid w:val="000C5E6E"/>
    <w:rsid w:val="000C5EBE"/>
    <w:rsid w:val="000C600D"/>
    <w:rsid w:val="000C6359"/>
    <w:rsid w:val="000C66B7"/>
    <w:rsid w:val="000C6970"/>
    <w:rsid w:val="000C6BFF"/>
    <w:rsid w:val="000C6DE2"/>
    <w:rsid w:val="000C71B3"/>
    <w:rsid w:val="000C7266"/>
    <w:rsid w:val="000C73CE"/>
    <w:rsid w:val="000C7578"/>
    <w:rsid w:val="000C7936"/>
    <w:rsid w:val="000C7AFB"/>
    <w:rsid w:val="000C7ECF"/>
    <w:rsid w:val="000D0326"/>
    <w:rsid w:val="000D088F"/>
    <w:rsid w:val="000D0935"/>
    <w:rsid w:val="000D0BC5"/>
    <w:rsid w:val="000D0E9F"/>
    <w:rsid w:val="000D106C"/>
    <w:rsid w:val="000D11AF"/>
    <w:rsid w:val="000D1336"/>
    <w:rsid w:val="000D13C2"/>
    <w:rsid w:val="000D1634"/>
    <w:rsid w:val="000D1BE0"/>
    <w:rsid w:val="000D23FC"/>
    <w:rsid w:val="000D2594"/>
    <w:rsid w:val="000D26B0"/>
    <w:rsid w:val="000D30D6"/>
    <w:rsid w:val="000D37B3"/>
    <w:rsid w:val="000D390D"/>
    <w:rsid w:val="000D39AA"/>
    <w:rsid w:val="000D39B2"/>
    <w:rsid w:val="000D3DB4"/>
    <w:rsid w:val="000D3E51"/>
    <w:rsid w:val="000D3F52"/>
    <w:rsid w:val="000D3FB3"/>
    <w:rsid w:val="000D4015"/>
    <w:rsid w:val="000D4361"/>
    <w:rsid w:val="000D46BA"/>
    <w:rsid w:val="000D4AD5"/>
    <w:rsid w:val="000D4C6C"/>
    <w:rsid w:val="000D4C6E"/>
    <w:rsid w:val="000D4E7D"/>
    <w:rsid w:val="000D5137"/>
    <w:rsid w:val="000D5F7C"/>
    <w:rsid w:val="000D69BD"/>
    <w:rsid w:val="000D6B35"/>
    <w:rsid w:val="000D6CE3"/>
    <w:rsid w:val="000D7294"/>
    <w:rsid w:val="000D7470"/>
    <w:rsid w:val="000D79E1"/>
    <w:rsid w:val="000D7B22"/>
    <w:rsid w:val="000D7D06"/>
    <w:rsid w:val="000E09B6"/>
    <w:rsid w:val="000E0C04"/>
    <w:rsid w:val="000E1238"/>
    <w:rsid w:val="000E2005"/>
    <w:rsid w:val="000E28D3"/>
    <w:rsid w:val="000E2988"/>
    <w:rsid w:val="000E2B76"/>
    <w:rsid w:val="000E2E6D"/>
    <w:rsid w:val="000E31DF"/>
    <w:rsid w:val="000E36D9"/>
    <w:rsid w:val="000E382F"/>
    <w:rsid w:val="000E38B0"/>
    <w:rsid w:val="000E3E0E"/>
    <w:rsid w:val="000E3FC7"/>
    <w:rsid w:val="000E4317"/>
    <w:rsid w:val="000E441E"/>
    <w:rsid w:val="000E4918"/>
    <w:rsid w:val="000E4AAA"/>
    <w:rsid w:val="000E4BF0"/>
    <w:rsid w:val="000E4F2C"/>
    <w:rsid w:val="000E5137"/>
    <w:rsid w:val="000E5263"/>
    <w:rsid w:val="000E54C0"/>
    <w:rsid w:val="000E55C2"/>
    <w:rsid w:val="000E56EF"/>
    <w:rsid w:val="000E614F"/>
    <w:rsid w:val="000E6998"/>
    <w:rsid w:val="000E78CD"/>
    <w:rsid w:val="000E7B8B"/>
    <w:rsid w:val="000F005A"/>
    <w:rsid w:val="000F00A5"/>
    <w:rsid w:val="000F0117"/>
    <w:rsid w:val="000F01AB"/>
    <w:rsid w:val="000F0343"/>
    <w:rsid w:val="000F0864"/>
    <w:rsid w:val="000F08AC"/>
    <w:rsid w:val="000F08DB"/>
    <w:rsid w:val="000F0B3C"/>
    <w:rsid w:val="000F12B7"/>
    <w:rsid w:val="000F1898"/>
    <w:rsid w:val="000F1936"/>
    <w:rsid w:val="000F23F2"/>
    <w:rsid w:val="000F241C"/>
    <w:rsid w:val="000F24E9"/>
    <w:rsid w:val="000F2626"/>
    <w:rsid w:val="000F2885"/>
    <w:rsid w:val="000F2A55"/>
    <w:rsid w:val="000F2CDF"/>
    <w:rsid w:val="000F3024"/>
    <w:rsid w:val="000F32F9"/>
    <w:rsid w:val="000F41C0"/>
    <w:rsid w:val="000F441E"/>
    <w:rsid w:val="000F4465"/>
    <w:rsid w:val="000F4472"/>
    <w:rsid w:val="000F4603"/>
    <w:rsid w:val="000F4832"/>
    <w:rsid w:val="000F4988"/>
    <w:rsid w:val="000F4A0F"/>
    <w:rsid w:val="000F4A52"/>
    <w:rsid w:val="000F4DF8"/>
    <w:rsid w:val="000F58F4"/>
    <w:rsid w:val="000F5AA1"/>
    <w:rsid w:val="000F5BB9"/>
    <w:rsid w:val="000F6655"/>
    <w:rsid w:val="000F6A36"/>
    <w:rsid w:val="000F7138"/>
    <w:rsid w:val="000F7337"/>
    <w:rsid w:val="000F7367"/>
    <w:rsid w:val="000F74E4"/>
    <w:rsid w:val="000F7F20"/>
    <w:rsid w:val="00100056"/>
    <w:rsid w:val="0010008D"/>
    <w:rsid w:val="00100261"/>
    <w:rsid w:val="00100271"/>
    <w:rsid w:val="001005C7"/>
    <w:rsid w:val="001010E2"/>
    <w:rsid w:val="0010154A"/>
    <w:rsid w:val="001018DB"/>
    <w:rsid w:val="00101932"/>
    <w:rsid w:val="00101988"/>
    <w:rsid w:val="00101A3C"/>
    <w:rsid w:val="00101E08"/>
    <w:rsid w:val="00101E30"/>
    <w:rsid w:val="00102385"/>
    <w:rsid w:val="00102CAA"/>
    <w:rsid w:val="00102CCD"/>
    <w:rsid w:val="00102F5F"/>
    <w:rsid w:val="00103955"/>
    <w:rsid w:val="00103D33"/>
    <w:rsid w:val="00103EB0"/>
    <w:rsid w:val="00103EF8"/>
    <w:rsid w:val="0010409B"/>
    <w:rsid w:val="00104E84"/>
    <w:rsid w:val="001053D3"/>
    <w:rsid w:val="00105A60"/>
    <w:rsid w:val="00106175"/>
    <w:rsid w:val="001061BC"/>
    <w:rsid w:val="00106518"/>
    <w:rsid w:val="00106892"/>
    <w:rsid w:val="00106997"/>
    <w:rsid w:val="00106ADC"/>
    <w:rsid w:val="00107939"/>
    <w:rsid w:val="00107947"/>
    <w:rsid w:val="00107AEE"/>
    <w:rsid w:val="00107C1B"/>
    <w:rsid w:val="00107DF9"/>
    <w:rsid w:val="001102ED"/>
    <w:rsid w:val="00110363"/>
    <w:rsid w:val="0011055E"/>
    <w:rsid w:val="001105CE"/>
    <w:rsid w:val="00110610"/>
    <w:rsid w:val="001106A9"/>
    <w:rsid w:val="00110BC0"/>
    <w:rsid w:val="00110F73"/>
    <w:rsid w:val="0011124D"/>
    <w:rsid w:val="00111C62"/>
    <w:rsid w:val="00111D82"/>
    <w:rsid w:val="001122DD"/>
    <w:rsid w:val="0011252A"/>
    <w:rsid w:val="00112985"/>
    <w:rsid w:val="00112A3F"/>
    <w:rsid w:val="00112E54"/>
    <w:rsid w:val="0011337A"/>
    <w:rsid w:val="00113BA5"/>
    <w:rsid w:val="00113E72"/>
    <w:rsid w:val="001141B3"/>
    <w:rsid w:val="00114256"/>
    <w:rsid w:val="001142D7"/>
    <w:rsid w:val="00114FC1"/>
    <w:rsid w:val="00115414"/>
    <w:rsid w:val="001157DF"/>
    <w:rsid w:val="00115808"/>
    <w:rsid w:val="001158A6"/>
    <w:rsid w:val="00115FDB"/>
    <w:rsid w:val="00116AB3"/>
    <w:rsid w:val="00116E74"/>
    <w:rsid w:val="00117434"/>
    <w:rsid w:val="001174DC"/>
    <w:rsid w:val="001178CC"/>
    <w:rsid w:val="00117A1D"/>
    <w:rsid w:val="00117CAB"/>
    <w:rsid w:val="00117EBA"/>
    <w:rsid w:val="00120027"/>
    <w:rsid w:val="00120041"/>
    <w:rsid w:val="0012072A"/>
    <w:rsid w:val="0012090E"/>
    <w:rsid w:val="00120B80"/>
    <w:rsid w:val="0012101B"/>
    <w:rsid w:val="00122471"/>
    <w:rsid w:val="00122DDE"/>
    <w:rsid w:val="001231BB"/>
    <w:rsid w:val="0012330D"/>
    <w:rsid w:val="0012425F"/>
    <w:rsid w:val="0012485E"/>
    <w:rsid w:val="001248AD"/>
    <w:rsid w:val="0012494B"/>
    <w:rsid w:val="00124A4E"/>
    <w:rsid w:val="00124BDB"/>
    <w:rsid w:val="00124F31"/>
    <w:rsid w:val="0012518C"/>
    <w:rsid w:val="001255BB"/>
    <w:rsid w:val="00125644"/>
    <w:rsid w:val="001262F7"/>
    <w:rsid w:val="00126CB8"/>
    <w:rsid w:val="00126E04"/>
    <w:rsid w:val="00127C41"/>
    <w:rsid w:val="00127FCF"/>
    <w:rsid w:val="00130242"/>
    <w:rsid w:val="001302C0"/>
    <w:rsid w:val="001304B6"/>
    <w:rsid w:val="00130637"/>
    <w:rsid w:val="00130670"/>
    <w:rsid w:val="00130765"/>
    <w:rsid w:val="001308D6"/>
    <w:rsid w:val="00130986"/>
    <w:rsid w:val="00131515"/>
    <w:rsid w:val="001315AD"/>
    <w:rsid w:val="0013167F"/>
    <w:rsid w:val="001317AE"/>
    <w:rsid w:val="001317E3"/>
    <w:rsid w:val="00131A38"/>
    <w:rsid w:val="001321C2"/>
    <w:rsid w:val="0013224A"/>
    <w:rsid w:val="00132423"/>
    <w:rsid w:val="0013256A"/>
    <w:rsid w:val="00132A68"/>
    <w:rsid w:val="00132E28"/>
    <w:rsid w:val="001330F0"/>
    <w:rsid w:val="00133182"/>
    <w:rsid w:val="0013320E"/>
    <w:rsid w:val="0013399B"/>
    <w:rsid w:val="00133D67"/>
    <w:rsid w:val="00133E21"/>
    <w:rsid w:val="0013401F"/>
    <w:rsid w:val="00134483"/>
    <w:rsid w:val="00134863"/>
    <w:rsid w:val="0013486B"/>
    <w:rsid w:val="00134C2D"/>
    <w:rsid w:val="00134C34"/>
    <w:rsid w:val="00134E0A"/>
    <w:rsid w:val="00134F54"/>
    <w:rsid w:val="00134FE6"/>
    <w:rsid w:val="00135343"/>
    <w:rsid w:val="00135675"/>
    <w:rsid w:val="001357B3"/>
    <w:rsid w:val="00135B8C"/>
    <w:rsid w:val="00136444"/>
    <w:rsid w:val="00136622"/>
    <w:rsid w:val="001366A8"/>
    <w:rsid w:val="00136701"/>
    <w:rsid w:val="001367A8"/>
    <w:rsid w:val="00136BFD"/>
    <w:rsid w:val="00137266"/>
    <w:rsid w:val="001376C3"/>
    <w:rsid w:val="00137719"/>
    <w:rsid w:val="00137854"/>
    <w:rsid w:val="00137A8D"/>
    <w:rsid w:val="001400ED"/>
    <w:rsid w:val="00140975"/>
    <w:rsid w:val="00140D9A"/>
    <w:rsid w:val="00141A6A"/>
    <w:rsid w:val="00142F1E"/>
    <w:rsid w:val="00143150"/>
    <w:rsid w:val="001432F1"/>
    <w:rsid w:val="0014342E"/>
    <w:rsid w:val="0014343A"/>
    <w:rsid w:val="0014355F"/>
    <w:rsid w:val="00143AF1"/>
    <w:rsid w:val="00143DA9"/>
    <w:rsid w:val="00143EBD"/>
    <w:rsid w:val="00144340"/>
    <w:rsid w:val="00144546"/>
    <w:rsid w:val="001449DF"/>
    <w:rsid w:val="00144C7B"/>
    <w:rsid w:val="00144D21"/>
    <w:rsid w:val="00144E9E"/>
    <w:rsid w:val="00145608"/>
    <w:rsid w:val="00145738"/>
    <w:rsid w:val="00145B59"/>
    <w:rsid w:val="00145D0B"/>
    <w:rsid w:val="00146406"/>
    <w:rsid w:val="00146442"/>
    <w:rsid w:val="00146501"/>
    <w:rsid w:val="0014664D"/>
    <w:rsid w:val="00146A68"/>
    <w:rsid w:val="00146B03"/>
    <w:rsid w:val="00147879"/>
    <w:rsid w:val="001479AC"/>
    <w:rsid w:val="00150341"/>
    <w:rsid w:val="0015068B"/>
    <w:rsid w:val="001507D5"/>
    <w:rsid w:val="00150E3C"/>
    <w:rsid w:val="00150EC8"/>
    <w:rsid w:val="00150ECA"/>
    <w:rsid w:val="00151290"/>
    <w:rsid w:val="001513CC"/>
    <w:rsid w:val="00151836"/>
    <w:rsid w:val="001518A7"/>
    <w:rsid w:val="00151A75"/>
    <w:rsid w:val="00152091"/>
    <w:rsid w:val="00152295"/>
    <w:rsid w:val="001523D8"/>
    <w:rsid w:val="00152468"/>
    <w:rsid w:val="0015281B"/>
    <w:rsid w:val="00152E4C"/>
    <w:rsid w:val="001530A7"/>
    <w:rsid w:val="00153313"/>
    <w:rsid w:val="00153423"/>
    <w:rsid w:val="0015367C"/>
    <w:rsid w:val="00153746"/>
    <w:rsid w:val="001539ED"/>
    <w:rsid w:val="00153D65"/>
    <w:rsid w:val="00153F51"/>
    <w:rsid w:val="00153F9D"/>
    <w:rsid w:val="0015412C"/>
    <w:rsid w:val="001548D7"/>
    <w:rsid w:val="00154D3B"/>
    <w:rsid w:val="00154DA9"/>
    <w:rsid w:val="00154EF7"/>
    <w:rsid w:val="00155013"/>
    <w:rsid w:val="0015568C"/>
    <w:rsid w:val="00155B52"/>
    <w:rsid w:val="00155DC0"/>
    <w:rsid w:val="00155E2B"/>
    <w:rsid w:val="001561B3"/>
    <w:rsid w:val="0015653D"/>
    <w:rsid w:val="00156619"/>
    <w:rsid w:val="0015673C"/>
    <w:rsid w:val="00156EAC"/>
    <w:rsid w:val="00157198"/>
    <w:rsid w:val="00157439"/>
    <w:rsid w:val="0015750E"/>
    <w:rsid w:val="00157659"/>
    <w:rsid w:val="00157852"/>
    <w:rsid w:val="00157A83"/>
    <w:rsid w:val="00157ACC"/>
    <w:rsid w:val="00157B1E"/>
    <w:rsid w:val="00157E37"/>
    <w:rsid w:val="0016004E"/>
    <w:rsid w:val="001600B6"/>
    <w:rsid w:val="001602FF"/>
    <w:rsid w:val="00160344"/>
    <w:rsid w:val="0016076F"/>
    <w:rsid w:val="00160988"/>
    <w:rsid w:val="00160D36"/>
    <w:rsid w:val="00160D55"/>
    <w:rsid w:val="00161269"/>
    <w:rsid w:val="0016128E"/>
    <w:rsid w:val="00161956"/>
    <w:rsid w:val="00161A6B"/>
    <w:rsid w:val="001620B2"/>
    <w:rsid w:val="001624EA"/>
    <w:rsid w:val="00162B3F"/>
    <w:rsid w:val="00162D83"/>
    <w:rsid w:val="001630E4"/>
    <w:rsid w:val="001631F0"/>
    <w:rsid w:val="0016334F"/>
    <w:rsid w:val="0016344A"/>
    <w:rsid w:val="00163871"/>
    <w:rsid w:val="00163C83"/>
    <w:rsid w:val="001643F2"/>
    <w:rsid w:val="00164492"/>
    <w:rsid w:val="001644F5"/>
    <w:rsid w:val="0016481D"/>
    <w:rsid w:val="00164835"/>
    <w:rsid w:val="00164DD9"/>
    <w:rsid w:val="001650A7"/>
    <w:rsid w:val="001652AB"/>
    <w:rsid w:val="001653BD"/>
    <w:rsid w:val="0016589B"/>
    <w:rsid w:val="001659E9"/>
    <w:rsid w:val="00165CE1"/>
    <w:rsid w:val="00166217"/>
    <w:rsid w:val="001664CF"/>
    <w:rsid w:val="00166833"/>
    <w:rsid w:val="00166975"/>
    <w:rsid w:val="001673B9"/>
    <w:rsid w:val="0016775D"/>
    <w:rsid w:val="00167A8D"/>
    <w:rsid w:val="00167C47"/>
    <w:rsid w:val="00167C89"/>
    <w:rsid w:val="00170511"/>
    <w:rsid w:val="0017072C"/>
    <w:rsid w:val="00170869"/>
    <w:rsid w:val="00170A58"/>
    <w:rsid w:val="00170FEC"/>
    <w:rsid w:val="00171745"/>
    <w:rsid w:val="001718C7"/>
    <w:rsid w:val="0017204E"/>
    <w:rsid w:val="001721D3"/>
    <w:rsid w:val="00172494"/>
    <w:rsid w:val="001727DB"/>
    <w:rsid w:val="00172951"/>
    <w:rsid w:val="00172B81"/>
    <w:rsid w:val="00172CAA"/>
    <w:rsid w:val="00172E95"/>
    <w:rsid w:val="00172F47"/>
    <w:rsid w:val="00172FEB"/>
    <w:rsid w:val="001731C3"/>
    <w:rsid w:val="00173245"/>
    <w:rsid w:val="00173342"/>
    <w:rsid w:val="0017388D"/>
    <w:rsid w:val="00173A5A"/>
    <w:rsid w:val="00173DC8"/>
    <w:rsid w:val="00173F8A"/>
    <w:rsid w:val="00174832"/>
    <w:rsid w:val="00174930"/>
    <w:rsid w:val="00174EC5"/>
    <w:rsid w:val="00174FF4"/>
    <w:rsid w:val="0017515D"/>
    <w:rsid w:val="0017567F"/>
    <w:rsid w:val="0017571C"/>
    <w:rsid w:val="00175836"/>
    <w:rsid w:val="00175889"/>
    <w:rsid w:val="00175FAA"/>
    <w:rsid w:val="00176D47"/>
    <w:rsid w:val="001771E4"/>
    <w:rsid w:val="001774D2"/>
    <w:rsid w:val="00177763"/>
    <w:rsid w:val="001779C8"/>
    <w:rsid w:val="00177A44"/>
    <w:rsid w:val="00177A60"/>
    <w:rsid w:val="0018004D"/>
    <w:rsid w:val="001801CA"/>
    <w:rsid w:val="0018022D"/>
    <w:rsid w:val="0018023E"/>
    <w:rsid w:val="00180583"/>
    <w:rsid w:val="001810EC"/>
    <w:rsid w:val="00181309"/>
    <w:rsid w:val="001813A4"/>
    <w:rsid w:val="001819B7"/>
    <w:rsid w:val="00181A2F"/>
    <w:rsid w:val="00181AA1"/>
    <w:rsid w:val="00181B54"/>
    <w:rsid w:val="00181C89"/>
    <w:rsid w:val="00181CD2"/>
    <w:rsid w:val="00181E10"/>
    <w:rsid w:val="00181E8E"/>
    <w:rsid w:val="00181EED"/>
    <w:rsid w:val="00182172"/>
    <w:rsid w:val="001824C1"/>
    <w:rsid w:val="00182825"/>
    <w:rsid w:val="00183578"/>
    <w:rsid w:val="0018366B"/>
    <w:rsid w:val="00183D17"/>
    <w:rsid w:val="00183EF2"/>
    <w:rsid w:val="001840ED"/>
    <w:rsid w:val="00184991"/>
    <w:rsid w:val="001849FB"/>
    <w:rsid w:val="00185008"/>
    <w:rsid w:val="00185061"/>
    <w:rsid w:val="00185723"/>
    <w:rsid w:val="0018580D"/>
    <w:rsid w:val="001859BD"/>
    <w:rsid w:val="00186242"/>
    <w:rsid w:val="00186A37"/>
    <w:rsid w:val="00186D5E"/>
    <w:rsid w:val="0018703F"/>
    <w:rsid w:val="001870A1"/>
    <w:rsid w:val="00187311"/>
    <w:rsid w:val="00187EA4"/>
    <w:rsid w:val="00187FE0"/>
    <w:rsid w:val="001903A1"/>
    <w:rsid w:val="00190414"/>
    <w:rsid w:val="0019045E"/>
    <w:rsid w:val="001906DB"/>
    <w:rsid w:val="001907AB"/>
    <w:rsid w:val="00190A92"/>
    <w:rsid w:val="0019126A"/>
    <w:rsid w:val="00191303"/>
    <w:rsid w:val="001917B1"/>
    <w:rsid w:val="00191B4C"/>
    <w:rsid w:val="00191D33"/>
    <w:rsid w:val="001920F8"/>
    <w:rsid w:val="00192994"/>
    <w:rsid w:val="00192ABD"/>
    <w:rsid w:val="00192CF4"/>
    <w:rsid w:val="00192DF1"/>
    <w:rsid w:val="00192ED4"/>
    <w:rsid w:val="001930AF"/>
    <w:rsid w:val="001931D3"/>
    <w:rsid w:val="00193D5C"/>
    <w:rsid w:val="0019427B"/>
    <w:rsid w:val="00194321"/>
    <w:rsid w:val="00194660"/>
    <w:rsid w:val="0019486B"/>
    <w:rsid w:val="00194FFD"/>
    <w:rsid w:val="00195031"/>
    <w:rsid w:val="001958D0"/>
    <w:rsid w:val="00195A79"/>
    <w:rsid w:val="00195C23"/>
    <w:rsid w:val="00196812"/>
    <w:rsid w:val="001968A2"/>
    <w:rsid w:val="00196DEB"/>
    <w:rsid w:val="00196FBF"/>
    <w:rsid w:val="0019747E"/>
    <w:rsid w:val="0019781D"/>
    <w:rsid w:val="001A04B7"/>
    <w:rsid w:val="001A0568"/>
    <w:rsid w:val="001A06DA"/>
    <w:rsid w:val="001A0962"/>
    <w:rsid w:val="001A1316"/>
    <w:rsid w:val="001A148F"/>
    <w:rsid w:val="001A14EF"/>
    <w:rsid w:val="001A177A"/>
    <w:rsid w:val="001A1BB9"/>
    <w:rsid w:val="001A1F30"/>
    <w:rsid w:val="001A20F9"/>
    <w:rsid w:val="001A2126"/>
    <w:rsid w:val="001A22C0"/>
    <w:rsid w:val="001A22EF"/>
    <w:rsid w:val="001A28A6"/>
    <w:rsid w:val="001A2BBB"/>
    <w:rsid w:val="001A2FF9"/>
    <w:rsid w:val="001A3003"/>
    <w:rsid w:val="001A3310"/>
    <w:rsid w:val="001A33A5"/>
    <w:rsid w:val="001A36AB"/>
    <w:rsid w:val="001A389E"/>
    <w:rsid w:val="001A38C5"/>
    <w:rsid w:val="001A3BA1"/>
    <w:rsid w:val="001A3C9D"/>
    <w:rsid w:val="001A3E94"/>
    <w:rsid w:val="001A40BF"/>
    <w:rsid w:val="001A41C5"/>
    <w:rsid w:val="001A42B9"/>
    <w:rsid w:val="001A4372"/>
    <w:rsid w:val="001A441E"/>
    <w:rsid w:val="001A4531"/>
    <w:rsid w:val="001A46C1"/>
    <w:rsid w:val="001A4DF5"/>
    <w:rsid w:val="001A5104"/>
    <w:rsid w:val="001A51D2"/>
    <w:rsid w:val="001A5459"/>
    <w:rsid w:val="001A597C"/>
    <w:rsid w:val="001A67DF"/>
    <w:rsid w:val="001A746F"/>
    <w:rsid w:val="001A7645"/>
    <w:rsid w:val="001A77E7"/>
    <w:rsid w:val="001A78FD"/>
    <w:rsid w:val="001A7D2D"/>
    <w:rsid w:val="001A7E26"/>
    <w:rsid w:val="001A7FD0"/>
    <w:rsid w:val="001B0063"/>
    <w:rsid w:val="001B048F"/>
    <w:rsid w:val="001B1A33"/>
    <w:rsid w:val="001B1AE5"/>
    <w:rsid w:val="001B1C02"/>
    <w:rsid w:val="001B1E1C"/>
    <w:rsid w:val="001B1E83"/>
    <w:rsid w:val="001B1EE3"/>
    <w:rsid w:val="001B2518"/>
    <w:rsid w:val="001B2531"/>
    <w:rsid w:val="001B294F"/>
    <w:rsid w:val="001B2A4B"/>
    <w:rsid w:val="001B3305"/>
    <w:rsid w:val="001B3ACF"/>
    <w:rsid w:val="001B3B63"/>
    <w:rsid w:val="001B3CBC"/>
    <w:rsid w:val="001B4370"/>
    <w:rsid w:val="001B44D4"/>
    <w:rsid w:val="001B44D9"/>
    <w:rsid w:val="001B458A"/>
    <w:rsid w:val="001B4BFF"/>
    <w:rsid w:val="001B5894"/>
    <w:rsid w:val="001B5E59"/>
    <w:rsid w:val="001B69AA"/>
    <w:rsid w:val="001B6BC3"/>
    <w:rsid w:val="001B710E"/>
    <w:rsid w:val="001B7218"/>
    <w:rsid w:val="001B744D"/>
    <w:rsid w:val="001B7549"/>
    <w:rsid w:val="001B75A2"/>
    <w:rsid w:val="001B7890"/>
    <w:rsid w:val="001B7A12"/>
    <w:rsid w:val="001B7A8A"/>
    <w:rsid w:val="001B7BF5"/>
    <w:rsid w:val="001C090F"/>
    <w:rsid w:val="001C1206"/>
    <w:rsid w:val="001C1AE4"/>
    <w:rsid w:val="001C1B6E"/>
    <w:rsid w:val="001C1D3E"/>
    <w:rsid w:val="001C1FFE"/>
    <w:rsid w:val="001C293B"/>
    <w:rsid w:val="001C2B51"/>
    <w:rsid w:val="001C2CBE"/>
    <w:rsid w:val="001C2DAF"/>
    <w:rsid w:val="001C37BE"/>
    <w:rsid w:val="001C3C55"/>
    <w:rsid w:val="001C3CF8"/>
    <w:rsid w:val="001C4C17"/>
    <w:rsid w:val="001C5085"/>
    <w:rsid w:val="001C50FA"/>
    <w:rsid w:val="001C55B0"/>
    <w:rsid w:val="001C55EB"/>
    <w:rsid w:val="001C5886"/>
    <w:rsid w:val="001C5A36"/>
    <w:rsid w:val="001C5ABE"/>
    <w:rsid w:val="001C627C"/>
    <w:rsid w:val="001C62D3"/>
    <w:rsid w:val="001C63FF"/>
    <w:rsid w:val="001C6570"/>
    <w:rsid w:val="001C6765"/>
    <w:rsid w:val="001C6894"/>
    <w:rsid w:val="001C68A6"/>
    <w:rsid w:val="001C69AD"/>
    <w:rsid w:val="001C6A59"/>
    <w:rsid w:val="001C6C22"/>
    <w:rsid w:val="001C70E5"/>
    <w:rsid w:val="001C71D8"/>
    <w:rsid w:val="001C7718"/>
    <w:rsid w:val="001C78BA"/>
    <w:rsid w:val="001C794D"/>
    <w:rsid w:val="001D020D"/>
    <w:rsid w:val="001D0B78"/>
    <w:rsid w:val="001D0F65"/>
    <w:rsid w:val="001D11BA"/>
    <w:rsid w:val="001D125C"/>
    <w:rsid w:val="001D1653"/>
    <w:rsid w:val="001D2397"/>
    <w:rsid w:val="001D2449"/>
    <w:rsid w:val="001D2498"/>
    <w:rsid w:val="001D2C25"/>
    <w:rsid w:val="001D2D11"/>
    <w:rsid w:val="001D385D"/>
    <w:rsid w:val="001D3EA7"/>
    <w:rsid w:val="001D3F1C"/>
    <w:rsid w:val="001D42F9"/>
    <w:rsid w:val="001D48CB"/>
    <w:rsid w:val="001D498F"/>
    <w:rsid w:val="001D4A28"/>
    <w:rsid w:val="001D4A8E"/>
    <w:rsid w:val="001D4ADF"/>
    <w:rsid w:val="001D5113"/>
    <w:rsid w:val="001D5565"/>
    <w:rsid w:val="001D55BD"/>
    <w:rsid w:val="001D5891"/>
    <w:rsid w:val="001D5AA8"/>
    <w:rsid w:val="001D69CD"/>
    <w:rsid w:val="001D6A76"/>
    <w:rsid w:val="001D6E85"/>
    <w:rsid w:val="001D7797"/>
    <w:rsid w:val="001D7890"/>
    <w:rsid w:val="001E0224"/>
    <w:rsid w:val="001E047A"/>
    <w:rsid w:val="001E05A8"/>
    <w:rsid w:val="001E079F"/>
    <w:rsid w:val="001E18D9"/>
    <w:rsid w:val="001E1FD2"/>
    <w:rsid w:val="001E2338"/>
    <w:rsid w:val="001E2E04"/>
    <w:rsid w:val="001E30ED"/>
    <w:rsid w:val="001E38AC"/>
    <w:rsid w:val="001E39E3"/>
    <w:rsid w:val="001E3DCA"/>
    <w:rsid w:val="001E439B"/>
    <w:rsid w:val="001E45F0"/>
    <w:rsid w:val="001E4697"/>
    <w:rsid w:val="001E4A83"/>
    <w:rsid w:val="001E5095"/>
    <w:rsid w:val="001E5335"/>
    <w:rsid w:val="001E536E"/>
    <w:rsid w:val="001E5526"/>
    <w:rsid w:val="001E58E7"/>
    <w:rsid w:val="001E5C96"/>
    <w:rsid w:val="001E5DD6"/>
    <w:rsid w:val="001E6507"/>
    <w:rsid w:val="001E6677"/>
    <w:rsid w:val="001E674E"/>
    <w:rsid w:val="001E67B3"/>
    <w:rsid w:val="001E6E15"/>
    <w:rsid w:val="001E6E24"/>
    <w:rsid w:val="001E6FCC"/>
    <w:rsid w:val="001E7579"/>
    <w:rsid w:val="001E76BA"/>
    <w:rsid w:val="001E7CDB"/>
    <w:rsid w:val="001E7F95"/>
    <w:rsid w:val="001F0041"/>
    <w:rsid w:val="001F046F"/>
    <w:rsid w:val="001F06FA"/>
    <w:rsid w:val="001F0984"/>
    <w:rsid w:val="001F0AFC"/>
    <w:rsid w:val="001F0BFC"/>
    <w:rsid w:val="001F0E03"/>
    <w:rsid w:val="001F130B"/>
    <w:rsid w:val="001F152F"/>
    <w:rsid w:val="001F1573"/>
    <w:rsid w:val="001F1623"/>
    <w:rsid w:val="001F1C27"/>
    <w:rsid w:val="001F1CED"/>
    <w:rsid w:val="001F21C3"/>
    <w:rsid w:val="001F234F"/>
    <w:rsid w:val="001F2765"/>
    <w:rsid w:val="001F27F7"/>
    <w:rsid w:val="001F2B4A"/>
    <w:rsid w:val="001F2C90"/>
    <w:rsid w:val="001F2E5E"/>
    <w:rsid w:val="001F3947"/>
    <w:rsid w:val="001F3AD6"/>
    <w:rsid w:val="001F3E44"/>
    <w:rsid w:val="001F3F44"/>
    <w:rsid w:val="001F3F5D"/>
    <w:rsid w:val="001F4A42"/>
    <w:rsid w:val="001F4E96"/>
    <w:rsid w:val="001F5028"/>
    <w:rsid w:val="001F55F2"/>
    <w:rsid w:val="001F5712"/>
    <w:rsid w:val="001F61F4"/>
    <w:rsid w:val="001F6473"/>
    <w:rsid w:val="001F6B40"/>
    <w:rsid w:val="001F6DDD"/>
    <w:rsid w:val="001F7224"/>
    <w:rsid w:val="001F74B7"/>
    <w:rsid w:val="001F767D"/>
    <w:rsid w:val="001F7948"/>
    <w:rsid w:val="001F7A88"/>
    <w:rsid w:val="00200367"/>
    <w:rsid w:val="00200837"/>
    <w:rsid w:val="002009C6"/>
    <w:rsid w:val="00200E9D"/>
    <w:rsid w:val="00200F6E"/>
    <w:rsid w:val="002015E9"/>
    <w:rsid w:val="00201E26"/>
    <w:rsid w:val="00201E31"/>
    <w:rsid w:val="0020210E"/>
    <w:rsid w:val="00202169"/>
    <w:rsid w:val="002025FA"/>
    <w:rsid w:val="00202D85"/>
    <w:rsid w:val="00202F27"/>
    <w:rsid w:val="00203193"/>
    <w:rsid w:val="002033A7"/>
    <w:rsid w:val="002038C9"/>
    <w:rsid w:val="00203946"/>
    <w:rsid w:val="002039C0"/>
    <w:rsid w:val="00203D60"/>
    <w:rsid w:val="0020434F"/>
    <w:rsid w:val="00204381"/>
    <w:rsid w:val="00204879"/>
    <w:rsid w:val="00204A09"/>
    <w:rsid w:val="00204CAC"/>
    <w:rsid w:val="00204FF2"/>
    <w:rsid w:val="0020502E"/>
    <w:rsid w:val="0020515A"/>
    <w:rsid w:val="00205B15"/>
    <w:rsid w:val="00206070"/>
    <w:rsid w:val="00206276"/>
    <w:rsid w:val="00206D25"/>
    <w:rsid w:val="00207270"/>
    <w:rsid w:val="0020733A"/>
    <w:rsid w:val="002075BC"/>
    <w:rsid w:val="002076D7"/>
    <w:rsid w:val="00207839"/>
    <w:rsid w:val="00207970"/>
    <w:rsid w:val="00207B30"/>
    <w:rsid w:val="00207CBD"/>
    <w:rsid w:val="00207DAB"/>
    <w:rsid w:val="00210036"/>
    <w:rsid w:val="002100F6"/>
    <w:rsid w:val="0021098E"/>
    <w:rsid w:val="00210B36"/>
    <w:rsid w:val="00210BFC"/>
    <w:rsid w:val="00210EDE"/>
    <w:rsid w:val="00210FC9"/>
    <w:rsid w:val="00211304"/>
    <w:rsid w:val="00211490"/>
    <w:rsid w:val="00211D31"/>
    <w:rsid w:val="00211DC7"/>
    <w:rsid w:val="0021233A"/>
    <w:rsid w:val="0021237A"/>
    <w:rsid w:val="002128F3"/>
    <w:rsid w:val="002129F6"/>
    <w:rsid w:val="00212A3A"/>
    <w:rsid w:val="00212B03"/>
    <w:rsid w:val="00212D1C"/>
    <w:rsid w:val="00212DBA"/>
    <w:rsid w:val="00212DD5"/>
    <w:rsid w:val="00212DFC"/>
    <w:rsid w:val="00212FD0"/>
    <w:rsid w:val="00213192"/>
    <w:rsid w:val="002133A3"/>
    <w:rsid w:val="00213402"/>
    <w:rsid w:val="00213453"/>
    <w:rsid w:val="00213D34"/>
    <w:rsid w:val="00213FEB"/>
    <w:rsid w:val="0021420D"/>
    <w:rsid w:val="0021424C"/>
    <w:rsid w:val="0021438B"/>
    <w:rsid w:val="002143AC"/>
    <w:rsid w:val="00214518"/>
    <w:rsid w:val="0021454F"/>
    <w:rsid w:val="002145B5"/>
    <w:rsid w:val="002149CB"/>
    <w:rsid w:val="00214BE3"/>
    <w:rsid w:val="0021578A"/>
    <w:rsid w:val="00215B39"/>
    <w:rsid w:val="00215C56"/>
    <w:rsid w:val="00215D76"/>
    <w:rsid w:val="0021624C"/>
    <w:rsid w:val="00216D63"/>
    <w:rsid w:val="00217264"/>
    <w:rsid w:val="00217949"/>
    <w:rsid w:val="00217974"/>
    <w:rsid w:val="00217A7A"/>
    <w:rsid w:val="00217AF0"/>
    <w:rsid w:val="00217CFF"/>
    <w:rsid w:val="00217D19"/>
    <w:rsid w:val="002202B4"/>
    <w:rsid w:val="002203AA"/>
    <w:rsid w:val="0022051C"/>
    <w:rsid w:val="00220659"/>
    <w:rsid w:val="00220DF3"/>
    <w:rsid w:val="00220E7B"/>
    <w:rsid w:val="00221060"/>
    <w:rsid w:val="00221159"/>
    <w:rsid w:val="00221261"/>
    <w:rsid w:val="00221A45"/>
    <w:rsid w:val="00221B69"/>
    <w:rsid w:val="00221DD7"/>
    <w:rsid w:val="002222D0"/>
    <w:rsid w:val="00222341"/>
    <w:rsid w:val="00222396"/>
    <w:rsid w:val="00222499"/>
    <w:rsid w:val="00222597"/>
    <w:rsid w:val="00222644"/>
    <w:rsid w:val="00222D23"/>
    <w:rsid w:val="00223288"/>
    <w:rsid w:val="002233C5"/>
    <w:rsid w:val="002234AF"/>
    <w:rsid w:val="00223650"/>
    <w:rsid w:val="00223905"/>
    <w:rsid w:val="00223AEA"/>
    <w:rsid w:val="00223EA5"/>
    <w:rsid w:val="00224077"/>
    <w:rsid w:val="0022415E"/>
    <w:rsid w:val="00224195"/>
    <w:rsid w:val="002242A9"/>
    <w:rsid w:val="002246BE"/>
    <w:rsid w:val="00224A6D"/>
    <w:rsid w:val="002250AF"/>
    <w:rsid w:val="00225234"/>
    <w:rsid w:val="0022542B"/>
    <w:rsid w:val="00225593"/>
    <w:rsid w:val="0022593D"/>
    <w:rsid w:val="00225AFF"/>
    <w:rsid w:val="00225B08"/>
    <w:rsid w:val="0022779E"/>
    <w:rsid w:val="00227E32"/>
    <w:rsid w:val="002315DC"/>
    <w:rsid w:val="00231750"/>
    <w:rsid w:val="002319BD"/>
    <w:rsid w:val="00231B22"/>
    <w:rsid w:val="00231EFA"/>
    <w:rsid w:val="00232528"/>
    <w:rsid w:val="002325EA"/>
    <w:rsid w:val="00232693"/>
    <w:rsid w:val="0023270F"/>
    <w:rsid w:val="00233171"/>
    <w:rsid w:val="00233790"/>
    <w:rsid w:val="00233B79"/>
    <w:rsid w:val="00233CA4"/>
    <w:rsid w:val="0023406F"/>
    <w:rsid w:val="002340F8"/>
    <w:rsid w:val="0023442D"/>
    <w:rsid w:val="00234648"/>
    <w:rsid w:val="00234E76"/>
    <w:rsid w:val="00234FA9"/>
    <w:rsid w:val="00234FF5"/>
    <w:rsid w:val="00235129"/>
    <w:rsid w:val="0023545B"/>
    <w:rsid w:val="002354EF"/>
    <w:rsid w:val="0023554C"/>
    <w:rsid w:val="002357D9"/>
    <w:rsid w:val="00235A0A"/>
    <w:rsid w:val="0023610D"/>
    <w:rsid w:val="00236DB5"/>
    <w:rsid w:val="00237158"/>
    <w:rsid w:val="00237BF3"/>
    <w:rsid w:val="00237FD8"/>
    <w:rsid w:val="00240173"/>
    <w:rsid w:val="002402BE"/>
    <w:rsid w:val="00240759"/>
    <w:rsid w:val="0024083F"/>
    <w:rsid w:val="00240C84"/>
    <w:rsid w:val="00240DA2"/>
    <w:rsid w:val="0024126B"/>
    <w:rsid w:val="00241444"/>
    <w:rsid w:val="00241501"/>
    <w:rsid w:val="00242390"/>
    <w:rsid w:val="002426E4"/>
    <w:rsid w:val="00243351"/>
    <w:rsid w:val="00243827"/>
    <w:rsid w:val="00243A62"/>
    <w:rsid w:val="00243DC1"/>
    <w:rsid w:val="00243E86"/>
    <w:rsid w:val="002440F1"/>
    <w:rsid w:val="00244137"/>
    <w:rsid w:val="00244305"/>
    <w:rsid w:val="0024434F"/>
    <w:rsid w:val="002443E7"/>
    <w:rsid w:val="00244B91"/>
    <w:rsid w:val="00244D05"/>
    <w:rsid w:val="00244ECB"/>
    <w:rsid w:val="002451E6"/>
    <w:rsid w:val="00245700"/>
    <w:rsid w:val="00245E5F"/>
    <w:rsid w:val="002460B7"/>
    <w:rsid w:val="0024632A"/>
    <w:rsid w:val="00246433"/>
    <w:rsid w:val="0024699F"/>
    <w:rsid w:val="00246B09"/>
    <w:rsid w:val="00246C42"/>
    <w:rsid w:val="00247396"/>
    <w:rsid w:val="002474FB"/>
    <w:rsid w:val="0024758B"/>
    <w:rsid w:val="002475C2"/>
    <w:rsid w:val="00247949"/>
    <w:rsid w:val="00247D49"/>
    <w:rsid w:val="00247DC8"/>
    <w:rsid w:val="0025026C"/>
    <w:rsid w:val="00250A1C"/>
    <w:rsid w:val="00250E96"/>
    <w:rsid w:val="00251009"/>
    <w:rsid w:val="002519B0"/>
    <w:rsid w:val="00251ADF"/>
    <w:rsid w:val="00251BBB"/>
    <w:rsid w:val="002523B8"/>
    <w:rsid w:val="002524A7"/>
    <w:rsid w:val="002527A8"/>
    <w:rsid w:val="00252DBF"/>
    <w:rsid w:val="002533EE"/>
    <w:rsid w:val="0025393F"/>
    <w:rsid w:val="00253D81"/>
    <w:rsid w:val="00253DD0"/>
    <w:rsid w:val="00253E65"/>
    <w:rsid w:val="00254314"/>
    <w:rsid w:val="00254619"/>
    <w:rsid w:val="00254644"/>
    <w:rsid w:val="00254B9E"/>
    <w:rsid w:val="0025532D"/>
    <w:rsid w:val="00255375"/>
    <w:rsid w:val="00255409"/>
    <w:rsid w:val="0025573E"/>
    <w:rsid w:val="00255BF0"/>
    <w:rsid w:val="002560F8"/>
    <w:rsid w:val="002562ED"/>
    <w:rsid w:val="0025644E"/>
    <w:rsid w:val="00256623"/>
    <w:rsid w:val="00256970"/>
    <w:rsid w:val="00256BFB"/>
    <w:rsid w:val="002575B9"/>
    <w:rsid w:val="0025797F"/>
    <w:rsid w:val="00257A50"/>
    <w:rsid w:val="00260381"/>
    <w:rsid w:val="00260431"/>
    <w:rsid w:val="002609C5"/>
    <w:rsid w:val="00260A6A"/>
    <w:rsid w:val="00260D5F"/>
    <w:rsid w:val="00260DD4"/>
    <w:rsid w:val="002612A2"/>
    <w:rsid w:val="002614A2"/>
    <w:rsid w:val="00261603"/>
    <w:rsid w:val="002617B2"/>
    <w:rsid w:val="00261973"/>
    <w:rsid w:val="002619F0"/>
    <w:rsid w:val="00261E1D"/>
    <w:rsid w:val="00261FE1"/>
    <w:rsid w:val="00262496"/>
    <w:rsid w:val="00262F8A"/>
    <w:rsid w:val="00263AE6"/>
    <w:rsid w:val="00264080"/>
    <w:rsid w:val="0026470D"/>
    <w:rsid w:val="00264A67"/>
    <w:rsid w:val="002655CB"/>
    <w:rsid w:val="00265702"/>
    <w:rsid w:val="00265D78"/>
    <w:rsid w:val="00265DEA"/>
    <w:rsid w:val="00265DEE"/>
    <w:rsid w:val="0026747C"/>
    <w:rsid w:val="002675D3"/>
    <w:rsid w:val="00267BC2"/>
    <w:rsid w:val="0027004C"/>
    <w:rsid w:val="00270170"/>
    <w:rsid w:val="00270390"/>
    <w:rsid w:val="00270647"/>
    <w:rsid w:val="00270708"/>
    <w:rsid w:val="0027078A"/>
    <w:rsid w:val="002708D8"/>
    <w:rsid w:val="00270BB1"/>
    <w:rsid w:val="00271343"/>
    <w:rsid w:val="00271367"/>
    <w:rsid w:val="00271396"/>
    <w:rsid w:val="00271479"/>
    <w:rsid w:val="0027157C"/>
    <w:rsid w:val="00271D93"/>
    <w:rsid w:val="00271F4E"/>
    <w:rsid w:val="00272422"/>
    <w:rsid w:val="00272821"/>
    <w:rsid w:val="002728E5"/>
    <w:rsid w:val="00272DAC"/>
    <w:rsid w:val="00272E6C"/>
    <w:rsid w:val="002731B6"/>
    <w:rsid w:val="00273564"/>
    <w:rsid w:val="00273660"/>
    <w:rsid w:val="00273B48"/>
    <w:rsid w:val="00273BC7"/>
    <w:rsid w:val="00273C63"/>
    <w:rsid w:val="0027437F"/>
    <w:rsid w:val="0027441C"/>
    <w:rsid w:val="002745DE"/>
    <w:rsid w:val="00274669"/>
    <w:rsid w:val="00274758"/>
    <w:rsid w:val="00274922"/>
    <w:rsid w:val="00274A5F"/>
    <w:rsid w:val="0027560B"/>
    <w:rsid w:val="00275753"/>
    <w:rsid w:val="00275E67"/>
    <w:rsid w:val="00276041"/>
    <w:rsid w:val="00276512"/>
    <w:rsid w:val="002765B9"/>
    <w:rsid w:val="002766C1"/>
    <w:rsid w:val="002766C8"/>
    <w:rsid w:val="00276912"/>
    <w:rsid w:val="00276948"/>
    <w:rsid w:val="00276EBE"/>
    <w:rsid w:val="00276FA8"/>
    <w:rsid w:val="002777C8"/>
    <w:rsid w:val="002778EE"/>
    <w:rsid w:val="00277934"/>
    <w:rsid w:val="00277F6A"/>
    <w:rsid w:val="00280023"/>
    <w:rsid w:val="002800F0"/>
    <w:rsid w:val="00280444"/>
    <w:rsid w:val="00280487"/>
    <w:rsid w:val="00280C31"/>
    <w:rsid w:val="00280D8C"/>
    <w:rsid w:val="00280DAA"/>
    <w:rsid w:val="00280DDB"/>
    <w:rsid w:val="00280F10"/>
    <w:rsid w:val="0028107F"/>
    <w:rsid w:val="0028162A"/>
    <w:rsid w:val="00281703"/>
    <w:rsid w:val="0028173B"/>
    <w:rsid w:val="00281B7C"/>
    <w:rsid w:val="002821E8"/>
    <w:rsid w:val="00282406"/>
    <w:rsid w:val="002827DD"/>
    <w:rsid w:val="0028310D"/>
    <w:rsid w:val="00283588"/>
    <w:rsid w:val="00283FD6"/>
    <w:rsid w:val="0028415F"/>
    <w:rsid w:val="00284A78"/>
    <w:rsid w:val="00284FAE"/>
    <w:rsid w:val="0028506B"/>
    <w:rsid w:val="00285568"/>
    <w:rsid w:val="00285865"/>
    <w:rsid w:val="002858E6"/>
    <w:rsid w:val="00285E4E"/>
    <w:rsid w:val="00285FE4"/>
    <w:rsid w:val="0028601C"/>
    <w:rsid w:val="00286066"/>
    <w:rsid w:val="00286BE1"/>
    <w:rsid w:val="00286F9B"/>
    <w:rsid w:val="002871F8"/>
    <w:rsid w:val="0028725D"/>
    <w:rsid w:val="002877C4"/>
    <w:rsid w:val="002878EB"/>
    <w:rsid w:val="00287AEB"/>
    <w:rsid w:val="00287EB3"/>
    <w:rsid w:val="00287FFB"/>
    <w:rsid w:val="002900B5"/>
    <w:rsid w:val="002906F8"/>
    <w:rsid w:val="00290779"/>
    <w:rsid w:val="002909B2"/>
    <w:rsid w:val="00290A17"/>
    <w:rsid w:val="00290A7C"/>
    <w:rsid w:val="00290B18"/>
    <w:rsid w:val="00290BA2"/>
    <w:rsid w:val="00290E75"/>
    <w:rsid w:val="0029170D"/>
    <w:rsid w:val="002917BC"/>
    <w:rsid w:val="00291927"/>
    <w:rsid w:val="00291B3E"/>
    <w:rsid w:val="00291D53"/>
    <w:rsid w:val="00292102"/>
    <w:rsid w:val="002925B7"/>
    <w:rsid w:val="002925BD"/>
    <w:rsid w:val="002929B4"/>
    <w:rsid w:val="00292CB0"/>
    <w:rsid w:val="002936FF"/>
    <w:rsid w:val="00293BBE"/>
    <w:rsid w:val="00293C78"/>
    <w:rsid w:val="00293C93"/>
    <w:rsid w:val="00293F33"/>
    <w:rsid w:val="00294255"/>
    <w:rsid w:val="002942EF"/>
    <w:rsid w:val="0029441D"/>
    <w:rsid w:val="00294A7B"/>
    <w:rsid w:val="00294AA4"/>
    <w:rsid w:val="00294B97"/>
    <w:rsid w:val="00294BC4"/>
    <w:rsid w:val="00294FDA"/>
    <w:rsid w:val="0029560D"/>
    <w:rsid w:val="00295B8E"/>
    <w:rsid w:val="00295C12"/>
    <w:rsid w:val="00295E91"/>
    <w:rsid w:val="00296255"/>
    <w:rsid w:val="002962A3"/>
    <w:rsid w:val="002965D9"/>
    <w:rsid w:val="002968B8"/>
    <w:rsid w:val="00296A9B"/>
    <w:rsid w:val="00296AAE"/>
    <w:rsid w:val="00296C74"/>
    <w:rsid w:val="00296F54"/>
    <w:rsid w:val="002970C9"/>
    <w:rsid w:val="00297472"/>
    <w:rsid w:val="002977C4"/>
    <w:rsid w:val="002977E4"/>
    <w:rsid w:val="00297B78"/>
    <w:rsid w:val="002A001C"/>
    <w:rsid w:val="002A00A5"/>
    <w:rsid w:val="002A0528"/>
    <w:rsid w:val="002A0993"/>
    <w:rsid w:val="002A0AA3"/>
    <w:rsid w:val="002A0B9A"/>
    <w:rsid w:val="002A1357"/>
    <w:rsid w:val="002A14E0"/>
    <w:rsid w:val="002A178F"/>
    <w:rsid w:val="002A1ADA"/>
    <w:rsid w:val="002A2155"/>
    <w:rsid w:val="002A29AF"/>
    <w:rsid w:val="002A2D5E"/>
    <w:rsid w:val="002A337E"/>
    <w:rsid w:val="002A33BE"/>
    <w:rsid w:val="002A3993"/>
    <w:rsid w:val="002A3A8E"/>
    <w:rsid w:val="002A3DFD"/>
    <w:rsid w:val="002A3F04"/>
    <w:rsid w:val="002A411B"/>
    <w:rsid w:val="002A42AC"/>
    <w:rsid w:val="002A4389"/>
    <w:rsid w:val="002A45AA"/>
    <w:rsid w:val="002A4B5C"/>
    <w:rsid w:val="002A4BDE"/>
    <w:rsid w:val="002A4EF5"/>
    <w:rsid w:val="002A4FE3"/>
    <w:rsid w:val="002A50E5"/>
    <w:rsid w:val="002A553C"/>
    <w:rsid w:val="002A555D"/>
    <w:rsid w:val="002A576D"/>
    <w:rsid w:val="002A57F0"/>
    <w:rsid w:val="002A5CBE"/>
    <w:rsid w:val="002A5E82"/>
    <w:rsid w:val="002A6098"/>
    <w:rsid w:val="002A63EC"/>
    <w:rsid w:val="002A6457"/>
    <w:rsid w:val="002A6BFF"/>
    <w:rsid w:val="002A6D82"/>
    <w:rsid w:val="002A72E4"/>
    <w:rsid w:val="002A780C"/>
    <w:rsid w:val="002A7825"/>
    <w:rsid w:val="002A782E"/>
    <w:rsid w:val="002A7861"/>
    <w:rsid w:val="002A79F7"/>
    <w:rsid w:val="002A7A6E"/>
    <w:rsid w:val="002A7C55"/>
    <w:rsid w:val="002A7C58"/>
    <w:rsid w:val="002A7D40"/>
    <w:rsid w:val="002A7FA7"/>
    <w:rsid w:val="002A7FD7"/>
    <w:rsid w:val="002B0197"/>
    <w:rsid w:val="002B048C"/>
    <w:rsid w:val="002B0521"/>
    <w:rsid w:val="002B0661"/>
    <w:rsid w:val="002B086F"/>
    <w:rsid w:val="002B0A05"/>
    <w:rsid w:val="002B0BCA"/>
    <w:rsid w:val="002B11E7"/>
    <w:rsid w:val="002B1319"/>
    <w:rsid w:val="002B20C2"/>
    <w:rsid w:val="002B2115"/>
    <w:rsid w:val="002B24B7"/>
    <w:rsid w:val="002B28C4"/>
    <w:rsid w:val="002B29E9"/>
    <w:rsid w:val="002B3CE9"/>
    <w:rsid w:val="002B3F9B"/>
    <w:rsid w:val="002B4004"/>
    <w:rsid w:val="002B4516"/>
    <w:rsid w:val="002B454D"/>
    <w:rsid w:val="002B4CC2"/>
    <w:rsid w:val="002B4DD8"/>
    <w:rsid w:val="002B4E69"/>
    <w:rsid w:val="002B5497"/>
    <w:rsid w:val="002B55D3"/>
    <w:rsid w:val="002B569D"/>
    <w:rsid w:val="002B581D"/>
    <w:rsid w:val="002B5D76"/>
    <w:rsid w:val="002B68B2"/>
    <w:rsid w:val="002B6B54"/>
    <w:rsid w:val="002B73AF"/>
    <w:rsid w:val="002B75C1"/>
    <w:rsid w:val="002B76F8"/>
    <w:rsid w:val="002B7848"/>
    <w:rsid w:val="002B785F"/>
    <w:rsid w:val="002B790E"/>
    <w:rsid w:val="002B7C3C"/>
    <w:rsid w:val="002B7F86"/>
    <w:rsid w:val="002C0414"/>
    <w:rsid w:val="002C10BF"/>
    <w:rsid w:val="002C10CE"/>
    <w:rsid w:val="002C14DA"/>
    <w:rsid w:val="002C1ABD"/>
    <w:rsid w:val="002C1EFD"/>
    <w:rsid w:val="002C2939"/>
    <w:rsid w:val="002C2997"/>
    <w:rsid w:val="002C2FFB"/>
    <w:rsid w:val="002C318A"/>
    <w:rsid w:val="002C3411"/>
    <w:rsid w:val="002C3ABD"/>
    <w:rsid w:val="002C3FC3"/>
    <w:rsid w:val="002C41AF"/>
    <w:rsid w:val="002C4A66"/>
    <w:rsid w:val="002C4C8E"/>
    <w:rsid w:val="002C56A8"/>
    <w:rsid w:val="002C5844"/>
    <w:rsid w:val="002C6A3E"/>
    <w:rsid w:val="002C6B7D"/>
    <w:rsid w:val="002C6C47"/>
    <w:rsid w:val="002C6ED1"/>
    <w:rsid w:val="002C6EF5"/>
    <w:rsid w:val="002C7051"/>
    <w:rsid w:val="002C70B9"/>
    <w:rsid w:val="002C72EC"/>
    <w:rsid w:val="002C766A"/>
    <w:rsid w:val="002C771F"/>
    <w:rsid w:val="002C7856"/>
    <w:rsid w:val="002C7B98"/>
    <w:rsid w:val="002C7D6E"/>
    <w:rsid w:val="002C7F7B"/>
    <w:rsid w:val="002D025F"/>
    <w:rsid w:val="002D09A4"/>
    <w:rsid w:val="002D0ACF"/>
    <w:rsid w:val="002D0BE5"/>
    <w:rsid w:val="002D1288"/>
    <w:rsid w:val="002D13AF"/>
    <w:rsid w:val="002D15F5"/>
    <w:rsid w:val="002D15FC"/>
    <w:rsid w:val="002D1980"/>
    <w:rsid w:val="002D1BF1"/>
    <w:rsid w:val="002D1CC4"/>
    <w:rsid w:val="002D2861"/>
    <w:rsid w:val="002D295C"/>
    <w:rsid w:val="002D2991"/>
    <w:rsid w:val="002D3304"/>
    <w:rsid w:val="002D3372"/>
    <w:rsid w:val="002D3379"/>
    <w:rsid w:val="002D3876"/>
    <w:rsid w:val="002D3AA9"/>
    <w:rsid w:val="002D47BC"/>
    <w:rsid w:val="002D4A47"/>
    <w:rsid w:val="002D5338"/>
    <w:rsid w:val="002D5352"/>
    <w:rsid w:val="002D53EC"/>
    <w:rsid w:val="002D56FF"/>
    <w:rsid w:val="002D5754"/>
    <w:rsid w:val="002D5764"/>
    <w:rsid w:val="002D5A9F"/>
    <w:rsid w:val="002D5B33"/>
    <w:rsid w:val="002D5FAF"/>
    <w:rsid w:val="002D605D"/>
    <w:rsid w:val="002D65E3"/>
    <w:rsid w:val="002D6761"/>
    <w:rsid w:val="002D716D"/>
    <w:rsid w:val="002D73D7"/>
    <w:rsid w:val="002D7A99"/>
    <w:rsid w:val="002D7ADB"/>
    <w:rsid w:val="002D7E96"/>
    <w:rsid w:val="002D7F29"/>
    <w:rsid w:val="002E0321"/>
    <w:rsid w:val="002E0694"/>
    <w:rsid w:val="002E0B54"/>
    <w:rsid w:val="002E0D73"/>
    <w:rsid w:val="002E0F0C"/>
    <w:rsid w:val="002E0F44"/>
    <w:rsid w:val="002E0F7C"/>
    <w:rsid w:val="002E13E7"/>
    <w:rsid w:val="002E1DD9"/>
    <w:rsid w:val="002E265D"/>
    <w:rsid w:val="002E2B45"/>
    <w:rsid w:val="002E2DC0"/>
    <w:rsid w:val="002E30F0"/>
    <w:rsid w:val="002E4020"/>
    <w:rsid w:val="002E478F"/>
    <w:rsid w:val="002E4BD5"/>
    <w:rsid w:val="002E4C85"/>
    <w:rsid w:val="002E5335"/>
    <w:rsid w:val="002E54CB"/>
    <w:rsid w:val="002E56CB"/>
    <w:rsid w:val="002E591E"/>
    <w:rsid w:val="002E5B19"/>
    <w:rsid w:val="002E5D07"/>
    <w:rsid w:val="002E5F59"/>
    <w:rsid w:val="002E5F93"/>
    <w:rsid w:val="002E64D8"/>
    <w:rsid w:val="002E6A01"/>
    <w:rsid w:val="002E6CF2"/>
    <w:rsid w:val="002E761E"/>
    <w:rsid w:val="002F01A5"/>
    <w:rsid w:val="002F04DB"/>
    <w:rsid w:val="002F074C"/>
    <w:rsid w:val="002F0A64"/>
    <w:rsid w:val="002F11B1"/>
    <w:rsid w:val="002F12B9"/>
    <w:rsid w:val="002F13E4"/>
    <w:rsid w:val="002F19C1"/>
    <w:rsid w:val="002F1A23"/>
    <w:rsid w:val="002F2201"/>
    <w:rsid w:val="002F2A45"/>
    <w:rsid w:val="002F2C54"/>
    <w:rsid w:val="002F3336"/>
    <w:rsid w:val="002F34CB"/>
    <w:rsid w:val="002F395F"/>
    <w:rsid w:val="002F39C7"/>
    <w:rsid w:val="002F3C06"/>
    <w:rsid w:val="002F451E"/>
    <w:rsid w:val="002F4856"/>
    <w:rsid w:val="002F486D"/>
    <w:rsid w:val="002F54D8"/>
    <w:rsid w:val="002F5889"/>
    <w:rsid w:val="002F589B"/>
    <w:rsid w:val="002F5A37"/>
    <w:rsid w:val="002F5A82"/>
    <w:rsid w:val="002F5D3B"/>
    <w:rsid w:val="002F67C0"/>
    <w:rsid w:val="002F6827"/>
    <w:rsid w:val="002F6970"/>
    <w:rsid w:val="002F698B"/>
    <w:rsid w:val="002F6C14"/>
    <w:rsid w:val="002F6CEE"/>
    <w:rsid w:val="002F6D26"/>
    <w:rsid w:val="002F70A7"/>
    <w:rsid w:val="002F7169"/>
    <w:rsid w:val="002F73E8"/>
    <w:rsid w:val="002F755D"/>
    <w:rsid w:val="002F7638"/>
    <w:rsid w:val="002F7F92"/>
    <w:rsid w:val="002F7FC5"/>
    <w:rsid w:val="003001A6"/>
    <w:rsid w:val="003001B9"/>
    <w:rsid w:val="00300A11"/>
    <w:rsid w:val="003014C4"/>
    <w:rsid w:val="003014EC"/>
    <w:rsid w:val="003018EC"/>
    <w:rsid w:val="00301BAF"/>
    <w:rsid w:val="00302027"/>
    <w:rsid w:val="00302245"/>
    <w:rsid w:val="00302DD5"/>
    <w:rsid w:val="00302EAA"/>
    <w:rsid w:val="0030336F"/>
    <w:rsid w:val="003033D5"/>
    <w:rsid w:val="003035C5"/>
    <w:rsid w:val="0030382D"/>
    <w:rsid w:val="00303D18"/>
    <w:rsid w:val="00303F70"/>
    <w:rsid w:val="00304122"/>
    <w:rsid w:val="00304219"/>
    <w:rsid w:val="00304302"/>
    <w:rsid w:val="0030473D"/>
    <w:rsid w:val="00304879"/>
    <w:rsid w:val="00305133"/>
    <w:rsid w:val="0030526D"/>
    <w:rsid w:val="003052A0"/>
    <w:rsid w:val="0030545A"/>
    <w:rsid w:val="0030546E"/>
    <w:rsid w:val="00305528"/>
    <w:rsid w:val="00305C4C"/>
    <w:rsid w:val="003064C5"/>
    <w:rsid w:val="003064EE"/>
    <w:rsid w:val="0030672C"/>
    <w:rsid w:val="00306731"/>
    <w:rsid w:val="00306916"/>
    <w:rsid w:val="00306975"/>
    <w:rsid w:val="00306CAD"/>
    <w:rsid w:val="00306CFA"/>
    <w:rsid w:val="003072EC"/>
    <w:rsid w:val="00307393"/>
    <w:rsid w:val="00310011"/>
    <w:rsid w:val="00310052"/>
    <w:rsid w:val="00310334"/>
    <w:rsid w:val="00310347"/>
    <w:rsid w:val="0031052D"/>
    <w:rsid w:val="00310684"/>
    <w:rsid w:val="003107E1"/>
    <w:rsid w:val="003111D0"/>
    <w:rsid w:val="003112ED"/>
    <w:rsid w:val="00311701"/>
    <w:rsid w:val="00311A33"/>
    <w:rsid w:val="00311D7C"/>
    <w:rsid w:val="00311EA2"/>
    <w:rsid w:val="0031258F"/>
    <w:rsid w:val="003127DF"/>
    <w:rsid w:val="003128D6"/>
    <w:rsid w:val="0031295E"/>
    <w:rsid w:val="00312D0E"/>
    <w:rsid w:val="00312F9A"/>
    <w:rsid w:val="00313E2D"/>
    <w:rsid w:val="003141C5"/>
    <w:rsid w:val="003141FD"/>
    <w:rsid w:val="0031447F"/>
    <w:rsid w:val="00314D8E"/>
    <w:rsid w:val="00314E0B"/>
    <w:rsid w:val="00314FE4"/>
    <w:rsid w:val="0031513E"/>
    <w:rsid w:val="00315228"/>
    <w:rsid w:val="00315279"/>
    <w:rsid w:val="0031528D"/>
    <w:rsid w:val="003152F4"/>
    <w:rsid w:val="003156C8"/>
    <w:rsid w:val="00315890"/>
    <w:rsid w:val="00315DBF"/>
    <w:rsid w:val="00316D1F"/>
    <w:rsid w:val="0031715C"/>
    <w:rsid w:val="0031723A"/>
    <w:rsid w:val="00317461"/>
    <w:rsid w:val="003178B2"/>
    <w:rsid w:val="003178EB"/>
    <w:rsid w:val="003202B0"/>
    <w:rsid w:val="003207A1"/>
    <w:rsid w:val="00320D93"/>
    <w:rsid w:val="00320DE0"/>
    <w:rsid w:val="00320EA2"/>
    <w:rsid w:val="00321534"/>
    <w:rsid w:val="00321760"/>
    <w:rsid w:val="0032187F"/>
    <w:rsid w:val="003219B6"/>
    <w:rsid w:val="00321F54"/>
    <w:rsid w:val="003220AE"/>
    <w:rsid w:val="003222F4"/>
    <w:rsid w:val="00322623"/>
    <w:rsid w:val="00322974"/>
    <w:rsid w:val="00323864"/>
    <w:rsid w:val="00323D15"/>
    <w:rsid w:val="003243FD"/>
    <w:rsid w:val="0032473B"/>
    <w:rsid w:val="00324B32"/>
    <w:rsid w:val="00324CE8"/>
    <w:rsid w:val="00325158"/>
    <w:rsid w:val="00325237"/>
    <w:rsid w:val="00325320"/>
    <w:rsid w:val="00325854"/>
    <w:rsid w:val="0032591F"/>
    <w:rsid w:val="003260CA"/>
    <w:rsid w:val="00326111"/>
    <w:rsid w:val="00326502"/>
    <w:rsid w:val="003272FD"/>
    <w:rsid w:val="003275C0"/>
    <w:rsid w:val="003275FB"/>
    <w:rsid w:val="0032785B"/>
    <w:rsid w:val="00327864"/>
    <w:rsid w:val="00327C28"/>
    <w:rsid w:val="003300C8"/>
    <w:rsid w:val="00330112"/>
    <w:rsid w:val="003301D6"/>
    <w:rsid w:val="00330446"/>
    <w:rsid w:val="003305BB"/>
    <w:rsid w:val="003311C0"/>
    <w:rsid w:val="003311F9"/>
    <w:rsid w:val="00331242"/>
    <w:rsid w:val="003314C6"/>
    <w:rsid w:val="0033154E"/>
    <w:rsid w:val="00331667"/>
    <w:rsid w:val="00331925"/>
    <w:rsid w:val="00331BB2"/>
    <w:rsid w:val="00331FC2"/>
    <w:rsid w:val="003321A4"/>
    <w:rsid w:val="0033220B"/>
    <w:rsid w:val="0033225B"/>
    <w:rsid w:val="003323F2"/>
    <w:rsid w:val="003325E5"/>
    <w:rsid w:val="00332AAB"/>
    <w:rsid w:val="00332C4A"/>
    <w:rsid w:val="00332F8D"/>
    <w:rsid w:val="00333160"/>
    <w:rsid w:val="0033329B"/>
    <w:rsid w:val="003335C5"/>
    <w:rsid w:val="00333A34"/>
    <w:rsid w:val="00333C03"/>
    <w:rsid w:val="00333EB4"/>
    <w:rsid w:val="00333EC0"/>
    <w:rsid w:val="00334057"/>
    <w:rsid w:val="003344EB"/>
    <w:rsid w:val="00334581"/>
    <w:rsid w:val="00334F02"/>
    <w:rsid w:val="00334F1C"/>
    <w:rsid w:val="00334F62"/>
    <w:rsid w:val="003352F2"/>
    <w:rsid w:val="00335512"/>
    <w:rsid w:val="00335621"/>
    <w:rsid w:val="0033575B"/>
    <w:rsid w:val="0033584E"/>
    <w:rsid w:val="00335975"/>
    <w:rsid w:val="00335DCF"/>
    <w:rsid w:val="0033616E"/>
    <w:rsid w:val="0033617A"/>
    <w:rsid w:val="00336A53"/>
    <w:rsid w:val="00336D2B"/>
    <w:rsid w:val="00336EEB"/>
    <w:rsid w:val="00337277"/>
    <w:rsid w:val="003373A9"/>
    <w:rsid w:val="003405B2"/>
    <w:rsid w:val="00340740"/>
    <w:rsid w:val="0034076F"/>
    <w:rsid w:val="00340838"/>
    <w:rsid w:val="003408A1"/>
    <w:rsid w:val="00340A4A"/>
    <w:rsid w:val="00340CA2"/>
    <w:rsid w:val="00340E5D"/>
    <w:rsid w:val="00340F04"/>
    <w:rsid w:val="00340F9B"/>
    <w:rsid w:val="003418D7"/>
    <w:rsid w:val="00341AF7"/>
    <w:rsid w:val="00341D00"/>
    <w:rsid w:val="00341F10"/>
    <w:rsid w:val="00341FD4"/>
    <w:rsid w:val="00342188"/>
    <w:rsid w:val="00342653"/>
    <w:rsid w:val="00342900"/>
    <w:rsid w:val="00342D5F"/>
    <w:rsid w:val="00343254"/>
    <w:rsid w:val="00343866"/>
    <w:rsid w:val="00343B66"/>
    <w:rsid w:val="00343B67"/>
    <w:rsid w:val="003443E4"/>
    <w:rsid w:val="003443EE"/>
    <w:rsid w:val="00344817"/>
    <w:rsid w:val="00344BC0"/>
    <w:rsid w:val="0034500F"/>
    <w:rsid w:val="003450F7"/>
    <w:rsid w:val="003452E8"/>
    <w:rsid w:val="003453AC"/>
    <w:rsid w:val="0034570B"/>
    <w:rsid w:val="003457B2"/>
    <w:rsid w:val="0034597C"/>
    <w:rsid w:val="00345ADE"/>
    <w:rsid w:val="00345CFE"/>
    <w:rsid w:val="00345E3E"/>
    <w:rsid w:val="00346574"/>
    <w:rsid w:val="0034670E"/>
    <w:rsid w:val="00346956"/>
    <w:rsid w:val="00346CDB"/>
    <w:rsid w:val="00346CEF"/>
    <w:rsid w:val="00346D70"/>
    <w:rsid w:val="00347214"/>
    <w:rsid w:val="0034795B"/>
    <w:rsid w:val="00347B92"/>
    <w:rsid w:val="00347D71"/>
    <w:rsid w:val="003502F1"/>
    <w:rsid w:val="00350380"/>
    <w:rsid w:val="00350533"/>
    <w:rsid w:val="00350911"/>
    <w:rsid w:val="00350AED"/>
    <w:rsid w:val="00350D2F"/>
    <w:rsid w:val="003511D6"/>
    <w:rsid w:val="0035258C"/>
    <w:rsid w:val="003527EE"/>
    <w:rsid w:val="00352984"/>
    <w:rsid w:val="00352A6E"/>
    <w:rsid w:val="00352BA9"/>
    <w:rsid w:val="00353CA3"/>
    <w:rsid w:val="00353D83"/>
    <w:rsid w:val="00353EBB"/>
    <w:rsid w:val="00354054"/>
    <w:rsid w:val="003546EF"/>
    <w:rsid w:val="00354A91"/>
    <w:rsid w:val="00354BD9"/>
    <w:rsid w:val="00354C54"/>
    <w:rsid w:val="00354CE0"/>
    <w:rsid w:val="00354EAD"/>
    <w:rsid w:val="00355108"/>
    <w:rsid w:val="00355508"/>
    <w:rsid w:val="0035576E"/>
    <w:rsid w:val="0035578F"/>
    <w:rsid w:val="00356671"/>
    <w:rsid w:val="00356AD1"/>
    <w:rsid w:val="00356AE0"/>
    <w:rsid w:val="003578B8"/>
    <w:rsid w:val="00357F7E"/>
    <w:rsid w:val="0036006F"/>
    <w:rsid w:val="003602BC"/>
    <w:rsid w:val="003603BF"/>
    <w:rsid w:val="003607AA"/>
    <w:rsid w:val="00360BCA"/>
    <w:rsid w:val="00360D3A"/>
    <w:rsid w:val="00360F07"/>
    <w:rsid w:val="00360F17"/>
    <w:rsid w:val="00361444"/>
    <w:rsid w:val="003616B6"/>
    <w:rsid w:val="00361D71"/>
    <w:rsid w:val="00361DC5"/>
    <w:rsid w:val="00362624"/>
    <w:rsid w:val="00362751"/>
    <w:rsid w:val="003628C7"/>
    <w:rsid w:val="00362CEF"/>
    <w:rsid w:val="00362EDA"/>
    <w:rsid w:val="00363064"/>
    <w:rsid w:val="003636A2"/>
    <w:rsid w:val="003636C1"/>
    <w:rsid w:val="00363860"/>
    <w:rsid w:val="003638D0"/>
    <w:rsid w:val="00363A20"/>
    <w:rsid w:val="00363AE7"/>
    <w:rsid w:val="00363F90"/>
    <w:rsid w:val="0036477D"/>
    <w:rsid w:val="00364BB1"/>
    <w:rsid w:val="00364E27"/>
    <w:rsid w:val="00364E38"/>
    <w:rsid w:val="00364E49"/>
    <w:rsid w:val="00364F47"/>
    <w:rsid w:val="0036597A"/>
    <w:rsid w:val="00365C38"/>
    <w:rsid w:val="00366275"/>
    <w:rsid w:val="00366557"/>
    <w:rsid w:val="003665B0"/>
    <w:rsid w:val="003667D2"/>
    <w:rsid w:val="003667E2"/>
    <w:rsid w:val="00366B07"/>
    <w:rsid w:val="00366CAC"/>
    <w:rsid w:val="00366DC7"/>
    <w:rsid w:val="0036733B"/>
    <w:rsid w:val="00367360"/>
    <w:rsid w:val="00367624"/>
    <w:rsid w:val="0036779B"/>
    <w:rsid w:val="00367D28"/>
    <w:rsid w:val="00370186"/>
    <w:rsid w:val="00370931"/>
    <w:rsid w:val="00370F0B"/>
    <w:rsid w:val="00371082"/>
    <w:rsid w:val="003716AB"/>
    <w:rsid w:val="00371786"/>
    <w:rsid w:val="00371B18"/>
    <w:rsid w:val="0037219F"/>
    <w:rsid w:val="003722BA"/>
    <w:rsid w:val="003723C4"/>
    <w:rsid w:val="003725DD"/>
    <w:rsid w:val="00372E6F"/>
    <w:rsid w:val="00372FB1"/>
    <w:rsid w:val="00373519"/>
    <w:rsid w:val="003735F1"/>
    <w:rsid w:val="0037415F"/>
    <w:rsid w:val="003742AD"/>
    <w:rsid w:val="00374B7D"/>
    <w:rsid w:val="00374BC5"/>
    <w:rsid w:val="00374E66"/>
    <w:rsid w:val="00374EE6"/>
    <w:rsid w:val="00374FA0"/>
    <w:rsid w:val="003752EC"/>
    <w:rsid w:val="003753AB"/>
    <w:rsid w:val="0037543A"/>
    <w:rsid w:val="0037575B"/>
    <w:rsid w:val="003759CE"/>
    <w:rsid w:val="00376237"/>
    <w:rsid w:val="003768BD"/>
    <w:rsid w:val="00376920"/>
    <w:rsid w:val="00376C87"/>
    <w:rsid w:val="00376D58"/>
    <w:rsid w:val="00376EC5"/>
    <w:rsid w:val="00376FB9"/>
    <w:rsid w:val="0037720E"/>
    <w:rsid w:val="00377423"/>
    <w:rsid w:val="00377899"/>
    <w:rsid w:val="0037793B"/>
    <w:rsid w:val="0037796E"/>
    <w:rsid w:val="00377C47"/>
    <w:rsid w:val="00377CA2"/>
    <w:rsid w:val="00377D21"/>
    <w:rsid w:val="00377FC8"/>
    <w:rsid w:val="003803EF"/>
    <w:rsid w:val="00380598"/>
    <w:rsid w:val="00380899"/>
    <w:rsid w:val="00380ED9"/>
    <w:rsid w:val="00380FAD"/>
    <w:rsid w:val="0038197B"/>
    <w:rsid w:val="00381BD2"/>
    <w:rsid w:val="00381EBC"/>
    <w:rsid w:val="00381F7F"/>
    <w:rsid w:val="003821F7"/>
    <w:rsid w:val="00382550"/>
    <w:rsid w:val="00382855"/>
    <w:rsid w:val="00382E15"/>
    <w:rsid w:val="003831B6"/>
    <w:rsid w:val="00383202"/>
    <w:rsid w:val="003836FF"/>
    <w:rsid w:val="00383ACA"/>
    <w:rsid w:val="00383B34"/>
    <w:rsid w:val="00383BEF"/>
    <w:rsid w:val="00383F82"/>
    <w:rsid w:val="003840AD"/>
    <w:rsid w:val="003842B2"/>
    <w:rsid w:val="0038430C"/>
    <w:rsid w:val="0038432B"/>
    <w:rsid w:val="00384439"/>
    <w:rsid w:val="00384592"/>
    <w:rsid w:val="00384612"/>
    <w:rsid w:val="00384891"/>
    <w:rsid w:val="00384D98"/>
    <w:rsid w:val="00384E15"/>
    <w:rsid w:val="00384FC5"/>
    <w:rsid w:val="00385068"/>
    <w:rsid w:val="00385209"/>
    <w:rsid w:val="0038530D"/>
    <w:rsid w:val="0038623C"/>
    <w:rsid w:val="003864A5"/>
    <w:rsid w:val="0038683E"/>
    <w:rsid w:val="00386A04"/>
    <w:rsid w:val="00386D8E"/>
    <w:rsid w:val="003872FF"/>
    <w:rsid w:val="00387492"/>
    <w:rsid w:val="00387533"/>
    <w:rsid w:val="00387A06"/>
    <w:rsid w:val="00387A8E"/>
    <w:rsid w:val="003902D3"/>
    <w:rsid w:val="0039041A"/>
    <w:rsid w:val="00390B58"/>
    <w:rsid w:val="00390DDB"/>
    <w:rsid w:val="00391110"/>
    <w:rsid w:val="00391117"/>
    <w:rsid w:val="00391194"/>
    <w:rsid w:val="00391277"/>
    <w:rsid w:val="00391392"/>
    <w:rsid w:val="0039139F"/>
    <w:rsid w:val="00391680"/>
    <w:rsid w:val="00391B5E"/>
    <w:rsid w:val="003924DB"/>
    <w:rsid w:val="003925A7"/>
    <w:rsid w:val="0039271F"/>
    <w:rsid w:val="00392927"/>
    <w:rsid w:val="00392A71"/>
    <w:rsid w:val="00392B24"/>
    <w:rsid w:val="00392D96"/>
    <w:rsid w:val="00392F36"/>
    <w:rsid w:val="003934C7"/>
    <w:rsid w:val="003934D3"/>
    <w:rsid w:val="003936BD"/>
    <w:rsid w:val="0039386A"/>
    <w:rsid w:val="00393D03"/>
    <w:rsid w:val="00393FA5"/>
    <w:rsid w:val="00393FAC"/>
    <w:rsid w:val="003941EC"/>
    <w:rsid w:val="0039447F"/>
    <w:rsid w:val="003947CD"/>
    <w:rsid w:val="00394DF8"/>
    <w:rsid w:val="0039558D"/>
    <w:rsid w:val="003956CA"/>
    <w:rsid w:val="00395BC4"/>
    <w:rsid w:val="00395E6B"/>
    <w:rsid w:val="003960DC"/>
    <w:rsid w:val="00396719"/>
    <w:rsid w:val="00396A03"/>
    <w:rsid w:val="00396ABE"/>
    <w:rsid w:val="00396B2B"/>
    <w:rsid w:val="003971E8"/>
    <w:rsid w:val="003971EC"/>
    <w:rsid w:val="00397526"/>
    <w:rsid w:val="0039756A"/>
    <w:rsid w:val="003A0154"/>
    <w:rsid w:val="003A0231"/>
    <w:rsid w:val="003A0420"/>
    <w:rsid w:val="003A0450"/>
    <w:rsid w:val="003A0CBF"/>
    <w:rsid w:val="003A0EC3"/>
    <w:rsid w:val="003A1077"/>
    <w:rsid w:val="003A128B"/>
    <w:rsid w:val="003A13F2"/>
    <w:rsid w:val="003A1685"/>
    <w:rsid w:val="003A1786"/>
    <w:rsid w:val="003A17DE"/>
    <w:rsid w:val="003A1CF7"/>
    <w:rsid w:val="003A22AA"/>
    <w:rsid w:val="003A2612"/>
    <w:rsid w:val="003A2620"/>
    <w:rsid w:val="003A26E5"/>
    <w:rsid w:val="003A278D"/>
    <w:rsid w:val="003A2AB3"/>
    <w:rsid w:val="003A2ABC"/>
    <w:rsid w:val="003A2FBA"/>
    <w:rsid w:val="003A31E3"/>
    <w:rsid w:val="003A3659"/>
    <w:rsid w:val="003A39D9"/>
    <w:rsid w:val="003A4197"/>
    <w:rsid w:val="003A41A4"/>
    <w:rsid w:val="003A458F"/>
    <w:rsid w:val="003A4A19"/>
    <w:rsid w:val="003A4C19"/>
    <w:rsid w:val="003A4F6A"/>
    <w:rsid w:val="003A546E"/>
    <w:rsid w:val="003A54C4"/>
    <w:rsid w:val="003A575C"/>
    <w:rsid w:val="003A5844"/>
    <w:rsid w:val="003A59F4"/>
    <w:rsid w:val="003A5CE5"/>
    <w:rsid w:val="003A61F9"/>
    <w:rsid w:val="003A6AA1"/>
    <w:rsid w:val="003A6B0F"/>
    <w:rsid w:val="003A6B39"/>
    <w:rsid w:val="003A6CD4"/>
    <w:rsid w:val="003A6F76"/>
    <w:rsid w:val="003A6FD2"/>
    <w:rsid w:val="003A73E8"/>
    <w:rsid w:val="003A746E"/>
    <w:rsid w:val="003A754D"/>
    <w:rsid w:val="003A7828"/>
    <w:rsid w:val="003A78E1"/>
    <w:rsid w:val="003A7C0F"/>
    <w:rsid w:val="003B0304"/>
    <w:rsid w:val="003B0360"/>
    <w:rsid w:val="003B03DB"/>
    <w:rsid w:val="003B09AF"/>
    <w:rsid w:val="003B0C79"/>
    <w:rsid w:val="003B0F3D"/>
    <w:rsid w:val="003B0F96"/>
    <w:rsid w:val="003B13EC"/>
    <w:rsid w:val="003B163A"/>
    <w:rsid w:val="003B1A0B"/>
    <w:rsid w:val="003B1F01"/>
    <w:rsid w:val="003B2966"/>
    <w:rsid w:val="003B2E01"/>
    <w:rsid w:val="003B2E56"/>
    <w:rsid w:val="003B393A"/>
    <w:rsid w:val="003B3970"/>
    <w:rsid w:val="003B3981"/>
    <w:rsid w:val="003B3A08"/>
    <w:rsid w:val="003B3E0A"/>
    <w:rsid w:val="003B4156"/>
    <w:rsid w:val="003B4CB7"/>
    <w:rsid w:val="003B4EE3"/>
    <w:rsid w:val="003B4F56"/>
    <w:rsid w:val="003B5160"/>
    <w:rsid w:val="003B5BAB"/>
    <w:rsid w:val="003B5D28"/>
    <w:rsid w:val="003B5D49"/>
    <w:rsid w:val="003B5EEE"/>
    <w:rsid w:val="003B5F8A"/>
    <w:rsid w:val="003B6113"/>
    <w:rsid w:val="003B6576"/>
    <w:rsid w:val="003B6779"/>
    <w:rsid w:val="003B68F0"/>
    <w:rsid w:val="003B6BC7"/>
    <w:rsid w:val="003B6C49"/>
    <w:rsid w:val="003B6DC2"/>
    <w:rsid w:val="003B704A"/>
    <w:rsid w:val="003B768A"/>
    <w:rsid w:val="003B77D7"/>
    <w:rsid w:val="003B7B86"/>
    <w:rsid w:val="003B7BAD"/>
    <w:rsid w:val="003B7F34"/>
    <w:rsid w:val="003B7F95"/>
    <w:rsid w:val="003C0341"/>
    <w:rsid w:val="003C049D"/>
    <w:rsid w:val="003C06B8"/>
    <w:rsid w:val="003C0AB5"/>
    <w:rsid w:val="003C0DF6"/>
    <w:rsid w:val="003C0E7B"/>
    <w:rsid w:val="003C0F15"/>
    <w:rsid w:val="003C12AE"/>
    <w:rsid w:val="003C19D9"/>
    <w:rsid w:val="003C311A"/>
    <w:rsid w:val="003C39E8"/>
    <w:rsid w:val="003C3D9B"/>
    <w:rsid w:val="003C412A"/>
    <w:rsid w:val="003C4178"/>
    <w:rsid w:val="003C4684"/>
    <w:rsid w:val="003C49F2"/>
    <w:rsid w:val="003C4DC7"/>
    <w:rsid w:val="003C5660"/>
    <w:rsid w:val="003C5737"/>
    <w:rsid w:val="003C5772"/>
    <w:rsid w:val="003C5A5F"/>
    <w:rsid w:val="003C5EEE"/>
    <w:rsid w:val="003C5FD1"/>
    <w:rsid w:val="003C602B"/>
    <w:rsid w:val="003C623F"/>
    <w:rsid w:val="003C6269"/>
    <w:rsid w:val="003C6312"/>
    <w:rsid w:val="003C6C48"/>
    <w:rsid w:val="003C750E"/>
    <w:rsid w:val="003C773F"/>
    <w:rsid w:val="003C7A30"/>
    <w:rsid w:val="003C7BA5"/>
    <w:rsid w:val="003C7C96"/>
    <w:rsid w:val="003C7E8A"/>
    <w:rsid w:val="003D008A"/>
    <w:rsid w:val="003D0128"/>
    <w:rsid w:val="003D03E3"/>
    <w:rsid w:val="003D0460"/>
    <w:rsid w:val="003D0800"/>
    <w:rsid w:val="003D0F04"/>
    <w:rsid w:val="003D1612"/>
    <w:rsid w:val="003D182C"/>
    <w:rsid w:val="003D1920"/>
    <w:rsid w:val="003D1CBC"/>
    <w:rsid w:val="003D1D89"/>
    <w:rsid w:val="003D1E58"/>
    <w:rsid w:val="003D1FF9"/>
    <w:rsid w:val="003D279C"/>
    <w:rsid w:val="003D2A25"/>
    <w:rsid w:val="003D3057"/>
    <w:rsid w:val="003D32E5"/>
    <w:rsid w:val="003D3588"/>
    <w:rsid w:val="003D3A17"/>
    <w:rsid w:val="003D3A75"/>
    <w:rsid w:val="003D3BC4"/>
    <w:rsid w:val="003D3FFE"/>
    <w:rsid w:val="003D40AE"/>
    <w:rsid w:val="003D41C5"/>
    <w:rsid w:val="003D41ED"/>
    <w:rsid w:val="003D4315"/>
    <w:rsid w:val="003D4585"/>
    <w:rsid w:val="003D468A"/>
    <w:rsid w:val="003D4B0B"/>
    <w:rsid w:val="003D4CE0"/>
    <w:rsid w:val="003D4E95"/>
    <w:rsid w:val="003D55DD"/>
    <w:rsid w:val="003D577D"/>
    <w:rsid w:val="003D5ADA"/>
    <w:rsid w:val="003D618F"/>
    <w:rsid w:val="003D61E4"/>
    <w:rsid w:val="003D63A9"/>
    <w:rsid w:val="003D6713"/>
    <w:rsid w:val="003D677A"/>
    <w:rsid w:val="003D6E0A"/>
    <w:rsid w:val="003D78D3"/>
    <w:rsid w:val="003D7BE6"/>
    <w:rsid w:val="003D7CDB"/>
    <w:rsid w:val="003E087C"/>
    <w:rsid w:val="003E099B"/>
    <w:rsid w:val="003E1110"/>
    <w:rsid w:val="003E1807"/>
    <w:rsid w:val="003E2250"/>
    <w:rsid w:val="003E2405"/>
    <w:rsid w:val="003E27D3"/>
    <w:rsid w:val="003E299F"/>
    <w:rsid w:val="003E2C3B"/>
    <w:rsid w:val="003E2CFA"/>
    <w:rsid w:val="003E2F05"/>
    <w:rsid w:val="003E365F"/>
    <w:rsid w:val="003E37AD"/>
    <w:rsid w:val="003E3A12"/>
    <w:rsid w:val="003E46CD"/>
    <w:rsid w:val="003E506A"/>
    <w:rsid w:val="003E566D"/>
    <w:rsid w:val="003E5A9F"/>
    <w:rsid w:val="003E5B57"/>
    <w:rsid w:val="003E5D9E"/>
    <w:rsid w:val="003E6069"/>
    <w:rsid w:val="003E66DB"/>
    <w:rsid w:val="003E693A"/>
    <w:rsid w:val="003E6AFF"/>
    <w:rsid w:val="003E6F2B"/>
    <w:rsid w:val="003E726E"/>
    <w:rsid w:val="003E72E3"/>
    <w:rsid w:val="003E7302"/>
    <w:rsid w:val="003E7520"/>
    <w:rsid w:val="003E764F"/>
    <w:rsid w:val="003E7678"/>
    <w:rsid w:val="003E7AE0"/>
    <w:rsid w:val="003F0658"/>
    <w:rsid w:val="003F09D9"/>
    <w:rsid w:val="003F0C39"/>
    <w:rsid w:val="003F1105"/>
    <w:rsid w:val="003F13A1"/>
    <w:rsid w:val="003F1445"/>
    <w:rsid w:val="003F22D4"/>
    <w:rsid w:val="003F300A"/>
    <w:rsid w:val="003F3309"/>
    <w:rsid w:val="003F3329"/>
    <w:rsid w:val="003F339A"/>
    <w:rsid w:val="003F3C0E"/>
    <w:rsid w:val="003F3DB4"/>
    <w:rsid w:val="003F4496"/>
    <w:rsid w:val="003F45AD"/>
    <w:rsid w:val="003F4F4D"/>
    <w:rsid w:val="003F511E"/>
    <w:rsid w:val="003F5124"/>
    <w:rsid w:val="003F51EF"/>
    <w:rsid w:val="003F5602"/>
    <w:rsid w:val="003F56D4"/>
    <w:rsid w:val="003F5B57"/>
    <w:rsid w:val="003F5BB0"/>
    <w:rsid w:val="003F6236"/>
    <w:rsid w:val="003F6411"/>
    <w:rsid w:val="003F6878"/>
    <w:rsid w:val="003F72A1"/>
    <w:rsid w:val="003F741B"/>
    <w:rsid w:val="003F76C9"/>
    <w:rsid w:val="0040037D"/>
    <w:rsid w:val="004007D8"/>
    <w:rsid w:val="0040085B"/>
    <w:rsid w:val="00400FBA"/>
    <w:rsid w:val="0040151D"/>
    <w:rsid w:val="0040153D"/>
    <w:rsid w:val="00401B90"/>
    <w:rsid w:val="0040209F"/>
    <w:rsid w:val="004024C5"/>
    <w:rsid w:val="00402806"/>
    <w:rsid w:val="00402941"/>
    <w:rsid w:val="00403394"/>
    <w:rsid w:val="004033E0"/>
    <w:rsid w:val="00403512"/>
    <w:rsid w:val="00403852"/>
    <w:rsid w:val="004038EF"/>
    <w:rsid w:val="00403C2B"/>
    <w:rsid w:val="0040403F"/>
    <w:rsid w:val="00404B0B"/>
    <w:rsid w:val="0040501C"/>
    <w:rsid w:val="0040505E"/>
    <w:rsid w:val="0040506D"/>
    <w:rsid w:val="00405405"/>
    <w:rsid w:val="00405A58"/>
    <w:rsid w:val="00405BA9"/>
    <w:rsid w:val="004061B3"/>
    <w:rsid w:val="0040621B"/>
    <w:rsid w:val="0040669F"/>
    <w:rsid w:val="00406A9E"/>
    <w:rsid w:val="00406B41"/>
    <w:rsid w:val="00406C09"/>
    <w:rsid w:val="00406C44"/>
    <w:rsid w:val="00406C7D"/>
    <w:rsid w:val="0040787C"/>
    <w:rsid w:val="00407BF6"/>
    <w:rsid w:val="00407C21"/>
    <w:rsid w:val="0041004E"/>
    <w:rsid w:val="0041009D"/>
    <w:rsid w:val="004104BC"/>
    <w:rsid w:val="0041056B"/>
    <w:rsid w:val="0041060D"/>
    <w:rsid w:val="004107D4"/>
    <w:rsid w:val="00410CD5"/>
    <w:rsid w:val="00410D6F"/>
    <w:rsid w:val="00411511"/>
    <w:rsid w:val="00411990"/>
    <w:rsid w:val="00411A79"/>
    <w:rsid w:val="00411B89"/>
    <w:rsid w:val="00411BD7"/>
    <w:rsid w:val="00411E47"/>
    <w:rsid w:val="00411F9F"/>
    <w:rsid w:val="004121A3"/>
    <w:rsid w:val="0041234B"/>
    <w:rsid w:val="0041282B"/>
    <w:rsid w:val="00412D1B"/>
    <w:rsid w:val="00412DA4"/>
    <w:rsid w:val="00413358"/>
    <w:rsid w:val="00413E8E"/>
    <w:rsid w:val="0041448E"/>
    <w:rsid w:val="00414807"/>
    <w:rsid w:val="004148C8"/>
    <w:rsid w:val="00414A17"/>
    <w:rsid w:val="00414A5B"/>
    <w:rsid w:val="00414B3E"/>
    <w:rsid w:val="00414DB7"/>
    <w:rsid w:val="00415366"/>
    <w:rsid w:val="004159DB"/>
    <w:rsid w:val="00415ADE"/>
    <w:rsid w:val="00415E6F"/>
    <w:rsid w:val="00415F28"/>
    <w:rsid w:val="004163BF"/>
    <w:rsid w:val="00416571"/>
    <w:rsid w:val="00416607"/>
    <w:rsid w:val="00416845"/>
    <w:rsid w:val="00416E58"/>
    <w:rsid w:val="00417145"/>
    <w:rsid w:val="004171F7"/>
    <w:rsid w:val="00417643"/>
    <w:rsid w:val="00417E17"/>
    <w:rsid w:val="00417EC7"/>
    <w:rsid w:val="00417F3C"/>
    <w:rsid w:val="004209B0"/>
    <w:rsid w:val="00420F73"/>
    <w:rsid w:val="004211E1"/>
    <w:rsid w:val="00421835"/>
    <w:rsid w:val="004219FA"/>
    <w:rsid w:val="00421DC9"/>
    <w:rsid w:val="004220B9"/>
    <w:rsid w:val="00422217"/>
    <w:rsid w:val="00422325"/>
    <w:rsid w:val="00422559"/>
    <w:rsid w:val="004237F5"/>
    <w:rsid w:val="00423955"/>
    <w:rsid w:val="00423DD2"/>
    <w:rsid w:val="00424A80"/>
    <w:rsid w:val="00424B32"/>
    <w:rsid w:val="00424CBF"/>
    <w:rsid w:val="00424EC3"/>
    <w:rsid w:val="00425161"/>
    <w:rsid w:val="0042526B"/>
    <w:rsid w:val="004252DA"/>
    <w:rsid w:val="00425479"/>
    <w:rsid w:val="00425AD8"/>
    <w:rsid w:val="00425EAA"/>
    <w:rsid w:val="00425FE7"/>
    <w:rsid w:val="004262FA"/>
    <w:rsid w:val="0042682E"/>
    <w:rsid w:val="00426B11"/>
    <w:rsid w:val="00426F11"/>
    <w:rsid w:val="00426F8D"/>
    <w:rsid w:val="0042740D"/>
    <w:rsid w:val="00427793"/>
    <w:rsid w:val="004304A2"/>
    <w:rsid w:val="00430BEF"/>
    <w:rsid w:val="004311B6"/>
    <w:rsid w:val="004314E1"/>
    <w:rsid w:val="004319FE"/>
    <w:rsid w:val="00431BC2"/>
    <w:rsid w:val="00432225"/>
    <w:rsid w:val="00432278"/>
    <w:rsid w:val="00432DAF"/>
    <w:rsid w:val="004330F7"/>
    <w:rsid w:val="004331C6"/>
    <w:rsid w:val="004333EE"/>
    <w:rsid w:val="00433958"/>
    <w:rsid w:val="004339CA"/>
    <w:rsid w:val="00433B77"/>
    <w:rsid w:val="00433BFA"/>
    <w:rsid w:val="00433DA8"/>
    <w:rsid w:val="0043419B"/>
    <w:rsid w:val="00434665"/>
    <w:rsid w:val="004348EB"/>
    <w:rsid w:val="0043499D"/>
    <w:rsid w:val="00434C0E"/>
    <w:rsid w:val="00434FDD"/>
    <w:rsid w:val="0043524F"/>
    <w:rsid w:val="00435914"/>
    <w:rsid w:val="00435957"/>
    <w:rsid w:val="00435BE1"/>
    <w:rsid w:val="004360BB"/>
    <w:rsid w:val="004360D3"/>
    <w:rsid w:val="004362F9"/>
    <w:rsid w:val="0043650F"/>
    <w:rsid w:val="00436E41"/>
    <w:rsid w:val="00436FEE"/>
    <w:rsid w:val="004370FB"/>
    <w:rsid w:val="00437869"/>
    <w:rsid w:val="004378C5"/>
    <w:rsid w:val="00437B14"/>
    <w:rsid w:val="00440024"/>
    <w:rsid w:val="00440100"/>
    <w:rsid w:val="0044062D"/>
    <w:rsid w:val="004409BA"/>
    <w:rsid w:val="00440DF2"/>
    <w:rsid w:val="00441008"/>
    <w:rsid w:val="00441157"/>
    <w:rsid w:val="0044122B"/>
    <w:rsid w:val="0044148C"/>
    <w:rsid w:val="00441571"/>
    <w:rsid w:val="0044165D"/>
    <w:rsid w:val="00441A7A"/>
    <w:rsid w:val="0044258D"/>
    <w:rsid w:val="00442967"/>
    <w:rsid w:val="00442B85"/>
    <w:rsid w:val="00442D2B"/>
    <w:rsid w:val="00442ED6"/>
    <w:rsid w:val="00443360"/>
    <w:rsid w:val="0044344D"/>
    <w:rsid w:val="00443454"/>
    <w:rsid w:val="00443850"/>
    <w:rsid w:val="00443A64"/>
    <w:rsid w:val="00443AC6"/>
    <w:rsid w:val="00443CA4"/>
    <w:rsid w:val="00443DD9"/>
    <w:rsid w:val="00444131"/>
    <w:rsid w:val="004441B6"/>
    <w:rsid w:val="00444263"/>
    <w:rsid w:val="0044432B"/>
    <w:rsid w:val="00444685"/>
    <w:rsid w:val="004453C8"/>
    <w:rsid w:val="004455A4"/>
    <w:rsid w:val="004463A5"/>
    <w:rsid w:val="00446D8E"/>
    <w:rsid w:val="00446F8E"/>
    <w:rsid w:val="004470A9"/>
    <w:rsid w:val="004473C9"/>
    <w:rsid w:val="004475EF"/>
    <w:rsid w:val="004476E0"/>
    <w:rsid w:val="004478F2"/>
    <w:rsid w:val="00447BFB"/>
    <w:rsid w:val="0045039D"/>
    <w:rsid w:val="00450421"/>
    <w:rsid w:val="0045070E"/>
    <w:rsid w:val="00450A0D"/>
    <w:rsid w:val="00450B02"/>
    <w:rsid w:val="00450B9D"/>
    <w:rsid w:val="00450C0D"/>
    <w:rsid w:val="00450EC6"/>
    <w:rsid w:val="00450F5B"/>
    <w:rsid w:val="00450F5E"/>
    <w:rsid w:val="00450FE0"/>
    <w:rsid w:val="004515D2"/>
    <w:rsid w:val="00451DF2"/>
    <w:rsid w:val="00452DB2"/>
    <w:rsid w:val="004532BA"/>
    <w:rsid w:val="004537E6"/>
    <w:rsid w:val="00453A1A"/>
    <w:rsid w:val="00453A99"/>
    <w:rsid w:val="00453AFA"/>
    <w:rsid w:val="00453E75"/>
    <w:rsid w:val="00453FA1"/>
    <w:rsid w:val="0045404A"/>
    <w:rsid w:val="00454223"/>
    <w:rsid w:val="00454C34"/>
    <w:rsid w:val="00454D8E"/>
    <w:rsid w:val="0045538E"/>
    <w:rsid w:val="004553DD"/>
    <w:rsid w:val="004557E5"/>
    <w:rsid w:val="00455933"/>
    <w:rsid w:val="00455D99"/>
    <w:rsid w:val="00455E0E"/>
    <w:rsid w:val="00456E68"/>
    <w:rsid w:val="004570C6"/>
    <w:rsid w:val="00457499"/>
    <w:rsid w:val="00457776"/>
    <w:rsid w:val="00457884"/>
    <w:rsid w:val="004579AF"/>
    <w:rsid w:val="00457BE7"/>
    <w:rsid w:val="00457C2B"/>
    <w:rsid w:val="00457E38"/>
    <w:rsid w:val="00460102"/>
    <w:rsid w:val="004602A9"/>
    <w:rsid w:val="0046098D"/>
    <w:rsid w:val="00460FEA"/>
    <w:rsid w:val="004613E5"/>
    <w:rsid w:val="00461686"/>
    <w:rsid w:val="00461689"/>
    <w:rsid w:val="00461739"/>
    <w:rsid w:val="0046189C"/>
    <w:rsid w:val="00461C57"/>
    <w:rsid w:val="00461CFD"/>
    <w:rsid w:val="00461D4F"/>
    <w:rsid w:val="00462781"/>
    <w:rsid w:val="004627F3"/>
    <w:rsid w:val="00462836"/>
    <w:rsid w:val="0046287E"/>
    <w:rsid w:val="00462FC0"/>
    <w:rsid w:val="0046337A"/>
    <w:rsid w:val="0046367A"/>
    <w:rsid w:val="0046415F"/>
    <w:rsid w:val="0046423F"/>
    <w:rsid w:val="00464458"/>
    <w:rsid w:val="0046457A"/>
    <w:rsid w:val="00464582"/>
    <w:rsid w:val="004648B1"/>
    <w:rsid w:val="00464E2F"/>
    <w:rsid w:val="00464F2D"/>
    <w:rsid w:val="004650AF"/>
    <w:rsid w:val="004651AB"/>
    <w:rsid w:val="004655CF"/>
    <w:rsid w:val="004659D6"/>
    <w:rsid w:val="0046606F"/>
    <w:rsid w:val="0046620E"/>
    <w:rsid w:val="0046622F"/>
    <w:rsid w:val="004665E3"/>
    <w:rsid w:val="004667D4"/>
    <w:rsid w:val="004668DB"/>
    <w:rsid w:val="00466D8B"/>
    <w:rsid w:val="00466E78"/>
    <w:rsid w:val="00467180"/>
    <w:rsid w:val="004671E3"/>
    <w:rsid w:val="0046795B"/>
    <w:rsid w:val="004707E8"/>
    <w:rsid w:val="00470849"/>
    <w:rsid w:val="00470A20"/>
    <w:rsid w:val="00470D64"/>
    <w:rsid w:val="00470E74"/>
    <w:rsid w:val="00470F19"/>
    <w:rsid w:val="00471086"/>
    <w:rsid w:val="00471290"/>
    <w:rsid w:val="004713E0"/>
    <w:rsid w:val="0047141F"/>
    <w:rsid w:val="00471466"/>
    <w:rsid w:val="004714A0"/>
    <w:rsid w:val="00471C3A"/>
    <w:rsid w:val="00471E1F"/>
    <w:rsid w:val="0047277B"/>
    <w:rsid w:val="00472978"/>
    <w:rsid w:val="00472A56"/>
    <w:rsid w:val="00472C72"/>
    <w:rsid w:val="00472CD4"/>
    <w:rsid w:val="00472FE6"/>
    <w:rsid w:val="004737DA"/>
    <w:rsid w:val="0047413D"/>
    <w:rsid w:val="00474278"/>
    <w:rsid w:val="004746C3"/>
    <w:rsid w:val="004749A0"/>
    <w:rsid w:val="00474ADB"/>
    <w:rsid w:val="00474BDA"/>
    <w:rsid w:val="00474F31"/>
    <w:rsid w:val="0047503C"/>
    <w:rsid w:val="00475511"/>
    <w:rsid w:val="004756C6"/>
    <w:rsid w:val="00475725"/>
    <w:rsid w:val="0047586B"/>
    <w:rsid w:val="0047589F"/>
    <w:rsid w:val="00475998"/>
    <w:rsid w:val="00475FDB"/>
    <w:rsid w:val="00476251"/>
    <w:rsid w:val="00476620"/>
    <w:rsid w:val="00476764"/>
    <w:rsid w:val="00476A00"/>
    <w:rsid w:val="00476BCA"/>
    <w:rsid w:val="00476E7E"/>
    <w:rsid w:val="00476FCC"/>
    <w:rsid w:val="00477098"/>
    <w:rsid w:val="004771BE"/>
    <w:rsid w:val="0047764E"/>
    <w:rsid w:val="00480036"/>
    <w:rsid w:val="00480580"/>
    <w:rsid w:val="004805D0"/>
    <w:rsid w:val="00480DB3"/>
    <w:rsid w:val="004811E8"/>
    <w:rsid w:val="004811F6"/>
    <w:rsid w:val="00481369"/>
    <w:rsid w:val="00481A24"/>
    <w:rsid w:val="004820CA"/>
    <w:rsid w:val="00482529"/>
    <w:rsid w:val="00482590"/>
    <w:rsid w:val="00482656"/>
    <w:rsid w:val="00482DCE"/>
    <w:rsid w:val="00482DF3"/>
    <w:rsid w:val="00482EB4"/>
    <w:rsid w:val="00483257"/>
    <w:rsid w:val="004834E5"/>
    <w:rsid w:val="00483542"/>
    <w:rsid w:val="004841D3"/>
    <w:rsid w:val="00484306"/>
    <w:rsid w:val="0048472B"/>
    <w:rsid w:val="0048482A"/>
    <w:rsid w:val="00484DE1"/>
    <w:rsid w:val="00484EF4"/>
    <w:rsid w:val="00484FC3"/>
    <w:rsid w:val="0048509C"/>
    <w:rsid w:val="00485170"/>
    <w:rsid w:val="00485240"/>
    <w:rsid w:val="00485401"/>
    <w:rsid w:val="0048545A"/>
    <w:rsid w:val="0048593A"/>
    <w:rsid w:val="00485CBA"/>
    <w:rsid w:val="004861C1"/>
    <w:rsid w:val="00486E06"/>
    <w:rsid w:val="00486F71"/>
    <w:rsid w:val="00487009"/>
    <w:rsid w:val="00487243"/>
    <w:rsid w:val="0048731D"/>
    <w:rsid w:val="00487459"/>
    <w:rsid w:val="00487733"/>
    <w:rsid w:val="00487B8B"/>
    <w:rsid w:val="00487D52"/>
    <w:rsid w:val="00487EF5"/>
    <w:rsid w:val="00487F2E"/>
    <w:rsid w:val="00490349"/>
    <w:rsid w:val="0049050A"/>
    <w:rsid w:val="004909B3"/>
    <w:rsid w:val="004909E5"/>
    <w:rsid w:val="00490F00"/>
    <w:rsid w:val="00491460"/>
    <w:rsid w:val="004914A6"/>
    <w:rsid w:val="0049170B"/>
    <w:rsid w:val="00491CD5"/>
    <w:rsid w:val="00491E61"/>
    <w:rsid w:val="004923C1"/>
    <w:rsid w:val="00492B10"/>
    <w:rsid w:val="00492CD3"/>
    <w:rsid w:val="00492E6D"/>
    <w:rsid w:val="00493813"/>
    <w:rsid w:val="00493ABB"/>
    <w:rsid w:val="00493D80"/>
    <w:rsid w:val="00493FA0"/>
    <w:rsid w:val="00494210"/>
    <w:rsid w:val="0049440B"/>
    <w:rsid w:val="004953AD"/>
    <w:rsid w:val="004955F7"/>
    <w:rsid w:val="00495D4C"/>
    <w:rsid w:val="00496086"/>
    <w:rsid w:val="004967AD"/>
    <w:rsid w:val="004969EA"/>
    <w:rsid w:val="00496C4E"/>
    <w:rsid w:val="00496DDB"/>
    <w:rsid w:val="00496F53"/>
    <w:rsid w:val="00496FF1"/>
    <w:rsid w:val="004977DE"/>
    <w:rsid w:val="004A02D2"/>
    <w:rsid w:val="004A06E1"/>
    <w:rsid w:val="004A06EB"/>
    <w:rsid w:val="004A0A01"/>
    <w:rsid w:val="004A104E"/>
    <w:rsid w:val="004A11E9"/>
    <w:rsid w:val="004A1989"/>
    <w:rsid w:val="004A1A34"/>
    <w:rsid w:val="004A1AE9"/>
    <w:rsid w:val="004A1E79"/>
    <w:rsid w:val="004A22C1"/>
    <w:rsid w:val="004A2534"/>
    <w:rsid w:val="004A26CF"/>
    <w:rsid w:val="004A3295"/>
    <w:rsid w:val="004A36DF"/>
    <w:rsid w:val="004A39CE"/>
    <w:rsid w:val="004A3A18"/>
    <w:rsid w:val="004A3D68"/>
    <w:rsid w:val="004A40F9"/>
    <w:rsid w:val="004A41E7"/>
    <w:rsid w:val="004A43EC"/>
    <w:rsid w:val="004A4561"/>
    <w:rsid w:val="004A472F"/>
    <w:rsid w:val="004A4798"/>
    <w:rsid w:val="004A4C83"/>
    <w:rsid w:val="004A5CCB"/>
    <w:rsid w:val="004A5D3C"/>
    <w:rsid w:val="004A5EF5"/>
    <w:rsid w:val="004A5F6E"/>
    <w:rsid w:val="004A6238"/>
    <w:rsid w:val="004A63B9"/>
    <w:rsid w:val="004A66A1"/>
    <w:rsid w:val="004A683E"/>
    <w:rsid w:val="004A6905"/>
    <w:rsid w:val="004A6DDC"/>
    <w:rsid w:val="004A7BC4"/>
    <w:rsid w:val="004A7BE8"/>
    <w:rsid w:val="004A7C1B"/>
    <w:rsid w:val="004B0BC8"/>
    <w:rsid w:val="004B0C08"/>
    <w:rsid w:val="004B0DBF"/>
    <w:rsid w:val="004B0EB3"/>
    <w:rsid w:val="004B101F"/>
    <w:rsid w:val="004B10EA"/>
    <w:rsid w:val="004B10F3"/>
    <w:rsid w:val="004B1B07"/>
    <w:rsid w:val="004B2454"/>
    <w:rsid w:val="004B2860"/>
    <w:rsid w:val="004B297C"/>
    <w:rsid w:val="004B2C44"/>
    <w:rsid w:val="004B2CFE"/>
    <w:rsid w:val="004B3592"/>
    <w:rsid w:val="004B3CFE"/>
    <w:rsid w:val="004B3DFD"/>
    <w:rsid w:val="004B3E66"/>
    <w:rsid w:val="004B41BA"/>
    <w:rsid w:val="004B421E"/>
    <w:rsid w:val="004B4575"/>
    <w:rsid w:val="004B45F2"/>
    <w:rsid w:val="004B557D"/>
    <w:rsid w:val="004B573A"/>
    <w:rsid w:val="004B5B25"/>
    <w:rsid w:val="004B5B67"/>
    <w:rsid w:val="004B5C81"/>
    <w:rsid w:val="004B66F2"/>
    <w:rsid w:val="004B68E4"/>
    <w:rsid w:val="004B69EA"/>
    <w:rsid w:val="004B732E"/>
    <w:rsid w:val="004B734C"/>
    <w:rsid w:val="004B7695"/>
    <w:rsid w:val="004B7726"/>
    <w:rsid w:val="004B78F4"/>
    <w:rsid w:val="004B7A30"/>
    <w:rsid w:val="004B7C17"/>
    <w:rsid w:val="004C06A6"/>
    <w:rsid w:val="004C07DC"/>
    <w:rsid w:val="004C0894"/>
    <w:rsid w:val="004C0E57"/>
    <w:rsid w:val="004C0F0D"/>
    <w:rsid w:val="004C0F2E"/>
    <w:rsid w:val="004C11A3"/>
    <w:rsid w:val="004C11D8"/>
    <w:rsid w:val="004C147A"/>
    <w:rsid w:val="004C1E8A"/>
    <w:rsid w:val="004C20E2"/>
    <w:rsid w:val="004C21C2"/>
    <w:rsid w:val="004C271D"/>
    <w:rsid w:val="004C29B5"/>
    <w:rsid w:val="004C388B"/>
    <w:rsid w:val="004C38F3"/>
    <w:rsid w:val="004C3C7B"/>
    <w:rsid w:val="004C4029"/>
    <w:rsid w:val="004C4201"/>
    <w:rsid w:val="004C4785"/>
    <w:rsid w:val="004C4889"/>
    <w:rsid w:val="004C494B"/>
    <w:rsid w:val="004C4982"/>
    <w:rsid w:val="004C4E09"/>
    <w:rsid w:val="004C508B"/>
    <w:rsid w:val="004C5493"/>
    <w:rsid w:val="004C59BF"/>
    <w:rsid w:val="004C5CFB"/>
    <w:rsid w:val="004C5FA0"/>
    <w:rsid w:val="004C6265"/>
    <w:rsid w:val="004C62A7"/>
    <w:rsid w:val="004C62C6"/>
    <w:rsid w:val="004C6515"/>
    <w:rsid w:val="004C6635"/>
    <w:rsid w:val="004C6EB9"/>
    <w:rsid w:val="004C70C2"/>
    <w:rsid w:val="004C74AA"/>
    <w:rsid w:val="004C7DF1"/>
    <w:rsid w:val="004D003B"/>
    <w:rsid w:val="004D01AE"/>
    <w:rsid w:val="004D064B"/>
    <w:rsid w:val="004D09BC"/>
    <w:rsid w:val="004D0C8B"/>
    <w:rsid w:val="004D14D4"/>
    <w:rsid w:val="004D16A2"/>
    <w:rsid w:val="004D1887"/>
    <w:rsid w:val="004D1A83"/>
    <w:rsid w:val="004D1FAC"/>
    <w:rsid w:val="004D2326"/>
    <w:rsid w:val="004D33F0"/>
    <w:rsid w:val="004D3EE1"/>
    <w:rsid w:val="004D4050"/>
    <w:rsid w:val="004D428C"/>
    <w:rsid w:val="004D42F9"/>
    <w:rsid w:val="004D4A42"/>
    <w:rsid w:val="004D4B76"/>
    <w:rsid w:val="004D520C"/>
    <w:rsid w:val="004D5561"/>
    <w:rsid w:val="004D58A2"/>
    <w:rsid w:val="004D59BC"/>
    <w:rsid w:val="004D5C37"/>
    <w:rsid w:val="004D5CE9"/>
    <w:rsid w:val="004D5CF1"/>
    <w:rsid w:val="004D5EE5"/>
    <w:rsid w:val="004D657A"/>
    <w:rsid w:val="004D6766"/>
    <w:rsid w:val="004D6B37"/>
    <w:rsid w:val="004D6B80"/>
    <w:rsid w:val="004D6E7E"/>
    <w:rsid w:val="004D6F9A"/>
    <w:rsid w:val="004D7404"/>
    <w:rsid w:val="004D751F"/>
    <w:rsid w:val="004D760C"/>
    <w:rsid w:val="004D7664"/>
    <w:rsid w:val="004E01A4"/>
    <w:rsid w:val="004E0224"/>
    <w:rsid w:val="004E0228"/>
    <w:rsid w:val="004E096A"/>
    <w:rsid w:val="004E0CF9"/>
    <w:rsid w:val="004E1046"/>
    <w:rsid w:val="004E10A6"/>
    <w:rsid w:val="004E21AB"/>
    <w:rsid w:val="004E228B"/>
    <w:rsid w:val="004E25D4"/>
    <w:rsid w:val="004E2984"/>
    <w:rsid w:val="004E3077"/>
    <w:rsid w:val="004E383C"/>
    <w:rsid w:val="004E3A66"/>
    <w:rsid w:val="004E3BA5"/>
    <w:rsid w:val="004E3DF5"/>
    <w:rsid w:val="004E4219"/>
    <w:rsid w:val="004E47A3"/>
    <w:rsid w:val="004E48C2"/>
    <w:rsid w:val="004E4E4D"/>
    <w:rsid w:val="004E51ED"/>
    <w:rsid w:val="004E5396"/>
    <w:rsid w:val="004E574C"/>
    <w:rsid w:val="004E595A"/>
    <w:rsid w:val="004E5ABE"/>
    <w:rsid w:val="004E6270"/>
    <w:rsid w:val="004E6E2F"/>
    <w:rsid w:val="004E71AD"/>
    <w:rsid w:val="004E71E8"/>
    <w:rsid w:val="004E75C7"/>
    <w:rsid w:val="004E787E"/>
    <w:rsid w:val="004E79D9"/>
    <w:rsid w:val="004E7A07"/>
    <w:rsid w:val="004E7A2C"/>
    <w:rsid w:val="004E7D3D"/>
    <w:rsid w:val="004E7DBC"/>
    <w:rsid w:val="004E7F81"/>
    <w:rsid w:val="004F0218"/>
    <w:rsid w:val="004F02C3"/>
    <w:rsid w:val="004F06FA"/>
    <w:rsid w:val="004F0870"/>
    <w:rsid w:val="004F0E40"/>
    <w:rsid w:val="004F0E66"/>
    <w:rsid w:val="004F1074"/>
    <w:rsid w:val="004F13E2"/>
    <w:rsid w:val="004F1B7A"/>
    <w:rsid w:val="004F2418"/>
    <w:rsid w:val="004F2737"/>
    <w:rsid w:val="004F29E6"/>
    <w:rsid w:val="004F2AC2"/>
    <w:rsid w:val="004F2AEF"/>
    <w:rsid w:val="004F2E0D"/>
    <w:rsid w:val="004F428C"/>
    <w:rsid w:val="004F455A"/>
    <w:rsid w:val="004F4C8F"/>
    <w:rsid w:val="004F4E7C"/>
    <w:rsid w:val="004F5775"/>
    <w:rsid w:val="004F597D"/>
    <w:rsid w:val="004F5B53"/>
    <w:rsid w:val="004F5BC8"/>
    <w:rsid w:val="004F5DA4"/>
    <w:rsid w:val="004F603E"/>
    <w:rsid w:val="004F6B9C"/>
    <w:rsid w:val="004F7641"/>
    <w:rsid w:val="004F79F1"/>
    <w:rsid w:val="004F7D20"/>
    <w:rsid w:val="00500535"/>
    <w:rsid w:val="0050084A"/>
    <w:rsid w:val="00500985"/>
    <w:rsid w:val="00500C85"/>
    <w:rsid w:val="00501B7F"/>
    <w:rsid w:val="00501CB9"/>
    <w:rsid w:val="00502019"/>
    <w:rsid w:val="005021B3"/>
    <w:rsid w:val="005025AC"/>
    <w:rsid w:val="005027CE"/>
    <w:rsid w:val="0050281D"/>
    <w:rsid w:val="00502960"/>
    <w:rsid w:val="00502A3A"/>
    <w:rsid w:val="00502CBF"/>
    <w:rsid w:val="00502CE4"/>
    <w:rsid w:val="00502D72"/>
    <w:rsid w:val="005033CC"/>
    <w:rsid w:val="005035EF"/>
    <w:rsid w:val="00503E2A"/>
    <w:rsid w:val="005046D2"/>
    <w:rsid w:val="00504884"/>
    <w:rsid w:val="00504AE4"/>
    <w:rsid w:val="00504D1B"/>
    <w:rsid w:val="00504D71"/>
    <w:rsid w:val="00505309"/>
    <w:rsid w:val="00505B1F"/>
    <w:rsid w:val="00505E73"/>
    <w:rsid w:val="00505EB1"/>
    <w:rsid w:val="005061AE"/>
    <w:rsid w:val="005063F2"/>
    <w:rsid w:val="00506458"/>
    <w:rsid w:val="0050670D"/>
    <w:rsid w:val="00506775"/>
    <w:rsid w:val="005069E5"/>
    <w:rsid w:val="005069FB"/>
    <w:rsid w:val="00507095"/>
    <w:rsid w:val="00507B0A"/>
    <w:rsid w:val="005104BA"/>
    <w:rsid w:val="00510D40"/>
    <w:rsid w:val="00510D62"/>
    <w:rsid w:val="00510FC4"/>
    <w:rsid w:val="005112A3"/>
    <w:rsid w:val="005112E2"/>
    <w:rsid w:val="00511902"/>
    <w:rsid w:val="00511C1D"/>
    <w:rsid w:val="00511C5A"/>
    <w:rsid w:val="00511DFB"/>
    <w:rsid w:val="005122C5"/>
    <w:rsid w:val="00512A0E"/>
    <w:rsid w:val="00513185"/>
    <w:rsid w:val="005131EB"/>
    <w:rsid w:val="005134DA"/>
    <w:rsid w:val="00513651"/>
    <w:rsid w:val="00513D5C"/>
    <w:rsid w:val="0051428B"/>
    <w:rsid w:val="00514566"/>
    <w:rsid w:val="00514571"/>
    <w:rsid w:val="005146B8"/>
    <w:rsid w:val="005148BD"/>
    <w:rsid w:val="00514B6B"/>
    <w:rsid w:val="0051563A"/>
    <w:rsid w:val="005157D0"/>
    <w:rsid w:val="005162FC"/>
    <w:rsid w:val="00516586"/>
    <w:rsid w:val="00516A67"/>
    <w:rsid w:val="00516DBD"/>
    <w:rsid w:val="00516F0D"/>
    <w:rsid w:val="00516F9D"/>
    <w:rsid w:val="005175B4"/>
    <w:rsid w:val="005176C4"/>
    <w:rsid w:val="00517A5F"/>
    <w:rsid w:val="00517B2B"/>
    <w:rsid w:val="00517D18"/>
    <w:rsid w:val="00517D3B"/>
    <w:rsid w:val="00517D83"/>
    <w:rsid w:val="00520612"/>
    <w:rsid w:val="0052068E"/>
    <w:rsid w:val="005206FC"/>
    <w:rsid w:val="00520916"/>
    <w:rsid w:val="0052105E"/>
    <w:rsid w:val="005210A3"/>
    <w:rsid w:val="0052145F"/>
    <w:rsid w:val="00521529"/>
    <w:rsid w:val="0052169A"/>
    <w:rsid w:val="005216DE"/>
    <w:rsid w:val="00521AC7"/>
    <w:rsid w:val="00521E72"/>
    <w:rsid w:val="005227E6"/>
    <w:rsid w:val="00522A83"/>
    <w:rsid w:val="00522C26"/>
    <w:rsid w:val="00522C7B"/>
    <w:rsid w:val="00522E9D"/>
    <w:rsid w:val="00522F87"/>
    <w:rsid w:val="0052386F"/>
    <w:rsid w:val="0052388D"/>
    <w:rsid w:val="0052392D"/>
    <w:rsid w:val="00523CFB"/>
    <w:rsid w:val="0052403E"/>
    <w:rsid w:val="00524384"/>
    <w:rsid w:val="00524753"/>
    <w:rsid w:val="0052479F"/>
    <w:rsid w:val="005249A1"/>
    <w:rsid w:val="00524ECB"/>
    <w:rsid w:val="0052522C"/>
    <w:rsid w:val="00525365"/>
    <w:rsid w:val="005253CF"/>
    <w:rsid w:val="00525847"/>
    <w:rsid w:val="00525D5D"/>
    <w:rsid w:val="00525E2B"/>
    <w:rsid w:val="0052640E"/>
    <w:rsid w:val="005264CF"/>
    <w:rsid w:val="00526535"/>
    <w:rsid w:val="0052678B"/>
    <w:rsid w:val="005267AD"/>
    <w:rsid w:val="005268BC"/>
    <w:rsid w:val="00526ED8"/>
    <w:rsid w:val="005276D6"/>
    <w:rsid w:val="00527A29"/>
    <w:rsid w:val="00527A5D"/>
    <w:rsid w:val="00527BE7"/>
    <w:rsid w:val="00527DF9"/>
    <w:rsid w:val="00530125"/>
    <w:rsid w:val="00530294"/>
    <w:rsid w:val="00530400"/>
    <w:rsid w:val="00530A93"/>
    <w:rsid w:val="00530CCC"/>
    <w:rsid w:val="00530F84"/>
    <w:rsid w:val="00530FF8"/>
    <w:rsid w:val="005314D4"/>
    <w:rsid w:val="005316E1"/>
    <w:rsid w:val="00531964"/>
    <w:rsid w:val="00531A38"/>
    <w:rsid w:val="0053212D"/>
    <w:rsid w:val="00532A31"/>
    <w:rsid w:val="00532AF8"/>
    <w:rsid w:val="00532D33"/>
    <w:rsid w:val="00533146"/>
    <w:rsid w:val="00533633"/>
    <w:rsid w:val="00533C9E"/>
    <w:rsid w:val="00533D57"/>
    <w:rsid w:val="00533EF6"/>
    <w:rsid w:val="00533FDC"/>
    <w:rsid w:val="00534028"/>
    <w:rsid w:val="00534406"/>
    <w:rsid w:val="005345D0"/>
    <w:rsid w:val="00534717"/>
    <w:rsid w:val="00534744"/>
    <w:rsid w:val="00534BAD"/>
    <w:rsid w:val="00535109"/>
    <w:rsid w:val="0053533C"/>
    <w:rsid w:val="00535348"/>
    <w:rsid w:val="00535E86"/>
    <w:rsid w:val="005365EC"/>
    <w:rsid w:val="005369B8"/>
    <w:rsid w:val="00536DB8"/>
    <w:rsid w:val="00537EBD"/>
    <w:rsid w:val="0054021B"/>
    <w:rsid w:val="005409FD"/>
    <w:rsid w:val="00540B5D"/>
    <w:rsid w:val="00540D14"/>
    <w:rsid w:val="00540DA3"/>
    <w:rsid w:val="00541772"/>
    <w:rsid w:val="0054216B"/>
    <w:rsid w:val="00542383"/>
    <w:rsid w:val="00542A8C"/>
    <w:rsid w:val="00542D9F"/>
    <w:rsid w:val="0054329B"/>
    <w:rsid w:val="005439BC"/>
    <w:rsid w:val="00543A22"/>
    <w:rsid w:val="00543F55"/>
    <w:rsid w:val="005446AF"/>
    <w:rsid w:val="005446C7"/>
    <w:rsid w:val="005446CB"/>
    <w:rsid w:val="005448C0"/>
    <w:rsid w:val="00545197"/>
    <w:rsid w:val="00545791"/>
    <w:rsid w:val="0054591C"/>
    <w:rsid w:val="00545A44"/>
    <w:rsid w:val="00545D87"/>
    <w:rsid w:val="005460E7"/>
    <w:rsid w:val="00546433"/>
    <w:rsid w:val="00546468"/>
    <w:rsid w:val="00546B7E"/>
    <w:rsid w:val="00546D34"/>
    <w:rsid w:val="00546DF4"/>
    <w:rsid w:val="005473EF"/>
    <w:rsid w:val="005477EF"/>
    <w:rsid w:val="00547CCC"/>
    <w:rsid w:val="00547D59"/>
    <w:rsid w:val="00547D77"/>
    <w:rsid w:val="00547E4A"/>
    <w:rsid w:val="005501C7"/>
    <w:rsid w:val="00550AA3"/>
    <w:rsid w:val="00551121"/>
    <w:rsid w:val="00551205"/>
    <w:rsid w:val="0055139C"/>
    <w:rsid w:val="00551471"/>
    <w:rsid w:val="005515BC"/>
    <w:rsid w:val="00551CCF"/>
    <w:rsid w:val="00551D91"/>
    <w:rsid w:val="0055219A"/>
    <w:rsid w:val="005523CA"/>
    <w:rsid w:val="0055240B"/>
    <w:rsid w:val="005524D2"/>
    <w:rsid w:val="00552A56"/>
    <w:rsid w:val="00552BB8"/>
    <w:rsid w:val="00552DD3"/>
    <w:rsid w:val="005530D9"/>
    <w:rsid w:val="00553173"/>
    <w:rsid w:val="0055319C"/>
    <w:rsid w:val="005531C7"/>
    <w:rsid w:val="0055338A"/>
    <w:rsid w:val="00553757"/>
    <w:rsid w:val="00553893"/>
    <w:rsid w:val="00553CA8"/>
    <w:rsid w:val="005540EC"/>
    <w:rsid w:val="00554192"/>
    <w:rsid w:val="00554529"/>
    <w:rsid w:val="00554A1C"/>
    <w:rsid w:val="00554D78"/>
    <w:rsid w:val="0055539D"/>
    <w:rsid w:val="005553B5"/>
    <w:rsid w:val="0055583F"/>
    <w:rsid w:val="00555AFC"/>
    <w:rsid w:val="005562DC"/>
    <w:rsid w:val="0055669C"/>
    <w:rsid w:val="00557739"/>
    <w:rsid w:val="00557744"/>
    <w:rsid w:val="00557B58"/>
    <w:rsid w:val="005603C7"/>
    <w:rsid w:val="0056091A"/>
    <w:rsid w:val="00560DBF"/>
    <w:rsid w:val="005611A9"/>
    <w:rsid w:val="00561822"/>
    <w:rsid w:val="00561C57"/>
    <w:rsid w:val="00561D6C"/>
    <w:rsid w:val="0056213D"/>
    <w:rsid w:val="00562282"/>
    <w:rsid w:val="00562800"/>
    <w:rsid w:val="005628FC"/>
    <w:rsid w:val="0056294B"/>
    <w:rsid w:val="00562D89"/>
    <w:rsid w:val="00562E56"/>
    <w:rsid w:val="005632AF"/>
    <w:rsid w:val="00563425"/>
    <w:rsid w:val="0056348C"/>
    <w:rsid w:val="005634DC"/>
    <w:rsid w:val="005639DF"/>
    <w:rsid w:val="00563A1D"/>
    <w:rsid w:val="00563B44"/>
    <w:rsid w:val="00564236"/>
    <w:rsid w:val="0056425B"/>
    <w:rsid w:val="0056429B"/>
    <w:rsid w:val="00564381"/>
    <w:rsid w:val="005643DD"/>
    <w:rsid w:val="00564BD4"/>
    <w:rsid w:val="00564D1C"/>
    <w:rsid w:val="00564DAB"/>
    <w:rsid w:val="00564DC4"/>
    <w:rsid w:val="00564DF5"/>
    <w:rsid w:val="00564F1A"/>
    <w:rsid w:val="00565101"/>
    <w:rsid w:val="005652F3"/>
    <w:rsid w:val="005659F4"/>
    <w:rsid w:val="00565D2D"/>
    <w:rsid w:val="00565D43"/>
    <w:rsid w:val="00565DED"/>
    <w:rsid w:val="00565F50"/>
    <w:rsid w:val="00566162"/>
    <w:rsid w:val="005662B2"/>
    <w:rsid w:val="00566934"/>
    <w:rsid w:val="005669E5"/>
    <w:rsid w:val="005669EC"/>
    <w:rsid w:val="00566A2C"/>
    <w:rsid w:val="00566CAB"/>
    <w:rsid w:val="00566E71"/>
    <w:rsid w:val="0056705D"/>
    <w:rsid w:val="0056737E"/>
    <w:rsid w:val="005673AA"/>
    <w:rsid w:val="005677B8"/>
    <w:rsid w:val="005677EF"/>
    <w:rsid w:val="00567912"/>
    <w:rsid w:val="00567A95"/>
    <w:rsid w:val="00567C6B"/>
    <w:rsid w:val="00570268"/>
    <w:rsid w:val="005703A9"/>
    <w:rsid w:val="00570590"/>
    <w:rsid w:val="0057083A"/>
    <w:rsid w:val="00570932"/>
    <w:rsid w:val="005709EF"/>
    <w:rsid w:val="00571773"/>
    <w:rsid w:val="00571B16"/>
    <w:rsid w:val="00571C3B"/>
    <w:rsid w:val="0057203C"/>
    <w:rsid w:val="0057250E"/>
    <w:rsid w:val="005729BF"/>
    <w:rsid w:val="00572C3C"/>
    <w:rsid w:val="005737B4"/>
    <w:rsid w:val="005746DC"/>
    <w:rsid w:val="0057474C"/>
    <w:rsid w:val="00574CAD"/>
    <w:rsid w:val="00574FA9"/>
    <w:rsid w:val="00575C55"/>
    <w:rsid w:val="00575DB7"/>
    <w:rsid w:val="00575F2D"/>
    <w:rsid w:val="00576150"/>
    <w:rsid w:val="00576356"/>
    <w:rsid w:val="005766BA"/>
    <w:rsid w:val="00576720"/>
    <w:rsid w:val="00576A47"/>
    <w:rsid w:val="00576CB8"/>
    <w:rsid w:val="00576D24"/>
    <w:rsid w:val="0057777C"/>
    <w:rsid w:val="00577809"/>
    <w:rsid w:val="00577BF5"/>
    <w:rsid w:val="00580367"/>
    <w:rsid w:val="00580709"/>
    <w:rsid w:val="00580D4C"/>
    <w:rsid w:val="00580D82"/>
    <w:rsid w:val="005811D2"/>
    <w:rsid w:val="005815DE"/>
    <w:rsid w:val="00581611"/>
    <w:rsid w:val="00581925"/>
    <w:rsid w:val="00581BE1"/>
    <w:rsid w:val="00581C9A"/>
    <w:rsid w:val="005821F2"/>
    <w:rsid w:val="005823AB"/>
    <w:rsid w:val="00582871"/>
    <w:rsid w:val="005828FE"/>
    <w:rsid w:val="005829F4"/>
    <w:rsid w:val="00583220"/>
    <w:rsid w:val="0058344E"/>
    <w:rsid w:val="005836B8"/>
    <w:rsid w:val="0058392D"/>
    <w:rsid w:val="00583BC1"/>
    <w:rsid w:val="00583FC3"/>
    <w:rsid w:val="005842E0"/>
    <w:rsid w:val="00584474"/>
    <w:rsid w:val="00585390"/>
    <w:rsid w:val="00585433"/>
    <w:rsid w:val="00585C5E"/>
    <w:rsid w:val="0058658B"/>
    <w:rsid w:val="005866D5"/>
    <w:rsid w:val="00586E50"/>
    <w:rsid w:val="005870F7"/>
    <w:rsid w:val="00587426"/>
    <w:rsid w:val="0058769F"/>
    <w:rsid w:val="00590872"/>
    <w:rsid w:val="005911CE"/>
    <w:rsid w:val="00591408"/>
    <w:rsid w:val="00591540"/>
    <w:rsid w:val="0059162F"/>
    <w:rsid w:val="00591754"/>
    <w:rsid w:val="00591A48"/>
    <w:rsid w:val="00591D93"/>
    <w:rsid w:val="00591E0A"/>
    <w:rsid w:val="00591F6F"/>
    <w:rsid w:val="00592290"/>
    <w:rsid w:val="005923FC"/>
    <w:rsid w:val="0059253C"/>
    <w:rsid w:val="00592586"/>
    <w:rsid w:val="00592760"/>
    <w:rsid w:val="00592D98"/>
    <w:rsid w:val="00592DEA"/>
    <w:rsid w:val="00593159"/>
    <w:rsid w:val="005932EC"/>
    <w:rsid w:val="0059399B"/>
    <w:rsid w:val="00593A49"/>
    <w:rsid w:val="00593AE5"/>
    <w:rsid w:val="005940AF"/>
    <w:rsid w:val="00594F2C"/>
    <w:rsid w:val="0059569B"/>
    <w:rsid w:val="005956AB"/>
    <w:rsid w:val="00595BEF"/>
    <w:rsid w:val="00595FF4"/>
    <w:rsid w:val="00596AE6"/>
    <w:rsid w:val="0059712B"/>
    <w:rsid w:val="0059721E"/>
    <w:rsid w:val="00597260"/>
    <w:rsid w:val="0059789F"/>
    <w:rsid w:val="00597B2F"/>
    <w:rsid w:val="00597ED4"/>
    <w:rsid w:val="005A03FC"/>
    <w:rsid w:val="005A0531"/>
    <w:rsid w:val="005A0943"/>
    <w:rsid w:val="005A0D11"/>
    <w:rsid w:val="005A0E08"/>
    <w:rsid w:val="005A1345"/>
    <w:rsid w:val="005A179C"/>
    <w:rsid w:val="005A1E09"/>
    <w:rsid w:val="005A20A8"/>
    <w:rsid w:val="005A2384"/>
    <w:rsid w:val="005A24F5"/>
    <w:rsid w:val="005A26E2"/>
    <w:rsid w:val="005A27B2"/>
    <w:rsid w:val="005A297B"/>
    <w:rsid w:val="005A2C94"/>
    <w:rsid w:val="005A314F"/>
    <w:rsid w:val="005A34E3"/>
    <w:rsid w:val="005A3E59"/>
    <w:rsid w:val="005A4118"/>
    <w:rsid w:val="005A4344"/>
    <w:rsid w:val="005A44DF"/>
    <w:rsid w:val="005A45C1"/>
    <w:rsid w:val="005A4AFA"/>
    <w:rsid w:val="005A4B1D"/>
    <w:rsid w:val="005A4E93"/>
    <w:rsid w:val="005A4F2A"/>
    <w:rsid w:val="005A5746"/>
    <w:rsid w:val="005A5B43"/>
    <w:rsid w:val="005A5FDC"/>
    <w:rsid w:val="005A6639"/>
    <w:rsid w:val="005A6E9D"/>
    <w:rsid w:val="005A747A"/>
    <w:rsid w:val="005A755C"/>
    <w:rsid w:val="005A7563"/>
    <w:rsid w:val="005A77E2"/>
    <w:rsid w:val="005A7904"/>
    <w:rsid w:val="005B06A0"/>
    <w:rsid w:val="005B077C"/>
    <w:rsid w:val="005B07D4"/>
    <w:rsid w:val="005B170E"/>
    <w:rsid w:val="005B19C1"/>
    <w:rsid w:val="005B1B7A"/>
    <w:rsid w:val="005B1EA6"/>
    <w:rsid w:val="005B1FC1"/>
    <w:rsid w:val="005B2105"/>
    <w:rsid w:val="005B2141"/>
    <w:rsid w:val="005B266E"/>
    <w:rsid w:val="005B2F3F"/>
    <w:rsid w:val="005B3177"/>
    <w:rsid w:val="005B3C03"/>
    <w:rsid w:val="005B3CFE"/>
    <w:rsid w:val="005B415F"/>
    <w:rsid w:val="005B440C"/>
    <w:rsid w:val="005B4640"/>
    <w:rsid w:val="005B46A9"/>
    <w:rsid w:val="005B47F9"/>
    <w:rsid w:val="005B49EF"/>
    <w:rsid w:val="005B4B0B"/>
    <w:rsid w:val="005B4E4D"/>
    <w:rsid w:val="005B5458"/>
    <w:rsid w:val="005B5A81"/>
    <w:rsid w:val="005B5C01"/>
    <w:rsid w:val="005B627C"/>
    <w:rsid w:val="005B648B"/>
    <w:rsid w:val="005B669E"/>
    <w:rsid w:val="005B6A2A"/>
    <w:rsid w:val="005B6BB6"/>
    <w:rsid w:val="005B747A"/>
    <w:rsid w:val="005B7980"/>
    <w:rsid w:val="005B7989"/>
    <w:rsid w:val="005B7BCF"/>
    <w:rsid w:val="005B7F0A"/>
    <w:rsid w:val="005C0006"/>
    <w:rsid w:val="005C015A"/>
    <w:rsid w:val="005C056A"/>
    <w:rsid w:val="005C08A1"/>
    <w:rsid w:val="005C0ADF"/>
    <w:rsid w:val="005C0E5C"/>
    <w:rsid w:val="005C133B"/>
    <w:rsid w:val="005C13EC"/>
    <w:rsid w:val="005C15DB"/>
    <w:rsid w:val="005C1ADB"/>
    <w:rsid w:val="005C1D29"/>
    <w:rsid w:val="005C2258"/>
    <w:rsid w:val="005C26B3"/>
    <w:rsid w:val="005C2706"/>
    <w:rsid w:val="005C2E7F"/>
    <w:rsid w:val="005C304C"/>
    <w:rsid w:val="005C32C5"/>
    <w:rsid w:val="005C36B5"/>
    <w:rsid w:val="005C3A2B"/>
    <w:rsid w:val="005C3A94"/>
    <w:rsid w:val="005C3AD5"/>
    <w:rsid w:val="005C3C2B"/>
    <w:rsid w:val="005C409B"/>
    <w:rsid w:val="005C4992"/>
    <w:rsid w:val="005C4B61"/>
    <w:rsid w:val="005C4BFC"/>
    <w:rsid w:val="005C540E"/>
    <w:rsid w:val="005C576D"/>
    <w:rsid w:val="005C593F"/>
    <w:rsid w:val="005C596F"/>
    <w:rsid w:val="005C5C86"/>
    <w:rsid w:val="005C5ED4"/>
    <w:rsid w:val="005C6321"/>
    <w:rsid w:val="005C655C"/>
    <w:rsid w:val="005C6A7D"/>
    <w:rsid w:val="005C6C1C"/>
    <w:rsid w:val="005C6D1B"/>
    <w:rsid w:val="005C6DED"/>
    <w:rsid w:val="005C6E06"/>
    <w:rsid w:val="005C7088"/>
    <w:rsid w:val="005C723E"/>
    <w:rsid w:val="005C7E74"/>
    <w:rsid w:val="005C7F27"/>
    <w:rsid w:val="005D00CA"/>
    <w:rsid w:val="005D03A0"/>
    <w:rsid w:val="005D03A4"/>
    <w:rsid w:val="005D06ED"/>
    <w:rsid w:val="005D0BDE"/>
    <w:rsid w:val="005D0C3A"/>
    <w:rsid w:val="005D0CE7"/>
    <w:rsid w:val="005D1056"/>
    <w:rsid w:val="005D1152"/>
    <w:rsid w:val="005D11FA"/>
    <w:rsid w:val="005D121D"/>
    <w:rsid w:val="005D1651"/>
    <w:rsid w:val="005D17F4"/>
    <w:rsid w:val="005D1AC7"/>
    <w:rsid w:val="005D1CEF"/>
    <w:rsid w:val="005D1E9E"/>
    <w:rsid w:val="005D2E95"/>
    <w:rsid w:val="005D319D"/>
    <w:rsid w:val="005D3576"/>
    <w:rsid w:val="005D36FC"/>
    <w:rsid w:val="005D3A02"/>
    <w:rsid w:val="005D3A11"/>
    <w:rsid w:val="005D3A2C"/>
    <w:rsid w:val="005D3B89"/>
    <w:rsid w:val="005D3CFA"/>
    <w:rsid w:val="005D402D"/>
    <w:rsid w:val="005D4085"/>
    <w:rsid w:val="005D4215"/>
    <w:rsid w:val="005D4567"/>
    <w:rsid w:val="005D46FF"/>
    <w:rsid w:val="005D497D"/>
    <w:rsid w:val="005D4A46"/>
    <w:rsid w:val="005D4E40"/>
    <w:rsid w:val="005D5062"/>
    <w:rsid w:val="005D50EC"/>
    <w:rsid w:val="005D5269"/>
    <w:rsid w:val="005D5272"/>
    <w:rsid w:val="005D58B5"/>
    <w:rsid w:val="005D5F40"/>
    <w:rsid w:val="005D669B"/>
    <w:rsid w:val="005D67BF"/>
    <w:rsid w:val="005D684E"/>
    <w:rsid w:val="005D68F0"/>
    <w:rsid w:val="005D6C72"/>
    <w:rsid w:val="005D6EAF"/>
    <w:rsid w:val="005D7031"/>
    <w:rsid w:val="005D72B1"/>
    <w:rsid w:val="005D7309"/>
    <w:rsid w:val="005D733B"/>
    <w:rsid w:val="005D75F0"/>
    <w:rsid w:val="005D7720"/>
    <w:rsid w:val="005D7BAE"/>
    <w:rsid w:val="005D7D20"/>
    <w:rsid w:val="005E036A"/>
    <w:rsid w:val="005E0543"/>
    <w:rsid w:val="005E082B"/>
    <w:rsid w:val="005E0AE8"/>
    <w:rsid w:val="005E111B"/>
    <w:rsid w:val="005E160D"/>
    <w:rsid w:val="005E1A30"/>
    <w:rsid w:val="005E1A92"/>
    <w:rsid w:val="005E1B45"/>
    <w:rsid w:val="005E273C"/>
    <w:rsid w:val="005E2A77"/>
    <w:rsid w:val="005E2DA3"/>
    <w:rsid w:val="005E2EF1"/>
    <w:rsid w:val="005E32B0"/>
    <w:rsid w:val="005E3383"/>
    <w:rsid w:val="005E36F6"/>
    <w:rsid w:val="005E376D"/>
    <w:rsid w:val="005E3E3E"/>
    <w:rsid w:val="005E3E58"/>
    <w:rsid w:val="005E43B4"/>
    <w:rsid w:val="005E4558"/>
    <w:rsid w:val="005E461A"/>
    <w:rsid w:val="005E465C"/>
    <w:rsid w:val="005E4849"/>
    <w:rsid w:val="005E4A3F"/>
    <w:rsid w:val="005E5360"/>
    <w:rsid w:val="005E5660"/>
    <w:rsid w:val="005E574F"/>
    <w:rsid w:val="005E5B7E"/>
    <w:rsid w:val="005E5E7B"/>
    <w:rsid w:val="005E6094"/>
    <w:rsid w:val="005E60A5"/>
    <w:rsid w:val="005E6113"/>
    <w:rsid w:val="005E64DC"/>
    <w:rsid w:val="005E685F"/>
    <w:rsid w:val="005E6892"/>
    <w:rsid w:val="005E6DCE"/>
    <w:rsid w:val="005E6EF5"/>
    <w:rsid w:val="005E7730"/>
    <w:rsid w:val="005F0398"/>
    <w:rsid w:val="005F133B"/>
    <w:rsid w:val="005F159A"/>
    <w:rsid w:val="005F15BC"/>
    <w:rsid w:val="005F16D3"/>
    <w:rsid w:val="005F1C64"/>
    <w:rsid w:val="005F1F31"/>
    <w:rsid w:val="005F22DE"/>
    <w:rsid w:val="005F24C9"/>
    <w:rsid w:val="005F2A42"/>
    <w:rsid w:val="005F2AA9"/>
    <w:rsid w:val="005F2F4B"/>
    <w:rsid w:val="005F35AB"/>
    <w:rsid w:val="005F4B15"/>
    <w:rsid w:val="005F4B3E"/>
    <w:rsid w:val="005F4EB9"/>
    <w:rsid w:val="005F4FB8"/>
    <w:rsid w:val="005F5052"/>
    <w:rsid w:val="005F52D8"/>
    <w:rsid w:val="005F55BB"/>
    <w:rsid w:val="005F5615"/>
    <w:rsid w:val="005F665C"/>
    <w:rsid w:val="005F6C7A"/>
    <w:rsid w:val="005F6D6A"/>
    <w:rsid w:val="005F6F5F"/>
    <w:rsid w:val="005F76B3"/>
    <w:rsid w:val="005F773C"/>
    <w:rsid w:val="005F7AE0"/>
    <w:rsid w:val="005F7C01"/>
    <w:rsid w:val="005F7F0F"/>
    <w:rsid w:val="005F7F67"/>
    <w:rsid w:val="0060005A"/>
    <w:rsid w:val="00600343"/>
    <w:rsid w:val="006004B4"/>
    <w:rsid w:val="006011AC"/>
    <w:rsid w:val="006015A9"/>
    <w:rsid w:val="00601F99"/>
    <w:rsid w:val="0060225F"/>
    <w:rsid w:val="00602366"/>
    <w:rsid w:val="00602C6A"/>
    <w:rsid w:val="006030D6"/>
    <w:rsid w:val="006032B4"/>
    <w:rsid w:val="006032F5"/>
    <w:rsid w:val="00603469"/>
    <w:rsid w:val="00603C95"/>
    <w:rsid w:val="006042C6"/>
    <w:rsid w:val="006042F9"/>
    <w:rsid w:val="006045BE"/>
    <w:rsid w:val="0060464F"/>
    <w:rsid w:val="006048EC"/>
    <w:rsid w:val="00604E10"/>
    <w:rsid w:val="006051A0"/>
    <w:rsid w:val="006051B2"/>
    <w:rsid w:val="00605377"/>
    <w:rsid w:val="0060576D"/>
    <w:rsid w:val="006058C8"/>
    <w:rsid w:val="00605945"/>
    <w:rsid w:val="00605EA4"/>
    <w:rsid w:val="00606596"/>
    <w:rsid w:val="006067C1"/>
    <w:rsid w:val="006067F7"/>
    <w:rsid w:val="00606B35"/>
    <w:rsid w:val="00607036"/>
    <w:rsid w:val="0060726C"/>
    <w:rsid w:val="006072C0"/>
    <w:rsid w:val="00607751"/>
    <w:rsid w:val="006079F1"/>
    <w:rsid w:val="00607CA6"/>
    <w:rsid w:val="00607CDB"/>
    <w:rsid w:val="00607F9A"/>
    <w:rsid w:val="00610299"/>
    <w:rsid w:val="006106BF"/>
    <w:rsid w:val="00610A5F"/>
    <w:rsid w:val="00610A68"/>
    <w:rsid w:val="00610C0F"/>
    <w:rsid w:val="00610FF1"/>
    <w:rsid w:val="00611203"/>
    <w:rsid w:val="006115A6"/>
    <w:rsid w:val="0061161E"/>
    <w:rsid w:val="00612744"/>
    <w:rsid w:val="00612BC2"/>
    <w:rsid w:val="006134EE"/>
    <w:rsid w:val="006137AC"/>
    <w:rsid w:val="00613E70"/>
    <w:rsid w:val="006140B1"/>
    <w:rsid w:val="0061465A"/>
    <w:rsid w:val="006154BE"/>
    <w:rsid w:val="006158E5"/>
    <w:rsid w:val="00615AE4"/>
    <w:rsid w:val="00615CF9"/>
    <w:rsid w:val="00616313"/>
    <w:rsid w:val="006168BF"/>
    <w:rsid w:val="00616BA7"/>
    <w:rsid w:val="00616D8D"/>
    <w:rsid w:val="006172EB"/>
    <w:rsid w:val="006172FC"/>
    <w:rsid w:val="0061738B"/>
    <w:rsid w:val="00617568"/>
    <w:rsid w:val="00617819"/>
    <w:rsid w:val="00620356"/>
    <w:rsid w:val="006203E7"/>
    <w:rsid w:val="00620552"/>
    <w:rsid w:val="00620A7F"/>
    <w:rsid w:val="00620E4D"/>
    <w:rsid w:val="00620F8D"/>
    <w:rsid w:val="00621AA6"/>
    <w:rsid w:val="00621C02"/>
    <w:rsid w:val="00622160"/>
    <w:rsid w:val="0062237D"/>
    <w:rsid w:val="00622894"/>
    <w:rsid w:val="00622D32"/>
    <w:rsid w:val="00622E68"/>
    <w:rsid w:val="0062307A"/>
    <w:rsid w:val="00623240"/>
    <w:rsid w:val="0062339A"/>
    <w:rsid w:val="00623722"/>
    <w:rsid w:val="006240FB"/>
    <w:rsid w:val="00624187"/>
    <w:rsid w:val="0062472E"/>
    <w:rsid w:val="006247AE"/>
    <w:rsid w:val="00624B78"/>
    <w:rsid w:val="006250C3"/>
    <w:rsid w:val="00625B15"/>
    <w:rsid w:val="00625D64"/>
    <w:rsid w:val="00625F7A"/>
    <w:rsid w:val="006263E4"/>
    <w:rsid w:val="0062695B"/>
    <w:rsid w:val="00626971"/>
    <w:rsid w:val="00626EC5"/>
    <w:rsid w:val="0062720C"/>
    <w:rsid w:val="006272F8"/>
    <w:rsid w:val="0062759C"/>
    <w:rsid w:val="00627C5B"/>
    <w:rsid w:val="00627CAF"/>
    <w:rsid w:val="00627CEE"/>
    <w:rsid w:val="00627E98"/>
    <w:rsid w:val="006307A0"/>
    <w:rsid w:val="00630A39"/>
    <w:rsid w:val="00630ADD"/>
    <w:rsid w:val="00630C74"/>
    <w:rsid w:val="00630DEA"/>
    <w:rsid w:val="00630F32"/>
    <w:rsid w:val="00631507"/>
    <w:rsid w:val="006316F6"/>
    <w:rsid w:val="0063190E"/>
    <w:rsid w:val="00631B47"/>
    <w:rsid w:val="00631C97"/>
    <w:rsid w:val="006320BF"/>
    <w:rsid w:val="00632113"/>
    <w:rsid w:val="0063211F"/>
    <w:rsid w:val="0063224D"/>
    <w:rsid w:val="006326D2"/>
    <w:rsid w:val="00632D9E"/>
    <w:rsid w:val="00632E93"/>
    <w:rsid w:val="00633137"/>
    <w:rsid w:val="0063377A"/>
    <w:rsid w:val="006339B9"/>
    <w:rsid w:val="00633A7F"/>
    <w:rsid w:val="00633ABB"/>
    <w:rsid w:val="00633E02"/>
    <w:rsid w:val="0063438E"/>
    <w:rsid w:val="006343BC"/>
    <w:rsid w:val="00634C52"/>
    <w:rsid w:val="00634DDB"/>
    <w:rsid w:val="00634DF0"/>
    <w:rsid w:val="00634EBB"/>
    <w:rsid w:val="00635921"/>
    <w:rsid w:val="00635B97"/>
    <w:rsid w:val="00635BDB"/>
    <w:rsid w:val="0063616C"/>
    <w:rsid w:val="00636633"/>
    <w:rsid w:val="00636934"/>
    <w:rsid w:val="00637B18"/>
    <w:rsid w:val="00637E41"/>
    <w:rsid w:val="00637F03"/>
    <w:rsid w:val="00640216"/>
    <w:rsid w:val="006402EE"/>
    <w:rsid w:val="0064052D"/>
    <w:rsid w:val="0064061F"/>
    <w:rsid w:val="006406CD"/>
    <w:rsid w:val="00640741"/>
    <w:rsid w:val="00640848"/>
    <w:rsid w:val="00640A74"/>
    <w:rsid w:val="00640C9A"/>
    <w:rsid w:val="00640F08"/>
    <w:rsid w:val="00640F91"/>
    <w:rsid w:val="00641514"/>
    <w:rsid w:val="006415E5"/>
    <w:rsid w:val="00642005"/>
    <w:rsid w:val="00642087"/>
    <w:rsid w:val="00642180"/>
    <w:rsid w:val="00643620"/>
    <w:rsid w:val="00643B71"/>
    <w:rsid w:val="00643EDF"/>
    <w:rsid w:val="006441B6"/>
    <w:rsid w:val="0064463A"/>
    <w:rsid w:val="00644654"/>
    <w:rsid w:val="00644B26"/>
    <w:rsid w:val="006452EE"/>
    <w:rsid w:val="0064534B"/>
    <w:rsid w:val="0064609F"/>
    <w:rsid w:val="00646197"/>
    <w:rsid w:val="0064687C"/>
    <w:rsid w:val="00646A27"/>
    <w:rsid w:val="00646C6D"/>
    <w:rsid w:val="00646FD0"/>
    <w:rsid w:val="0064704A"/>
    <w:rsid w:val="00647251"/>
    <w:rsid w:val="00647879"/>
    <w:rsid w:val="00647891"/>
    <w:rsid w:val="00647E25"/>
    <w:rsid w:val="00647E62"/>
    <w:rsid w:val="0065009D"/>
    <w:rsid w:val="006503AD"/>
    <w:rsid w:val="0065065A"/>
    <w:rsid w:val="00650808"/>
    <w:rsid w:val="00650BCE"/>
    <w:rsid w:val="00650BFD"/>
    <w:rsid w:val="00650C3E"/>
    <w:rsid w:val="0065191F"/>
    <w:rsid w:val="00651E47"/>
    <w:rsid w:val="006525EE"/>
    <w:rsid w:val="006530AF"/>
    <w:rsid w:val="006536C3"/>
    <w:rsid w:val="006539E5"/>
    <w:rsid w:val="0065423D"/>
    <w:rsid w:val="0065424D"/>
    <w:rsid w:val="00654648"/>
    <w:rsid w:val="006549F6"/>
    <w:rsid w:val="00654A51"/>
    <w:rsid w:val="00654BDF"/>
    <w:rsid w:val="0065522B"/>
    <w:rsid w:val="006552DA"/>
    <w:rsid w:val="00655837"/>
    <w:rsid w:val="00655BC8"/>
    <w:rsid w:val="00655F45"/>
    <w:rsid w:val="0065680D"/>
    <w:rsid w:val="006568F0"/>
    <w:rsid w:val="006568F3"/>
    <w:rsid w:val="006569BB"/>
    <w:rsid w:val="00656BD2"/>
    <w:rsid w:val="00656FD8"/>
    <w:rsid w:val="00657123"/>
    <w:rsid w:val="006573F2"/>
    <w:rsid w:val="00657403"/>
    <w:rsid w:val="00657872"/>
    <w:rsid w:val="00657A26"/>
    <w:rsid w:val="00657ADA"/>
    <w:rsid w:val="00657CF3"/>
    <w:rsid w:val="00657CF6"/>
    <w:rsid w:val="006608A7"/>
    <w:rsid w:val="00660A8E"/>
    <w:rsid w:val="00660CC4"/>
    <w:rsid w:val="00660CDB"/>
    <w:rsid w:val="00660EF4"/>
    <w:rsid w:val="006611D4"/>
    <w:rsid w:val="00661646"/>
    <w:rsid w:val="006618AF"/>
    <w:rsid w:val="00661B7E"/>
    <w:rsid w:val="00661D27"/>
    <w:rsid w:val="00661E35"/>
    <w:rsid w:val="00661E7D"/>
    <w:rsid w:val="00661E89"/>
    <w:rsid w:val="00661EE4"/>
    <w:rsid w:val="00661FA5"/>
    <w:rsid w:val="0066200D"/>
    <w:rsid w:val="006623ED"/>
    <w:rsid w:val="00662506"/>
    <w:rsid w:val="0066251F"/>
    <w:rsid w:val="00662573"/>
    <w:rsid w:val="00662762"/>
    <w:rsid w:val="006627FB"/>
    <w:rsid w:val="006628B4"/>
    <w:rsid w:val="00662C63"/>
    <w:rsid w:val="00662D41"/>
    <w:rsid w:val="00662EEF"/>
    <w:rsid w:val="00662F1C"/>
    <w:rsid w:val="00663302"/>
    <w:rsid w:val="00663570"/>
    <w:rsid w:val="0066375C"/>
    <w:rsid w:val="00663763"/>
    <w:rsid w:val="0066381A"/>
    <w:rsid w:val="00663E17"/>
    <w:rsid w:val="00664804"/>
    <w:rsid w:val="00664B73"/>
    <w:rsid w:val="00664C6C"/>
    <w:rsid w:val="00664D46"/>
    <w:rsid w:val="006656D4"/>
    <w:rsid w:val="006656DA"/>
    <w:rsid w:val="00665906"/>
    <w:rsid w:val="006659E8"/>
    <w:rsid w:val="00665E40"/>
    <w:rsid w:val="00665FAD"/>
    <w:rsid w:val="0066606B"/>
    <w:rsid w:val="00666445"/>
    <w:rsid w:val="00666446"/>
    <w:rsid w:val="0066654A"/>
    <w:rsid w:val="006666E1"/>
    <w:rsid w:val="006667AB"/>
    <w:rsid w:val="00666B58"/>
    <w:rsid w:val="00667027"/>
    <w:rsid w:val="00667106"/>
    <w:rsid w:val="0066726D"/>
    <w:rsid w:val="00667874"/>
    <w:rsid w:val="006701C3"/>
    <w:rsid w:val="006707CB"/>
    <w:rsid w:val="00670DA6"/>
    <w:rsid w:val="00670E20"/>
    <w:rsid w:val="00670E26"/>
    <w:rsid w:val="0067107E"/>
    <w:rsid w:val="00671277"/>
    <w:rsid w:val="00671B24"/>
    <w:rsid w:val="00671B51"/>
    <w:rsid w:val="00671CD1"/>
    <w:rsid w:val="00671F4D"/>
    <w:rsid w:val="00671FA2"/>
    <w:rsid w:val="00672478"/>
    <w:rsid w:val="00672BF6"/>
    <w:rsid w:val="00672CD1"/>
    <w:rsid w:val="0067350A"/>
    <w:rsid w:val="006736E5"/>
    <w:rsid w:val="006736EC"/>
    <w:rsid w:val="00673DA7"/>
    <w:rsid w:val="006741AE"/>
    <w:rsid w:val="006746F7"/>
    <w:rsid w:val="006747B9"/>
    <w:rsid w:val="006748D7"/>
    <w:rsid w:val="006748F0"/>
    <w:rsid w:val="00674C28"/>
    <w:rsid w:val="00674D2E"/>
    <w:rsid w:val="00674EF9"/>
    <w:rsid w:val="00674F78"/>
    <w:rsid w:val="00675450"/>
    <w:rsid w:val="006757A8"/>
    <w:rsid w:val="00675833"/>
    <w:rsid w:val="00675CEA"/>
    <w:rsid w:val="00675FCF"/>
    <w:rsid w:val="0067617F"/>
    <w:rsid w:val="0067628E"/>
    <w:rsid w:val="006763B3"/>
    <w:rsid w:val="006766B6"/>
    <w:rsid w:val="00676802"/>
    <w:rsid w:val="0067681E"/>
    <w:rsid w:val="0067690B"/>
    <w:rsid w:val="00676E3E"/>
    <w:rsid w:val="00677843"/>
    <w:rsid w:val="00677A5C"/>
    <w:rsid w:val="006800B2"/>
    <w:rsid w:val="0068012C"/>
    <w:rsid w:val="006803DF"/>
    <w:rsid w:val="00680D50"/>
    <w:rsid w:val="00680E71"/>
    <w:rsid w:val="0068140B"/>
    <w:rsid w:val="0068159A"/>
    <w:rsid w:val="00681628"/>
    <w:rsid w:val="00681C19"/>
    <w:rsid w:val="00681C5F"/>
    <w:rsid w:val="00681C7D"/>
    <w:rsid w:val="00681F93"/>
    <w:rsid w:val="00682082"/>
    <w:rsid w:val="00682138"/>
    <w:rsid w:val="00682744"/>
    <w:rsid w:val="006829FC"/>
    <w:rsid w:val="00682BA0"/>
    <w:rsid w:val="0068351B"/>
    <w:rsid w:val="00684291"/>
    <w:rsid w:val="00684411"/>
    <w:rsid w:val="006845B1"/>
    <w:rsid w:val="0068467F"/>
    <w:rsid w:val="006848C4"/>
    <w:rsid w:val="0068578D"/>
    <w:rsid w:val="006860E6"/>
    <w:rsid w:val="00686167"/>
    <w:rsid w:val="0068684C"/>
    <w:rsid w:val="00686D96"/>
    <w:rsid w:val="00687078"/>
    <w:rsid w:val="006875E1"/>
    <w:rsid w:val="006877E9"/>
    <w:rsid w:val="00687A80"/>
    <w:rsid w:val="00690201"/>
    <w:rsid w:val="00690646"/>
    <w:rsid w:val="0069080C"/>
    <w:rsid w:val="0069089F"/>
    <w:rsid w:val="00690B0D"/>
    <w:rsid w:val="00690EB2"/>
    <w:rsid w:val="00690EE8"/>
    <w:rsid w:val="0069121F"/>
    <w:rsid w:val="00691232"/>
    <w:rsid w:val="00691559"/>
    <w:rsid w:val="0069169A"/>
    <w:rsid w:val="006917F4"/>
    <w:rsid w:val="00691BA5"/>
    <w:rsid w:val="00691CA3"/>
    <w:rsid w:val="00691D10"/>
    <w:rsid w:val="00691F27"/>
    <w:rsid w:val="00692415"/>
    <w:rsid w:val="0069243E"/>
    <w:rsid w:val="00692940"/>
    <w:rsid w:val="00692AAC"/>
    <w:rsid w:val="00692CE2"/>
    <w:rsid w:val="00693351"/>
    <w:rsid w:val="006938D2"/>
    <w:rsid w:val="00693F57"/>
    <w:rsid w:val="00694080"/>
    <w:rsid w:val="0069417D"/>
    <w:rsid w:val="00694409"/>
    <w:rsid w:val="00694681"/>
    <w:rsid w:val="00694B3D"/>
    <w:rsid w:val="00694E76"/>
    <w:rsid w:val="00695232"/>
    <w:rsid w:val="00695464"/>
    <w:rsid w:val="00695932"/>
    <w:rsid w:val="006959CC"/>
    <w:rsid w:val="0069625E"/>
    <w:rsid w:val="00696779"/>
    <w:rsid w:val="00696938"/>
    <w:rsid w:val="00696A7D"/>
    <w:rsid w:val="00696D3B"/>
    <w:rsid w:val="00697124"/>
    <w:rsid w:val="0069714D"/>
    <w:rsid w:val="006972A0"/>
    <w:rsid w:val="0069757B"/>
    <w:rsid w:val="006976CE"/>
    <w:rsid w:val="006978F3"/>
    <w:rsid w:val="006A0626"/>
    <w:rsid w:val="006A09F3"/>
    <w:rsid w:val="006A0A1C"/>
    <w:rsid w:val="006A0C08"/>
    <w:rsid w:val="006A0EA8"/>
    <w:rsid w:val="006A123D"/>
    <w:rsid w:val="006A13D5"/>
    <w:rsid w:val="006A186D"/>
    <w:rsid w:val="006A19B4"/>
    <w:rsid w:val="006A19CC"/>
    <w:rsid w:val="006A1D7A"/>
    <w:rsid w:val="006A26FF"/>
    <w:rsid w:val="006A27D2"/>
    <w:rsid w:val="006A2A8E"/>
    <w:rsid w:val="006A2EA8"/>
    <w:rsid w:val="006A3111"/>
    <w:rsid w:val="006A3653"/>
    <w:rsid w:val="006A3973"/>
    <w:rsid w:val="006A3B4D"/>
    <w:rsid w:val="006A4A93"/>
    <w:rsid w:val="006A4AD9"/>
    <w:rsid w:val="006A5048"/>
    <w:rsid w:val="006A536E"/>
    <w:rsid w:val="006A57F7"/>
    <w:rsid w:val="006A58D8"/>
    <w:rsid w:val="006A5BA6"/>
    <w:rsid w:val="006A5D1E"/>
    <w:rsid w:val="006A5FF1"/>
    <w:rsid w:val="006A6380"/>
    <w:rsid w:val="006A6633"/>
    <w:rsid w:val="006A669B"/>
    <w:rsid w:val="006A681A"/>
    <w:rsid w:val="006A6919"/>
    <w:rsid w:val="006A6CC9"/>
    <w:rsid w:val="006A6DDE"/>
    <w:rsid w:val="006A726A"/>
    <w:rsid w:val="006A72EF"/>
    <w:rsid w:val="006A7D89"/>
    <w:rsid w:val="006A7DB5"/>
    <w:rsid w:val="006B022A"/>
    <w:rsid w:val="006B026A"/>
    <w:rsid w:val="006B02D8"/>
    <w:rsid w:val="006B0709"/>
    <w:rsid w:val="006B0A38"/>
    <w:rsid w:val="006B0A7D"/>
    <w:rsid w:val="006B0E39"/>
    <w:rsid w:val="006B0E9F"/>
    <w:rsid w:val="006B132B"/>
    <w:rsid w:val="006B2624"/>
    <w:rsid w:val="006B26FC"/>
    <w:rsid w:val="006B2E4D"/>
    <w:rsid w:val="006B318B"/>
    <w:rsid w:val="006B31CD"/>
    <w:rsid w:val="006B32BB"/>
    <w:rsid w:val="006B3558"/>
    <w:rsid w:val="006B35B7"/>
    <w:rsid w:val="006B3853"/>
    <w:rsid w:val="006B393A"/>
    <w:rsid w:val="006B39C0"/>
    <w:rsid w:val="006B3A84"/>
    <w:rsid w:val="006B41CF"/>
    <w:rsid w:val="006B47E5"/>
    <w:rsid w:val="006B498E"/>
    <w:rsid w:val="006B4BFF"/>
    <w:rsid w:val="006B4DE8"/>
    <w:rsid w:val="006B4F9B"/>
    <w:rsid w:val="006B5137"/>
    <w:rsid w:val="006B5742"/>
    <w:rsid w:val="006B5811"/>
    <w:rsid w:val="006B614E"/>
    <w:rsid w:val="006B65A5"/>
    <w:rsid w:val="006B6718"/>
    <w:rsid w:val="006B71B2"/>
    <w:rsid w:val="006B736D"/>
    <w:rsid w:val="006B7D30"/>
    <w:rsid w:val="006B7DF9"/>
    <w:rsid w:val="006C04D4"/>
    <w:rsid w:val="006C0A58"/>
    <w:rsid w:val="006C1076"/>
    <w:rsid w:val="006C109E"/>
    <w:rsid w:val="006C16BF"/>
    <w:rsid w:val="006C2155"/>
    <w:rsid w:val="006C2435"/>
    <w:rsid w:val="006C271D"/>
    <w:rsid w:val="006C2E63"/>
    <w:rsid w:val="006C2F2F"/>
    <w:rsid w:val="006C3A4B"/>
    <w:rsid w:val="006C3BBD"/>
    <w:rsid w:val="006C3DC1"/>
    <w:rsid w:val="006C3E21"/>
    <w:rsid w:val="006C4456"/>
    <w:rsid w:val="006C445D"/>
    <w:rsid w:val="006C495C"/>
    <w:rsid w:val="006C4A42"/>
    <w:rsid w:val="006C4EDC"/>
    <w:rsid w:val="006C51E3"/>
    <w:rsid w:val="006C572F"/>
    <w:rsid w:val="006C5961"/>
    <w:rsid w:val="006C5C54"/>
    <w:rsid w:val="006C5CE5"/>
    <w:rsid w:val="006C5D62"/>
    <w:rsid w:val="006C5E25"/>
    <w:rsid w:val="006C5EEF"/>
    <w:rsid w:val="006C5F09"/>
    <w:rsid w:val="006C5F2C"/>
    <w:rsid w:val="006C5F36"/>
    <w:rsid w:val="006C6C94"/>
    <w:rsid w:val="006C6F71"/>
    <w:rsid w:val="006C6FE8"/>
    <w:rsid w:val="006C7398"/>
    <w:rsid w:val="006C7612"/>
    <w:rsid w:val="006C762A"/>
    <w:rsid w:val="006C7A24"/>
    <w:rsid w:val="006C7C5A"/>
    <w:rsid w:val="006C7C62"/>
    <w:rsid w:val="006C7D38"/>
    <w:rsid w:val="006C7E8E"/>
    <w:rsid w:val="006D0506"/>
    <w:rsid w:val="006D098A"/>
    <w:rsid w:val="006D0A85"/>
    <w:rsid w:val="006D144D"/>
    <w:rsid w:val="006D1727"/>
    <w:rsid w:val="006D1A7B"/>
    <w:rsid w:val="006D1AF4"/>
    <w:rsid w:val="006D1D93"/>
    <w:rsid w:val="006D221A"/>
    <w:rsid w:val="006D2231"/>
    <w:rsid w:val="006D25AE"/>
    <w:rsid w:val="006D2E40"/>
    <w:rsid w:val="006D2E65"/>
    <w:rsid w:val="006D2EA3"/>
    <w:rsid w:val="006D3402"/>
    <w:rsid w:val="006D36A4"/>
    <w:rsid w:val="006D3AF3"/>
    <w:rsid w:val="006D3C82"/>
    <w:rsid w:val="006D3EDF"/>
    <w:rsid w:val="006D3F0C"/>
    <w:rsid w:val="006D4024"/>
    <w:rsid w:val="006D45D4"/>
    <w:rsid w:val="006D47F3"/>
    <w:rsid w:val="006D4842"/>
    <w:rsid w:val="006D4AAF"/>
    <w:rsid w:val="006D4F35"/>
    <w:rsid w:val="006D5534"/>
    <w:rsid w:val="006D569A"/>
    <w:rsid w:val="006D576E"/>
    <w:rsid w:val="006D5C47"/>
    <w:rsid w:val="006D5C6D"/>
    <w:rsid w:val="006D5EC3"/>
    <w:rsid w:val="006D60DF"/>
    <w:rsid w:val="006D6446"/>
    <w:rsid w:val="006D6638"/>
    <w:rsid w:val="006D6688"/>
    <w:rsid w:val="006D66A7"/>
    <w:rsid w:val="006D698C"/>
    <w:rsid w:val="006D6AD9"/>
    <w:rsid w:val="006D7068"/>
    <w:rsid w:val="006D7970"/>
    <w:rsid w:val="006D7B43"/>
    <w:rsid w:val="006E01CF"/>
    <w:rsid w:val="006E0206"/>
    <w:rsid w:val="006E0302"/>
    <w:rsid w:val="006E0818"/>
    <w:rsid w:val="006E082E"/>
    <w:rsid w:val="006E09BD"/>
    <w:rsid w:val="006E0D08"/>
    <w:rsid w:val="006E11C6"/>
    <w:rsid w:val="006E179D"/>
    <w:rsid w:val="006E1FEC"/>
    <w:rsid w:val="006E2083"/>
    <w:rsid w:val="006E2099"/>
    <w:rsid w:val="006E24AF"/>
    <w:rsid w:val="006E3139"/>
    <w:rsid w:val="006E3429"/>
    <w:rsid w:val="006E350B"/>
    <w:rsid w:val="006E4501"/>
    <w:rsid w:val="006E4825"/>
    <w:rsid w:val="006E4C0C"/>
    <w:rsid w:val="006E4FD0"/>
    <w:rsid w:val="006E5214"/>
    <w:rsid w:val="006E547D"/>
    <w:rsid w:val="006E57FA"/>
    <w:rsid w:val="006E5936"/>
    <w:rsid w:val="006E5E0B"/>
    <w:rsid w:val="006E5E36"/>
    <w:rsid w:val="006E5E95"/>
    <w:rsid w:val="006E5F49"/>
    <w:rsid w:val="006E6299"/>
    <w:rsid w:val="006E62B2"/>
    <w:rsid w:val="006E6556"/>
    <w:rsid w:val="006E6558"/>
    <w:rsid w:val="006E6747"/>
    <w:rsid w:val="006E6ADF"/>
    <w:rsid w:val="006E6AFF"/>
    <w:rsid w:val="006E6C60"/>
    <w:rsid w:val="006E6E6E"/>
    <w:rsid w:val="006E6F44"/>
    <w:rsid w:val="006E701C"/>
    <w:rsid w:val="006E77F1"/>
    <w:rsid w:val="006E7A85"/>
    <w:rsid w:val="006E7D5B"/>
    <w:rsid w:val="006F00A1"/>
    <w:rsid w:val="006F020D"/>
    <w:rsid w:val="006F0443"/>
    <w:rsid w:val="006F07C8"/>
    <w:rsid w:val="006F0A60"/>
    <w:rsid w:val="006F0BFB"/>
    <w:rsid w:val="006F0D21"/>
    <w:rsid w:val="006F1030"/>
    <w:rsid w:val="006F121B"/>
    <w:rsid w:val="006F12C5"/>
    <w:rsid w:val="006F146D"/>
    <w:rsid w:val="006F1A39"/>
    <w:rsid w:val="006F1B0A"/>
    <w:rsid w:val="006F1B5B"/>
    <w:rsid w:val="006F1D0E"/>
    <w:rsid w:val="006F1D3B"/>
    <w:rsid w:val="006F204F"/>
    <w:rsid w:val="006F2234"/>
    <w:rsid w:val="006F2AD4"/>
    <w:rsid w:val="006F2D71"/>
    <w:rsid w:val="006F2E21"/>
    <w:rsid w:val="006F2EF3"/>
    <w:rsid w:val="006F2F43"/>
    <w:rsid w:val="006F37E8"/>
    <w:rsid w:val="006F39D3"/>
    <w:rsid w:val="006F3CEA"/>
    <w:rsid w:val="006F47F6"/>
    <w:rsid w:val="006F48C9"/>
    <w:rsid w:val="006F4A01"/>
    <w:rsid w:val="006F4F93"/>
    <w:rsid w:val="006F503A"/>
    <w:rsid w:val="006F54EA"/>
    <w:rsid w:val="006F5735"/>
    <w:rsid w:val="006F5BD7"/>
    <w:rsid w:val="006F5C1A"/>
    <w:rsid w:val="006F5DDB"/>
    <w:rsid w:val="006F60C6"/>
    <w:rsid w:val="006F6230"/>
    <w:rsid w:val="006F67C7"/>
    <w:rsid w:val="006F6863"/>
    <w:rsid w:val="006F6C82"/>
    <w:rsid w:val="006F6F3A"/>
    <w:rsid w:val="006F6F85"/>
    <w:rsid w:val="006F7178"/>
    <w:rsid w:val="006F73E2"/>
    <w:rsid w:val="006F75A3"/>
    <w:rsid w:val="006F7AF7"/>
    <w:rsid w:val="006F7FC7"/>
    <w:rsid w:val="007003A2"/>
    <w:rsid w:val="007003EF"/>
    <w:rsid w:val="007006B6"/>
    <w:rsid w:val="00700B19"/>
    <w:rsid w:val="00700CDD"/>
    <w:rsid w:val="0070107D"/>
    <w:rsid w:val="00701647"/>
    <w:rsid w:val="007016B2"/>
    <w:rsid w:val="007018F3"/>
    <w:rsid w:val="00701A60"/>
    <w:rsid w:val="00701D14"/>
    <w:rsid w:val="00701DEC"/>
    <w:rsid w:val="007027CD"/>
    <w:rsid w:val="00702892"/>
    <w:rsid w:val="00702919"/>
    <w:rsid w:val="0070310B"/>
    <w:rsid w:val="00703127"/>
    <w:rsid w:val="0070343F"/>
    <w:rsid w:val="007034A2"/>
    <w:rsid w:val="0070363C"/>
    <w:rsid w:val="007037DC"/>
    <w:rsid w:val="00703D0E"/>
    <w:rsid w:val="00703D7E"/>
    <w:rsid w:val="00703DFA"/>
    <w:rsid w:val="00703F79"/>
    <w:rsid w:val="00704158"/>
    <w:rsid w:val="00704467"/>
    <w:rsid w:val="007047DF"/>
    <w:rsid w:val="00704E0D"/>
    <w:rsid w:val="0070539C"/>
    <w:rsid w:val="0070546A"/>
    <w:rsid w:val="00705522"/>
    <w:rsid w:val="00705D57"/>
    <w:rsid w:val="00706134"/>
    <w:rsid w:val="007065DB"/>
    <w:rsid w:val="0070680A"/>
    <w:rsid w:val="007068BA"/>
    <w:rsid w:val="007068CB"/>
    <w:rsid w:val="00706BEF"/>
    <w:rsid w:val="00706CA3"/>
    <w:rsid w:val="00706EE0"/>
    <w:rsid w:val="00707226"/>
    <w:rsid w:val="00707357"/>
    <w:rsid w:val="007076C4"/>
    <w:rsid w:val="00707970"/>
    <w:rsid w:val="00707CC1"/>
    <w:rsid w:val="00707E82"/>
    <w:rsid w:val="00707EFD"/>
    <w:rsid w:val="00710198"/>
    <w:rsid w:val="00710232"/>
    <w:rsid w:val="00710533"/>
    <w:rsid w:val="007107B3"/>
    <w:rsid w:val="00710819"/>
    <w:rsid w:val="00710EC0"/>
    <w:rsid w:val="00710F3F"/>
    <w:rsid w:val="00711723"/>
    <w:rsid w:val="00711C28"/>
    <w:rsid w:val="00711C3F"/>
    <w:rsid w:val="0071206F"/>
    <w:rsid w:val="00712339"/>
    <w:rsid w:val="007124E7"/>
    <w:rsid w:val="0071296E"/>
    <w:rsid w:val="00712D68"/>
    <w:rsid w:val="00713048"/>
    <w:rsid w:val="00713792"/>
    <w:rsid w:val="00713E8C"/>
    <w:rsid w:val="007141B0"/>
    <w:rsid w:val="00714772"/>
    <w:rsid w:val="00714D31"/>
    <w:rsid w:val="00715588"/>
    <w:rsid w:val="00715706"/>
    <w:rsid w:val="007159F6"/>
    <w:rsid w:val="00715BC2"/>
    <w:rsid w:val="00715FFB"/>
    <w:rsid w:val="0071606D"/>
    <w:rsid w:val="0071675F"/>
    <w:rsid w:val="00717140"/>
    <w:rsid w:val="0071740A"/>
    <w:rsid w:val="007175CA"/>
    <w:rsid w:val="0071769B"/>
    <w:rsid w:val="007176F9"/>
    <w:rsid w:val="007177B1"/>
    <w:rsid w:val="00717E2A"/>
    <w:rsid w:val="00720C96"/>
    <w:rsid w:val="00720EE1"/>
    <w:rsid w:val="00720FA2"/>
    <w:rsid w:val="00721222"/>
    <w:rsid w:val="007219CD"/>
    <w:rsid w:val="00721A65"/>
    <w:rsid w:val="00721FCC"/>
    <w:rsid w:val="0072217E"/>
    <w:rsid w:val="00722214"/>
    <w:rsid w:val="0072254F"/>
    <w:rsid w:val="00722673"/>
    <w:rsid w:val="00722813"/>
    <w:rsid w:val="00722AE4"/>
    <w:rsid w:val="00722B39"/>
    <w:rsid w:val="0072375D"/>
    <w:rsid w:val="00723FA7"/>
    <w:rsid w:val="00724371"/>
    <w:rsid w:val="007244A5"/>
    <w:rsid w:val="00724506"/>
    <w:rsid w:val="00724C19"/>
    <w:rsid w:val="00725025"/>
    <w:rsid w:val="007251D7"/>
    <w:rsid w:val="00725414"/>
    <w:rsid w:val="00725933"/>
    <w:rsid w:val="00725C8F"/>
    <w:rsid w:val="00725CD1"/>
    <w:rsid w:val="00726435"/>
    <w:rsid w:val="00726B0E"/>
    <w:rsid w:val="00726B23"/>
    <w:rsid w:val="0072711E"/>
    <w:rsid w:val="00727151"/>
    <w:rsid w:val="007272DA"/>
    <w:rsid w:val="00727322"/>
    <w:rsid w:val="00727D2C"/>
    <w:rsid w:val="0073057B"/>
    <w:rsid w:val="00730763"/>
    <w:rsid w:val="00730D26"/>
    <w:rsid w:val="00730F74"/>
    <w:rsid w:val="00730FFA"/>
    <w:rsid w:val="00731284"/>
    <w:rsid w:val="00732473"/>
    <w:rsid w:val="00732C45"/>
    <w:rsid w:val="00732D80"/>
    <w:rsid w:val="00733183"/>
    <w:rsid w:val="007332EF"/>
    <w:rsid w:val="00733401"/>
    <w:rsid w:val="00733576"/>
    <w:rsid w:val="007336CF"/>
    <w:rsid w:val="00733847"/>
    <w:rsid w:val="00733E99"/>
    <w:rsid w:val="007341C2"/>
    <w:rsid w:val="007343FC"/>
    <w:rsid w:val="007344B3"/>
    <w:rsid w:val="00734643"/>
    <w:rsid w:val="00734858"/>
    <w:rsid w:val="00734B8A"/>
    <w:rsid w:val="00734F3C"/>
    <w:rsid w:val="007353F1"/>
    <w:rsid w:val="00735422"/>
    <w:rsid w:val="00735757"/>
    <w:rsid w:val="007361D7"/>
    <w:rsid w:val="00736577"/>
    <w:rsid w:val="00736754"/>
    <w:rsid w:val="00736EB4"/>
    <w:rsid w:val="00737037"/>
    <w:rsid w:val="0073790B"/>
    <w:rsid w:val="00737AE1"/>
    <w:rsid w:val="00740491"/>
    <w:rsid w:val="0074055B"/>
    <w:rsid w:val="00740793"/>
    <w:rsid w:val="00740BB4"/>
    <w:rsid w:val="00740E06"/>
    <w:rsid w:val="00740E0C"/>
    <w:rsid w:val="00740E7F"/>
    <w:rsid w:val="00740F2D"/>
    <w:rsid w:val="00740FDC"/>
    <w:rsid w:val="007412C1"/>
    <w:rsid w:val="00741501"/>
    <w:rsid w:val="007419E9"/>
    <w:rsid w:val="00741A60"/>
    <w:rsid w:val="00741CCB"/>
    <w:rsid w:val="00742318"/>
    <w:rsid w:val="00742780"/>
    <w:rsid w:val="00742CD5"/>
    <w:rsid w:val="007430AB"/>
    <w:rsid w:val="00743285"/>
    <w:rsid w:val="007432A9"/>
    <w:rsid w:val="007437B7"/>
    <w:rsid w:val="007438CD"/>
    <w:rsid w:val="00743907"/>
    <w:rsid w:val="00743AF5"/>
    <w:rsid w:val="00744271"/>
    <w:rsid w:val="007444F6"/>
    <w:rsid w:val="0074473D"/>
    <w:rsid w:val="007447F6"/>
    <w:rsid w:val="00744B2E"/>
    <w:rsid w:val="00744CD7"/>
    <w:rsid w:val="00744EB0"/>
    <w:rsid w:val="00744F3F"/>
    <w:rsid w:val="00744FDF"/>
    <w:rsid w:val="007451EA"/>
    <w:rsid w:val="007451EC"/>
    <w:rsid w:val="0074546B"/>
    <w:rsid w:val="007456D9"/>
    <w:rsid w:val="00745BF5"/>
    <w:rsid w:val="0074601B"/>
    <w:rsid w:val="007464C3"/>
    <w:rsid w:val="007467DE"/>
    <w:rsid w:val="00746A0A"/>
    <w:rsid w:val="00746B30"/>
    <w:rsid w:val="00746C2C"/>
    <w:rsid w:val="00746DCD"/>
    <w:rsid w:val="00746EBD"/>
    <w:rsid w:val="00746F13"/>
    <w:rsid w:val="007479BB"/>
    <w:rsid w:val="00747F25"/>
    <w:rsid w:val="00747F7A"/>
    <w:rsid w:val="007500BF"/>
    <w:rsid w:val="007502CB"/>
    <w:rsid w:val="0075047E"/>
    <w:rsid w:val="00750B71"/>
    <w:rsid w:val="00750BA4"/>
    <w:rsid w:val="00750D75"/>
    <w:rsid w:val="00751100"/>
    <w:rsid w:val="00751115"/>
    <w:rsid w:val="007511A9"/>
    <w:rsid w:val="00751434"/>
    <w:rsid w:val="007516B2"/>
    <w:rsid w:val="007517E5"/>
    <w:rsid w:val="00751E79"/>
    <w:rsid w:val="00751EF3"/>
    <w:rsid w:val="00751F3A"/>
    <w:rsid w:val="00751F54"/>
    <w:rsid w:val="007520D0"/>
    <w:rsid w:val="00752304"/>
    <w:rsid w:val="00752369"/>
    <w:rsid w:val="0075264A"/>
    <w:rsid w:val="00752973"/>
    <w:rsid w:val="00752B5D"/>
    <w:rsid w:val="00752CB1"/>
    <w:rsid w:val="00752DC3"/>
    <w:rsid w:val="00753DC1"/>
    <w:rsid w:val="00753F3F"/>
    <w:rsid w:val="007541B5"/>
    <w:rsid w:val="00754463"/>
    <w:rsid w:val="007549F5"/>
    <w:rsid w:val="00754D41"/>
    <w:rsid w:val="00754DC5"/>
    <w:rsid w:val="00754E84"/>
    <w:rsid w:val="00754F5E"/>
    <w:rsid w:val="0075512B"/>
    <w:rsid w:val="00755477"/>
    <w:rsid w:val="0075552C"/>
    <w:rsid w:val="00755DC2"/>
    <w:rsid w:val="00756148"/>
    <w:rsid w:val="0075614A"/>
    <w:rsid w:val="0075623E"/>
    <w:rsid w:val="00756E42"/>
    <w:rsid w:val="007571A0"/>
    <w:rsid w:val="007571BC"/>
    <w:rsid w:val="00757272"/>
    <w:rsid w:val="007601F2"/>
    <w:rsid w:val="0076020C"/>
    <w:rsid w:val="00760B62"/>
    <w:rsid w:val="00760BC7"/>
    <w:rsid w:val="00760DD6"/>
    <w:rsid w:val="00760E1B"/>
    <w:rsid w:val="00760ED0"/>
    <w:rsid w:val="00761075"/>
    <w:rsid w:val="00761161"/>
    <w:rsid w:val="00761939"/>
    <w:rsid w:val="007619BD"/>
    <w:rsid w:val="00761CBB"/>
    <w:rsid w:val="00762623"/>
    <w:rsid w:val="007626CE"/>
    <w:rsid w:val="0076276E"/>
    <w:rsid w:val="00762824"/>
    <w:rsid w:val="00762C58"/>
    <w:rsid w:val="00762C5D"/>
    <w:rsid w:val="00762D85"/>
    <w:rsid w:val="0076300B"/>
    <w:rsid w:val="007631AC"/>
    <w:rsid w:val="007635E0"/>
    <w:rsid w:val="0076379F"/>
    <w:rsid w:val="007639CD"/>
    <w:rsid w:val="00763C7D"/>
    <w:rsid w:val="00763D02"/>
    <w:rsid w:val="00763DB4"/>
    <w:rsid w:val="007641C3"/>
    <w:rsid w:val="007642B8"/>
    <w:rsid w:val="007643ED"/>
    <w:rsid w:val="0076451F"/>
    <w:rsid w:val="00764F88"/>
    <w:rsid w:val="007654FB"/>
    <w:rsid w:val="00765930"/>
    <w:rsid w:val="00765FF2"/>
    <w:rsid w:val="00766E35"/>
    <w:rsid w:val="00766ED8"/>
    <w:rsid w:val="007672D0"/>
    <w:rsid w:val="00767904"/>
    <w:rsid w:val="00767A5D"/>
    <w:rsid w:val="00770DD9"/>
    <w:rsid w:val="00771287"/>
    <w:rsid w:val="00771467"/>
    <w:rsid w:val="00771589"/>
    <w:rsid w:val="007715D1"/>
    <w:rsid w:val="00771809"/>
    <w:rsid w:val="0077184C"/>
    <w:rsid w:val="0077187E"/>
    <w:rsid w:val="007718AE"/>
    <w:rsid w:val="00771D7C"/>
    <w:rsid w:val="00772295"/>
    <w:rsid w:val="00772313"/>
    <w:rsid w:val="0077242A"/>
    <w:rsid w:val="007729A4"/>
    <w:rsid w:val="0077313F"/>
    <w:rsid w:val="0077356D"/>
    <w:rsid w:val="00773AAC"/>
    <w:rsid w:val="00773C21"/>
    <w:rsid w:val="00773C34"/>
    <w:rsid w:val="00773D9A"/>
    <w:rsid w:val="00773E03"/>
    <w:rsid w:val="00774221"/>
    <w:rsid w:val="007747A3"/>
    <w:rsid w:val="007747A4"/>
    <w:rsid w:val="00774D3D"/>
    <w:rsid w:val="00775182"/>
    <w:rsid w:val="00775249"/>
    <w:rsid w:val="0077526B"/>
    <w:rsid w:val="0077529C"/>
    <w:rsid w:val="00775843"/>
    <w:rsid w:val="00775E36"/>
    <w:rsid w:val="00775E76"/>
    <w:rsid w:val="0077634F"/>
    <w:rsid w:val="007764C9"/>
    <w:rsid w:val="007766F1"/>
    <w:rsid w:val="00776A39"/>
    <w:rsid w:val="00776B90"/>
    <w:rsid w:val="0077730F"/>
    <w:rsid w:val="00777927"/>
    <w:rsid w:val="00777BCA"/>
    <w:rsid w:val="00777F0A"/>
    <w:rsid w:val="00780220"/>
    <w:rsid w:val="007805CF"/>
    <w:rsid w:val="0078068C"/>
    <w:rsid w:val="00780897"/>
    <w:rsid w:val="00780A71"/>
    <w:rsid w:val="00780AB8"/>
    <w:rsid w:val="00781125"/>
    <w:rsid w:val="0078118D"/>
    <w:rsid w:val="00781261"/>
    <w:rsid w:val="00781409"/>
    <w:rsid w:val="00781434"/>
    <w:rsid w:val="007815C6"/>
    <w:rsid w:val="00781862"/>
    <w:rsid w:val="00781FA4"/>
    <w:rsid w:val="00782582"/>
    <w:rsid w:val="00782B52"/>
    <w:rsid w:val="00782EFC"/>
    <w:rsid w:val="0078300F"/>
    <w:rsid w:val="00783688"/>
    <w:rsid w:val="00783AF5"/>
    <w:rsid w:val="00783B2A"/>
    <w:rsid w:val="00783B7B"/>
    <w:rsid w:val="00784120"/>
    <w:rsid w:val="007844D0"/>
    <w:rsid w:val="00785174"/>
    <w:rsid w:val="0078548D"/>
    <w:rsid w:val="00785504"/>
    <w:rsid w:val="007856AD"/>
    <w:rsid w:val="00785936"/>
    <w:rsid w:val="00785B3D"/>
    <w:rsid w:val="00785FE2"/>
    <w:rsid w:val="0078605E"/>
    <w:rsid w:val="00786238"/>
    <w:rsid w:val="00786610"/>
    <w:rsid w:val="007869AB"/>
    <w:rsid w:val="00786EFA"/>
    <w:rsid w:val="0078708E"/>
    <w:rsid w:val="00787CE1"/>
    <w:rsid w:val="00787DEF"/>
    <w:rsid w:val="00787F74"/>
    <w:rsid w:val="007902B0"/>
    <w:rsid w:val="0079037C"/>
    <w:rsid w:val="007911DB"/>
    <w:rsid w:val="007913E8"/>
    <w:rsid w:val="007915E7"/>
    <w:rsid w:val="007916A0"/>
    <w:rsid w:val="0079174C"/>
    <w:rsid w:val="0079183D"/>
    <w:rsid w:val="00791C48"/>
    <w:rsid w:val="00791E04"/>
    <w:rsid w:val="00792042"/>
    <w:rsid w:val="007923DC"/>
    <w:rsid w:val="00792700"/>
    <w:rsid w:val="00792AEA"/>
    <w:rsid w:val="00792B9F"/>
    <w:rsid w:val="00792E1A"/>
    <w:rsid w:val="00793A66"/>
    <w:rsid w:val="00793C11"/>
    <w:rsid w:val="00793C60"/>
    <w:rsid w:val="00793EEF"/>
    <w:rsid w:val="00793F69"/>
    <w:rsid w:val="00793F8C"/>
    <w:rsid w:val="007942EC"/>
    <w:rsid w:val="007948BB"/>
    <w:rsid w:val="0079494D"/>
    <w:rsid w:val="00794E5A"/>
    <w:rsid w:val="00794E89"/>
    <w:rsid w:val="007953D9"/>
    <w:rsid w:val="00795588"/>
    <w:rsid w:val="00795B1E"/>
    <w:rsid w:val="00795B64"/>
    <w:rsid w:val="00795C62"/>
    <w:rsid w:val="007965C4"/>
    <w:rsid w:val="007965EE"/>
    <w:rsid w:val="007974A2"/>
    <w:rsid w:val="007974D5"/>
    <w:rsid w:val="00797501"/>
    <w:rsid w:val="00797D54"/>
    <w:rsid w:val="00797D67"/>
    <w:rsid w:val="00797DC9"/>
    <w:rsid w:val="00797ECA"/>
    <w:rsid w:val="007A001A"/>
    <w:rsid w:val="007A0118"/>
    <w:rsid w:val="007A0403"/>
    <w:rsid w:val="007A06E2"/>
    <w:rsid w:val="007A1495"/>
    <w:rsid w:val="007A1569"/>
    <w:rsid w:val="007A1B76"/>
    <w:rsid w:val="007A1FCD"/>
    <w:rsid w:val="007A20AA"/>
    <w:rsid w:val="007A2481"/>
    <w:rsid w:val="007A2902"/>
    <w:rsid w:val="007A35E5"/>
    <w:rsid w:val="007A3939"/>
    <w:rsid w:val="007A3C9A"/>
    <w:rsid w:val="007A404A"/>
    <w:rsid w:val="007A41A5"/>
    <w:rsid w:val="007A43C4"/>
    <w:rsid w:val="007A455D"/>
    <w:rsid w:val="007A4628"/>
    <w:rsid w:val="007A51D7"/>
    <w:rsid w:val="007A52EB"/>
    <w:rsid w:val="007A591F"/>
    <w:rsid w:val="007A5B13"/>
    <w:rsid w:val="007A5BC0"/>
    <w:rsid w:val="007A5E3E"/>
    <w:rsid w:val="007A5E45"/>
    <w:rsid w:val="007A5F8F"/>
    <w:rsid w:val="007A60E6"/>
    <w:rsid w:val="007A674C"/>
    <w:rsid w:val="007A70D4"/>
    <w:rsid w:val="007A7B5F"/>
    <w:rsid w:val="007B0049"/>
    <w:rsid w:val="007B08C1"/>
    <w:rsid w:val="007B0C86"/>
    <w:rsid w:val="007B0FCE"/>
    <w:rsid w:val="007B102E"/>
    <w:rsid w:val="007B14E8"/>
    <w:rsid w:val="007B222D"/>
    <w:rsid w:val="007B2373"/>
    <w:rsid w:val="007B29AC"/>
    <w:rsid w:val="007B2A43"/>
    <w:rsid w:val="007B2A76"/>
    <w:rsid w:val="007B3095"/>
    <w:rsid w:val="007B3323"/>
    <w:rsid w:val="007B3785"/>
    <w:rsid w:val="007B3991"/>
    <w:rsid w:val="007B3A0C"/>
    <w:rsid w:val="007B3C82"/>
    <w:rsid w:val="007B3DC2"/>
    <w:rsid w:val="007B3EB0"/>
    <w:rsid w:val="007B400E"/>
    <w:rsid w:val="007B4165"/>
    <w:rsid w:val="007B424E"/>
    <w:rsid w:val="007B432E"/>
    <w:rsid w:val="007B46C4"/>
    <w:rsid w:val="007B480F"/>
    <w:rsid w:val="007B4864"/>
    <w:rsid w:val="007B49BD"/>
    <w:rsid w:val="007B5264"/>
    <w:rsid w:val="007B58A6"/>
    <w:rsid w:val="007B5908"/>
    <w:rsid w:val="007B5A0D"/>
    <w:rsid w:val="007B6494"/>
    <w:rsid w:val="007B6AE4"/>
    <w:rsid w:val="007B6C8D"/>
    <w:rsid w:val="007B6D24"/>
    <w:rsid w:val="007B6D64"/>
    <w:rsid w:val="007B6D8E"/>
    <w:rsid w:val="007B7619"/>
    <w:rsid w:val="007B77FB"/>
    <w:rsid w:val="007C0148"/>
    <w:rsid w:val="007C0843"/>
    <w:rsid w:val="007C0B53"/>
    <w:rsid w:val="007C1137"/>
    <w:rsid w:val="007C131B"/>
    <w:rsid w:val="007C14FD"/>
    <w:rsid w:val="007C1729"/>
    <w:rsid w:val="007C1917"/>
    <w:rsid w:val="007C1C49"/>
    <w:rsid w:val="007C1E0A"/>
    <w:rsid w:val="007C25DB"/>
    <w:rsid w:val="007C2C13"/>
    <w:rsid w:val="007C2E69"/>
    <w:rsid w:val="007C2F45"/>
    <w:rsid w:val="007C311C"/>
    <w:rsid w:val="007C33D6"/>
    <w:rsid w:val="007C3789"/>
    <w:rsid w:val="007C38F3"/>
    <w:rsid w:val="007C3A5D"/>
    <w:rsid w:val="007C40E4"/>
    <w:rsid w:val="007C43AC"/>
    <w:rsid w:val="007C4779"/>
    <w:rsid w:val="007C4800"/>
    <w:rsid w:val="007C4C09"/>
    <w:rsid w:val="007C4EEC"/>
    <w:rsid w:val="007C5245"/>
    <w:rsid w:val="007C5420"/>
    <w:rsid w:val="007C5672"/>
    <w:rsid w:val="007C5D42"/>
    <w:rsid w:val="007C607E"/>
    <w:rsid w:val="007C60C3"/>
    <w:rsid w:val="007C6342"/>
    <w:rsid w:val="007C643B"/>
    <w:rsid w:val="007C6552"/>
    <w:rsid w:val="007C6ACD"/>
    <w:rsid w:val="007C706E"/>
    <w:rsid w:val="007C754C"/>
    <w:rsid w:val="007C7911"/>
    <w:rsid w:val="007C7E9F"/>
    <w:rsid w:val="007D02A2"/>
    <w:rsid w:val="007D0645"/>
    <w:rsid w:val="007D083A"/>
    <w:rsid w:val="007D0BE7"/>
    <w:rsid w:val="007D0D4C"/>
    <w:rsid w:val="007D144A"/>
    <w:rsid w:val="007D15C1"/>
    <w:rsid w:val="007D19FA"/>
    <w:rsid w:val="007D1F52"/>
    <w:rsid w:val="007D1F60"/>
    <w:rsid w:val="007D21CC"/>
    <w:rsid w:val="007D2567"/>
    <w:rsid w:val="007D28BA"/>
    <w:rsid w:val="007D2A9C"/>
    <w:rsid w:val="007D2AF7"/>
    <w:rsid w:val="007D2BE5"/>
    <w:rsid w:val="007D2D31"/>
    <w:rsid w:val="007D2FBF"/>
    <w:rsid w:val="007D34A5"/>
    <w:rsid w:val="007D351A"/>
    <w:rsid w:val="007D3798"/>
    <w:rsid w:val="007D3D85"/>
    <w:rsid w:val="007D4028"/>
    <w:rsid w:val="007D4487"/>
    <w:rsid w:val="007D4D9F"/>
    <w:rsid w:val="007D4DEF"/>
    <w:rsid w:val="007D5AF2"/>
    <w:rsid w:val="007D5BCD"/>
    <w:rsid w:val="007D6556"/>
    <w:rsid w:val="007D6C5D"/>
    <w:rsid w:val="007D738A"/>
    <w:rsid w:val="007D762F"/>
    <w:rsid w:val="007D7B98"/>
    <w:rsid w:val="007D7DF6"/>
    <w:rsid w:val="007E0086"/>
    <w:rsid w:val="007E01C2"/>
    <w:rsid w:val="007E0355"/>
    <w:rsid w:val="007E0528"/>
    <w:rsid w:val="007E0586"/>
    <w:rsid w:val="007E093C"/>
    <w:rsid w:val="007E0F3B"/>
    <w:rsid w:val="007E144B"/>
    <w:rsid w:val="007E1454"/>
    <w:rsid w:val="007E14EA"/>
    <w:rsid w:val="007E18F6"/>
    <w:rsid w:val="007E1A9B"/>
    <w:rsid w:val="007E27C9"/>
    <w:rsid w:val="007E28C6"/>
    <w:rsid w:val="007E2988"/>
    <w:rsid w:val="007E2B2D"/>
    <w:rsid w:val="007E2E9E"/>
    <w:rsid w:val="007E2EAD"/>
    <w:rsid w:val="007E3047"/>
    <w:rsid w:val="007E36FC"/>
    <w:rsid w:val="007E3D1E"/>
    <w:rsid w:val="007E3F3D"/>
    <w:rsid w:val="007E40D5"/>
    <w:rsid w:val="007E41B9"/>
    <w:rsid w:val="007E4946"/>
    <w:rsid w:val="007E511E"/>
    <w:rsid w:val="007E51B3"/>
    <w:rsid w:val="007E51C2"/>
    <w:rsid w:val="007E5404"/>
    <w:rsid w:val="007E5470"/>
    <w:rsid w:val="007E56CF"/>
    <w:rsid w:val="007E59C8"/>
    <w:rsid w:val="007E6245"/>
    <w:rsid w:val="007E6951"/>
    <w:rsid w:val="007E6B0C"/>
    <w:rsid w:val="007E6DDC"/>
    <w:rsid w:val="007E6F77"/>
    <w:rsid w:val="007E7127"/>
    <w:rsid w:val="007E7543"/>
    <w:rsid w:val="007E7593"/>
    <w:rsid w:val="007E760C"/>
    <w:rsid w:val="007E7B9A"/>
    <w:rsid w:val="007E7E5E"/>
    <w:rsid w:val="007F04FA"/>
    <w:rsid w:val="007F09EA"/>
    <w:rsid w:val="007F0BA9"/>
    <w:rsid w:val="007F0CB6"/>
    <w:rsid w:val="007F131C"/>
    <w:rsid w:val="007F18C3"/>
    <w:rsid w:val="007F235F"/>
    <w:rsid w:val="007F27EF"/>
    <w:rsid w:val="007F29A9"/>
    <w:rsid w:val="007F2A70"/>
    <w:rsid w:val="007F2D4F"/>
    <w:rsid w:val="007F2E51"/>
    <w:rsid w:val="007F3027"/>
    <w:rsid w:val="007F3157"/>
    <w:rsid w:val="007F354C"/>
    <w:rsid w:val="007F3E3A"/>
    <w:rsid w:val="007F41A7"/>
    <w:rsid w:val="007F4782"/>
    <w:rsid w:val="007F4892"/>
    <w:rsid w:val="007F4A66"/>
    <w:rsid w:val="007F4AD4"/>
    <w:rsid w:val="007F5520"/>
    <w:rsid w:val="007F5C47"/>
    <w:rsid w:val="007F5EED"/>
    <w:rsid w:val="007F604B"/>
    <w:rsid w:val="007F6105"/>
    <w:rsid w:val="007F6281"/>
    <w:rsid w:val="007F6CEA"/>
    <w:rsid w:val="007F6EF8"/>
    <w:rsid w:val="007F714A"/>
    <w:rsid w:val="007F71A7"/>
    <w:rsid w:val="007F74E4"/>
    <w:rsid w:val="007F79F9"/>
    <w:rsid w:val="007F7AC2"/>
    <w:rsid w:val="0080083D"/>
    <w:rsid w:val="00800B31"/>
    <w:rsid w:val="00800CD9"/>
    <w:rsid w:val="00800D79"/>
    <w:rsid w:val="00800D7B"/>
    <w:rsid w:val="00800F2F"/>
    <w:rsid w:val="0080109C"/>
    <w:rsid w:val="008010B7"/>
    <w:rsid w:val="00801378"/>
    <w:rsid w:val="00801EC7"/>
    <w:rsid w:val="00801F14"/>
    <w:rsid w:val="008021AF"/>
    <w:rsid w:val="00802AE3"/>
    <w:rsid w:val="00804207"/>
    <w:rsid w:val="008043EE"/>
    <w:rsid w:val="008044AE"/>
    <w:rsid w:val="00804AA9"/>
    <w:rsid w:val="00804D00"/>
    <w:rsid w:val="00804DF5"/>
    <w:rsid w:val="0080515F"/>
    <w:rsid w:val="00805249"/>
    <w:rsid w:val="00805373"/>
    <w:rsid w:val="00805830"/>
    <w:rsid w:val="00805927"/>
    <w:rsid w:val="00805EFF"/>
    <w:rsid w:val="00806475"/>
    <w:rsid w:val="0080679A"/>
    <w:rsid w:val="00806957"/>
    <w:rsid w:val="00806D21"/>
    <w:rsid w:val="0080706F"/>
    <w:rsid w:val="008073A1"/>
    <w:rsid w:val="00807616"/>
    <w:rsid w:val="00807D1A"/>
    <w:rsid w:val="00810188"/>
    <w:rsid w:val="00810273"/>
    <w:rsid w:val="008102C0"/>
    <w:rsid w:val="008104EE"/>
    <w:rsid w:val="00810695"/>
    <w:rsid w:val="00810F92"/>
    <w:rsid w:val="00811882"/>
    <w:rsid w:val="00811A87"/>
    <w:rsid w:val="0081282E"/>
    <w:rsid w:val="00812A44"/>
    <w:rsid w:val="00812D15"/>
    <w:rsid w:val="00812DAC"/>
    <w:rsid w:val="00812E67"/>
    <w:rsid w:val="008132CF"/>
    <w:rsid w:val="0081386A"/>
    <w:rsid w:val="0081391C"/>
    <w:rsid w:val="0081399E"/>
    <w:rsid w:val="008140D3"/>
    <w:rsid w:val="0081429D"/>
    <w:rsid w:val="00814703"/>
    <w:rsid w:val="008158C8"/>
    <w:rsid w:val="00815B3B"/>
    <w:rsid w:val="008164E8"/>
    <w:rsid w:val="008168C2"/>
    <w:rsid w:val="00816B4A"/>
    <w:rsid w:val="00816E56"/>
    <w:rsid w:val="00816F7D"/>
    <w:rsid w:val="008170EA"/>
    <w:rsid w:val="00817366"/>
    <w:rsid w:val="00817461"/>
    <w:rsid w:val="00817464"/>
    <w:rsid w:val="00817757"/>
    <w:rsid w:val="008178A5"/>
    <w:rsid w:val="00817951"/>
    <w:rsid w:val="00817A0C"/>
    <w:rsid w:val="00817B6B"/>
    <w:rsid w:val="00817BE4"/>
    <w:rsid w:val="00817D41"/>
    <w:rsid w:val="00817FDC"/>
    <w:rsid w:val="00820587"/>
    <w:rsid w:val="00821165"/>
    <w:rsid w:val="00821B15"/>
    <w:rsid w:val="00821D0B"/>
    <w:rsid w:val="00821F10"/>
    <w:rsid w:val="00822096"/>
    <w:rsid w:val="008223A6"/>
    <w:rsid w:val="0082243A"/>
    <w:rsid w:val="00822AF8"/>
    <w:rsid w:val="008230F7"/>
    <w:rsid w:val="00823279"/>
    <w:rsid w:val="00823283"/>
    <w:rsid w:val="00823972"/>
    <w:rsid w:val="008239D0"/>
    <w:rsid w:val="00823DBC"/>
    <w:rsid w:val="008242DA"/>
    <w:rsid w:val="0082458B"/>
    <w:rsid w:val="0082477F"/>
    <w:rsid w:val="00824A5B"/>
    <w:rsid w:val="0082503B"/>
    <w:rsid w:val="008251B9"/>
    <w:rsid w:val="008256D3"/>
    <w:rsid w:val="008256E7"/>
    <w:rsid w:val="008259D6"/>
    <w:rsid w:val="00825C81"/>
    <w:rsid w:val="00825FE1"/>
    <w:rsid w:val="00826161"/>
    <w:rsid w:val="008262BE"/>
    <w:rsid w:val="00826C9C"/>
    <w:rsid w:val="00826CC9"/>
    <w:rsid w:val="00826FEB"/>
    <w:rsid w:val="008271C4"/>
    <w:rsid w:val="0082722E"/>
    <w:rsid w:val="008272DE"/>
    <w:rsid w:val="008274A5"/>
    <w:rsid w:val="008276AC"/>
    <w:rsid w:val="008279C8"/>
    <w:rsid w:val="00827FF3"/>
    <w:rsid w:val="008309F1"/>
    <w:rsid w:val="00830AF0"/>
    <w:rsid w:val="00830CF6"/>
    <w:rsid w:val="008314C9"/>
    <w:rsid w:val="008315B8"/>
    <w:rsid w:val="008316F4"/>
    <w:rsid w:val="00831B48"/>
    <w:rsid w:val="00831C77"/>
    <w:rsid w:val="00832075"/>
    <w:rsid w:val="008320E4"/>
    <w:rsid w:val="00832627"/>
    <w:rsid w:val="00832792"/>
    <w:rsid w:val="00832B38"/>
    <w:rsid w:val="00832B4B"/>
    <w:rsid w:val="008330ED"/>
    <w:rsid w:val="0083332A"/>
    <w:rsid w:val="00833FDF"/>
    <w:rsid w:val="00834791"/>
    <w:rsid w:val="00834EA3"/>
    <w:rsid w:val="00835521"/>
    <w:rsid w:val="008355F1"/>
    <w:rsid w:val="008359F4"/>
    <w:rsid w:val="00835C4B"/>
    <w:rsid w:val="00835F9C"/>
    <w:rsid w:val="0083648A"/>
    <w:rsid w:val="00836913"/>
    <w:rsid w:val="00836D6B"/>
    <w:rsid w:val="008371E2"/>
    <w:rsid w:val="00837AE5"/>
    <w:rsid w:val="00837B6F"/>
    <w:rsid w:val="00837E2B"/>
    <w:rsid w:val="00837FEE"/>
    <w:rsid w:val="008400B0"/>
    <w:rsid w:val="008402DA"/>
    <w:rsid w:val="0084030B"/>
    <w:rsid w:val="008407C8"/>
    <w:rsid w:val="00840819"/>
    <w:rsid w:val="00840BDB"/>
    <w:rsid w:val="00840C6D"/>
    <w:rsid w:val="00840DF7"/>
    <w:rsid w:val="00840FB7"/>
    <w:rsid w:val="0084151E"/>
    <w:rsid w:val="00841A38"/>
    <w:rsid w:val="00841A7B"/>
    <w:rsid w:val="00841F2B"/>
    <w:rsid w:val="0084218C"/>
    <w:rsid w:val="008421DC"/>
    <w:rsid w:val="008425BA"/>
    <w:rsid w:val="008425DD"/>
    <w:rsid w:val="008431A3"/>
    <w:rsid w:val="008439E0"/>
    <w:rsid w:val="008440C8"/>
    <w:rsid w:val="008442C8"/>
    <w:rsid w:val="00844416"/>
    <w:rsid w:val="008447E8"/>
    <w:rsid w:val="00844811"/>
    <w:rsid w:val="00844E8E"/>
    <w:rsid w:val="00845437"/>
    <w:rsid w:val="00845625"/>
    <w:rsid w:val="008456E1"/>
    <w:rsid w:val="0084571E"/>
    <w:rsid w:val="00845827"/>
    <w:rsid w:val="00845A37"/>
    <w:rsid w:val="00845AD3"/>
    <w:rsid w:val="00845F5F"/>
    <w:rsid w:val="00846466"/>
    <w:rsid w:val="00846812"/>
    <w:rsid w:val="00846816"/>
    <w:rsid w:val="0084699B"/>
    <w:rsid w:val="00846BCF"/>
    <w:rsid w:val="00846C00"/>
    <w:rsid w:val="00846EFB"/>
    <w:rsid w:val="00846F86"/>
    <w:rsid w:val="0084738A"/>
    <w:rsid w:val="0084774B"/>
    <w:rsid w:val="00847EB2"/>
    <w:rsid w:val="0085028D"/>
    <w:rsid w:val="00850546"/>
    <w:rsid w:val="008505D9"/>
    <w:rsid w:val="0085061B"/>
    <w:rsid w:val="008509A2"/>
    <w:rsid w:val="00850E75"/>
    <w:rsid w:val="00851194"/>
    <w:rsid w:val="008515FD"/>
    <w:rsid w:val="008517A1"/>
    <w:rsid w:val="00851A81"/>
    <w:rsid w:val="00851E90"/>
    <w:rsid w:val="00851EB5"/>
    <w:rsid w:val="00851F13"/>
    <w:rsid w:val="00851FF6"/>
    <w:rsid w:val="0085228B"/>
    <w:rsid w:val="008528FD"/>
    <w:rsid w:val="00852BF1"/>
    <w:rsid w:val="00853249"/>
    <w:rsid w:val="00853666"/>
    <w:rsid w:val="0085367C"/>
    <w:rsid w:val="00853949"/>
    <w:rsid w:val="008539BD"/>
    <w:rsid w:val="00853BAE"/>
    <w:rsid w:val="00853E96"/>
    <w:rsid w:val="00853F0E"/>
    <w:rsid w:val="00853F88"/>
    <w:rsid w:val="00853FE0"/>
    <w:rsid w:val="008542B6"/>
    <w:rsid w:val="008545AE"/>
    <w:rsid w:val="00854781"/>
    <w:rsid w:val="0085481A"/>
    <w:rsid w:val="00854A2C"/>
    <w:rsid w:val="00854BB6"/>
    <w:rsid w:val="008551BD"/>
    <w:rsid w:val="0085526E"/>
    <w:rsid w:val="008564C1"/>
    <w:rsid w:val="008565B1"/>
    <w:rsid w:val="008565CE"/>
    <w:rsid w:val="0085660F"/>
    <w:rsid w:val="00856939"/>
    <w:rsid w:val="00856994"/>
    <w:rsid w:val="008569BA"/>
    <w:rsid w:val="00856A1D"/>
    <w:rsid w:val="00856E09"/>
    <w:rsid w:val="00857503"/>
    <w:rsid w:val="00857728"/>
    <w:rsid w:val="00857E11"/>
    <w:rsid w:val="0086095B"/>
    <w:rsid w:val="00860B18"/>
    <w:rsid w:val="00860B50"/>
    <w:rsid w:val="00860BC2"/>
    <w:rsid w:val="00860BDF"/>
    <w:rsid w:val="00860D0F"/>
    <w:rsid w:val="00860EEC"/>
    <w:rsid w:val="00861281"/>
    <w:rsid w:val="00861339"/>
    <w:rsid w:val="00861A3F"/>
    <w:rsid w:val="00861D78"/>
    <w:rsid w:val="008621BF"/>
    <w:rsid w:val="00862359"/>
    <w:rsid w:val="00862767"/>
    <w:rsid w:val="00862DDA"/>
    <w:rsid w:val="00862F1B"/>
    <w:rsid w:val="008634B8"/>
    <w:rsid w:val="008634EC"/>
    <w:rsid w:val="00863609"/>
    <w:rsid w:val="00863E12"/>
    <w:rsid w:val="00864388"/>
    <w:rsid w:val="00864395"/>
    <w:rsid w:val="0086447B"/>
    <w:rsid w:val="008645FC"/>
    <w:rsid w:val="00864715"/>
    <w:rsid w:val="008649A3"/>
    <w:rsid w:val="00864FAE"/>
    <w:rsid w:val="00864FAF"/>
    <w:rsid w:val="00864FF1"/>
    <w:rsid w:val="0086511F"/>
    <w:rsid w:val="008652B8"/>
    <w:rsid w:val="008654E2"/>
    <w:rsid w:val="008656D7"/>
    <w:rsid w:val="008659AF"/>
    <w:rsid w:val="00865A4D"/>
    <w:rsid w:val="00865B25"/>
    <w:rsid w:val="00865F8D"/>
    <w:rsid w:val="00866394"/>
    <w:rsid w:val="008665D5"/>
    <w:rsid w:val="008667CE"/>
    <w:rsid w:val="00866914"/>
    <w:rsid w:val="008669E4"/>
    <w:rsid w:val="00866A06"/>
    <w:rsid w:val="0086729A"/>
    <w:rsid w:val="00867351"/>
    <w:rsid w:val="0086762B"/>
    <w:rsid w:val="0086771B"/>
    <w:rsid w:val="00867C0F"/>
    <w:rsid w:val="008702AE"/>
    <w:rsid w:val="008702B4"/>
    <w:rsid w:val="008709E4"/>
    <w:rsid w:val="00870C5A"/>
    <w:rsid w:val="0087107E"/>
    <w:rsid w:val="00871303"/>
    <w:rsid w:val="00871857"/>
    <w:rsid w:val="00871BDA"/>
    <w:rsid w:val="00871CF3"/>
    <w:rsid w:val="00871EB8"/>
    <w:rsid w:val="00871FC6"/>
    <w:rsid w:val="008726C7"/>
    <w:rsid w:val="008728A6"/>
    <w:rsid w:val="00872BDC"/>
    <w:rsid w:val="00872C29"/>
    <w:rsid w:val="00872C89"/>
    <w:rsid w:val="00872CC5"/>
    <w:rsid w:val="00873727"/>
    <w:rsid w:val="008737C3"/>
    <w:rsid w:val="0087389A"/>
    <w:rsid w:val="00873E17"/>
    <w:rsid w:val="00873E78"/>
    <w:rsid w:val="00874368"/>
    <w:rsid w:val="00874470"/>
    <w:rsid w:val="008747B8"/>
    <w:rsid w:val="00874B18"/>
    <w:rsid w:val="00874CD8"/>
    <w:rsid w:val="00874CE6"/>
    <w:rsid w:val="00874E28"/>
    <w:rsid w:val="00874EE4"/>
    <w:rsid w:val="0087528F"/>
    <w:rsid w:val="008757C9"/>
    <w:rsid w:val="00875AB4"/>
    <w:rsid w:val="00875DD9"/>
    <w:rsid w:val="00876AD1"/>
    <w:rsid w:val="00876E09"/>
    <w:rsid w:val="0087785D"/>
    <w:rsid w:val="00877DF6"/>
    <w:rsid w:val="0088029A"/>
    <w:rsid w:val="00880773"/>
    <w:rsid w:val="008807ED"/>
    <w:rsid w:val="008808B1"/>
    <w:rsid w:val="0088096F"/>
    <w:rsid w:val="00880C32"/>
    <w:rsid w:val="00880D5F"/>
    <w:rsid w:val="00880F0A"/>
    <w:rsid w:val="00881320"/>
    <w:rsid w:val="0088152B"/>
    <w:rsid w:val="008816AB"/>
    <w:rsid w:val="00881B06"/>
    <w:rsid w:val="00881C4B"/>
    <w:rsid w:val="00881D9C"/>
    <w:rsid w:val="00881F1D"/>
    <w:rsid w:val="00882399"/>
    <w:rsid w:val="00882FEF"/>
    <w:rsid w:val="00883377"/>
    <w:rsid w:val="0088383F"/>
    <w:rsid w:val="00883A3A"/>
    <w:rsid w:val="00883D46"/>
    <w:rsid w:val="00883F75"/>
    <w:rsid w:val="00884036"/>
    <w:rsid w:val="0088413F"/>
    <w:rsid w:val="00884249"/>
    <w:rsid w:val="0088453E"/>
    <w:rsid w:val="00884664"/>
    <w:rsid w:val="008848D5"/>
    <w:rsid w:val="00884B2D"/>
    <w:rsid w:val="00884D86"/>
    <w:rsid w:val="00884F38"/>
    <w:rsid w:val="00884FA8"/>
    <w:rsid w:val="00885653"/>
    <w:rsid w:val="008857BF"/>
    <w:rsid w:val="00885F3C"/>
    <w:rsid w:val="0088618D"/>
    <w:rsid w:val="00886435"/>
    <w:rsid w:val="008867C7"/>
    <w:rsid w:val="00886CCF"/>
    <w:rsid w:val="00886DEA"/>
    <w:rsid w:val="008874DD"/>
    <w:rsid w:val="00887592"/>
    <w:rsid w:val="00887AD7"/>
    <w:rsid w:val="00887F9C"/>
    <w:rsid w:val="008901D6"/>
    <w:rsid w:val="0089022A"/>
    <w:rsid w:val="008904AA"/>
    <w:rsid w:val="008908D1"/>
    <w:rsid w:val="00890CB2"/>
    <w:rsid w:val="00890CB5"/>
    <w:rsid w:val="00890CBD"/>
    <w:rsid w:val="00890D2C"/>
    <w:rsid w:val="0089146C"/>
    <w:rsid w:val="00891B13"/>
    <w:rsid w:val="00892134"/>
    <w:rsid w:val="0089219F"/>
    <w:rsid w:val="008925F6"/>
    <w:rsid w:val="00892C96"/>
    <w:rsid w:val="00893AB7"/>
    <w:rsid w:val="00893B43"/>
    <w:rsid w:val="00893C0A"/>
    <w:rsid w:val="00893D57"/>
    <w:rsid w:val="00893E43"/>
    <w:rsid w:val="0089418C"/>
    <w:rsid w:val="00894700"/>
    <w:rsid w:val="0089474A"/>
    <w:rsid w:val="008947E6"/>
    <w:rsid w:val="00894D70"/>
    <w:rsid w:val="00894DF3"/>
    <w:rsid w:val="008954D5"/>
    <w:rsid w:val="00895792"/>
    <w:rsid w:val="008959AB"/>
    <w:rsid w:val="00895BFA"/>
    <w:rsid w:val="0089620A"/>
    <w:rsid w:val="00896ACE"/>
    <w:rsid w:val="008976FD"/>
    <w:rsid w:val="00897724"/>
    <w:rsid w:val="008977C5"/>
    <w:rsid w:val="00897AC0"/>
    <w:rsid w:val="00897BAE"/>
    <w:rsid w:val="00897E24"/>
    <w:rsid w:val="008A0244"/>
    <w:rsid w:val="008A049D"/>
    <w:rsid w:val="008A055E"/>
    <w:rsid w:val="008A05D3"/>
    <w:rsid w:val="008A06A0"/>
    <w:rsid w:val="008A06A2"/>
    <w:rsid w:val="008A085E"/>
    <w:rsid w:val="008A09FD"/>
    <w:rsid w:val="008A0CCF"/>
    <w:rsid w:val="008A0E4C"/>
    <w:rsid w:val="008A179B"/>
    <w:rsid w:val="008A1B33"/>
    <w:rsid w:val="008A1DC4"/>
    <w:rsid w:val="008A20BA"/>
    <w:rsid w:val="008A28E6"/>
    <w:rsid w:val="008A2AE2"/>
    <w:rsid w:val="008A2D16"/>
    <w:rsid w:val="008A361A"/>
    <w:rsid w:val="008A3625"/>
    <w:rsid w:val="008A37C7"/>
    <w:rsid w:val="008A3FFD"/>
    <w:rsid w:val="008A445D"/>
    <w:rsid w:val="008A4913"/>
    <w:rsid w:val="008A4D7E"/>
    <w:rsid w:val="008A4D84"/>
    <w:rsid w:val="008A519D"/>
    <w:rsid w:val="008A51C9"/>
    <w:rsid w:val="008A531A"/>
    <w:rsid w:val="008A5673"/>
    <w:rsid w:val="008A5CB1"/>
    <w:rsid w:val="008A611D"/>
    <w:rsid w:val="008A6147"/>
    <w:rsid w:val="008A66EE"/>
    <w:rsid w:val="008A6766"/>
    <w:rsid w:val="008A6A4F"/>
    <w:rsid w:val="008A6DD0"/>
    <w:rsid w:val="008A6F12"/>
    <w:rsid w:val="008A727B"/>
    <w:rsid w:val="008A7AE8"/>
    <w:rsid w:val="008A7BD5"/>
    <w:rsid w:val="008B01C1"/>
    <w:rsid w:val="008B0587"/>
    <w:rsid w:val="008B05F4"/>
    <w:rsid w:val="008B0809"/>
    <w:rsid w:val="008B0D27"/>
    <w:rsid w:val="008B0D8F"/>
    <w:rsid w:val="008B0DFA"/>
    <w:rsid w:val="008B12D3"/>
    <w:rsid w:val="008B1888"/>
    <w:rsid w:val="008B19A3"/>
    <w:rsid w:val="008B1E7F"/>
    <w:rsid w:val="008B1F2D"/>
    <w:rsid w:val="008B2BF4"/>
    <w:rsid w:val="008B2C6B"/>
    <w:rsid w:val="008B2D65"/>
    <w:rsid w:val="008B2DCC"/>
    <w:rsid w:val="008B2F91"/>
    <w:rsid w:val="008B34DD"/>
    <w:rsid w:val="008B3551"/>
    <w:rsid w:val="008B3EE0"/>
    <w:rsid w:val="008B4228"/>
    <w:rsid w:val="008B4357"/>
    <w:rsid w:val="008B51E6"/>
    <w:rsid w:val="008B5360"/>
    <w:rsid w:val="008B57A1"/>
    <w:rsid w:val="008B5801"/>
    <w:rsid w:val="008B61EE"/>
    <w:rsid w:val="008B6486"/>
    <w:rsid w:val="008B6519"/>
    <w:rsid w:val="008B67F8"/>
    <w:rsid w:val="008B720C"/>
    <w:rsid w:val="008B7212"/>
    <w:rsid w:val="008B74A9"/>
    <w:rsid w:val="008B757A"/>
    <w:rsid w:val="008B770B"/>
    <w:rsid w:val="008B79C6"/>
    <w:rsid w:val="008B7D07"/>
    <w:rsid w:val="008B7D8E"/>
    <w:rsid w:val="008B7E3E"/>
    <w:rsid w:val="008C0D2E"/>
    <w:rsid w:val="008C0FC0"/>
    <w:rsid w:val="008C0FEA"/>
    <w:rsid w:val="008C1290"/>
    <w:rsid w:val="008C187C"/>
    <w:rsid w:val="008C18D6"/>
    <w:rsid w:val="008C1B22"/>
    <w:rsid w:val="008C1FBD"/>
    <w:rsid w:val="008C2282"/>
    <w:rsid w:val="008C24AE"/>
    <w:rsid w:val="008C2A34"/>
    <w:rsid w:val="008C2C3E"/>
    <w:rsid w:val="008C2C8F"/>
    <w:rsid w:val="008C2F30"/>
    <w:rsid w:val="008C2F58"/>
    <w:rsid w:val="008C3254"/>
    <w:rsid w:val="008C35B0"/>
    <w:rsid w:val="008C36E1"/>
    <w:rsid w:val="008C383D"/>
    <w:rsid w:val="008C3A13"/>
    <w:rsid w:val="008C3B97"/>
    <w:rsid w:val="008C3D32"/>
    <w:rsid w:val="008C3F2F"/>
    <w:rsid w:val="008C4759"/>
    <w:rsid w:val="008C4881"/>
    <w:rsid w:val="008C50D3"/>
    <w:rsid w:val="008C531C"/>
    <w:rsid w:val="008C5988"/>
    <w:rsid w:val="008C5C74"/>
    <w:rsid w:val="008C5E3D"/>
    <w:rsid w:val="008C6614"/>
    <w:rsid w:val="008C6952"/>
    <w:rsid w:val="008C6AB2"/>
    <w:rsid w:val="008C6AE4"/>
    <w:rsid w:val="008C6B97"/>
    <w:rsid w:val="008C6E64"/>
    <w:rsid w:val="008C7A78"/>
    <w:rsid w:val="008C7CBC"/>
    <w:rsid w:val="008C7FAC"/>
    <w:rsid w:val="008C7FD2"/>
    <w:rsid w:val="008D0232"/>
    <w:rsid w:val="008D0BF7"/>
    <w:rsid w:val="008D0C3E"/>
    <w:rsid w:val="008D0E0D"/>
    <w:rsid w:val="008D169A"/>
    <w:rsid w:val="008D20EE"/>
    <w:rsid w:val="008D2327"/>
    <w:rsid w:val="008D23E4"/>
    <w:rsid w:val="008D26D5"/>
    <w:rsid w:val="008D2D5F"/>
    <w:rsid w:val="008D3279"/>
    <w:rsid w:val="008D3574"/>
    <w:rsid w:val="008D43AA"/>
    <w:rsid w:val="008D443C"/>
    <w:rsid w:val="008D4D51"/>
    <w:rsid w:val="008D5275"/>
    <w:rsid w:val="008D5EA8"/>
    <w:rsid w:val="008D642E"/>
    <w:rsid w:val="008D67AD"/>
    <w:rsid w:val="008D6A4E"/>
    <w:rsid w:val="008D6F35"/>
    <w:rsid w:val="008D720C"/>
    <w:rsid w:val="008D773B"/>
    <w:rsid w:val="008D77F1"/>
    <w:rsid w:val="008D7A75"/>
    <w:rsid w:val="008D7A88"/>
    <w:rsid w:val="008D7F48"/>
    <w:rsid w:val="008E0585"/>
    <w:rsid w:val="008E0C01"/>
    <w:rsid w:val="008E11AB"/>
    <w:rsid w:val="008E1629"/>
    <w:rsid w:val="008E1A7E"/>
    <w:rsid w:val="008E242C"/>
    <w:rsid w:val="008E259D"/>
    <w:rsid w:val="008E3187"/>
    <w:rsid w:val="008E3DAE"/>
    <w:rsid w:val="008E3EB3"/>
    <w:rsid w:val="008E4425"/>
    <w:rsid w:val="008E484C"/>
    <w:rsid w:val="008E4BAE"/>
    <w:rsid w:val="008E4E18"/>
    <w:rsid w:val="008E510F"/>
    <w:rsid w:val="008E511F"/>
    <w:rsid w:val="008E5124"/>
    <w:rsid w:val="008E51EB"/>
    <w:rsid w:val="008E5205"/>
    <w:rsid w:val="008E59FB"/>
    <w:rsid w:val="008E5BA3"/>
    <w:rsid w:val="008E5D27"/>
    <w:rsid w:val="008E6047"/>
    <w:rsid w:val="008E6698"/>
    <w:rsid w:val="008E66B9"/>
    <w:rsid w:val="008E6E4C"/>
    <w:rsid w:val="008E6FDC"/>
    <w:rsid w:val="008E71FF"/>
    <w:rsid w:val="008E7218"/>
    <w:rsid w:val="008E72C1"/>
    <w:rsid w:val="008E799F"/>
    <w:rsid w:val="008E7A35"/>
    <w:rsid w:val="008E7F71"/>
    <w:rsid w:val="008F00A7"/>
    <w:rsid w:val="008F0182"/>
    <w:rsid w:val="008F156A"/>
    <w:rsid w:val="008F1912"/>
    <w:rsid w:val="008F1A80"/>
    <w:rsid w:val="008F1EC0"/>
    <w:rsid w:val="008F2122"/>
    <w:rsid w:val="008F2843"/>
    <w:rsid w:val="008F29BC"/>
    <w:rsid w:val="008F2E9B"/>
    <w:rsid w:val="008F2EB4"/>
    <w:rsid w:val="008F3551"/>
    <w:rsid w:val="008F3967"/>
    <w:rsid w:val="008F4025"/>
    <w:rsid w:val="008F403A"/>
    <w:rsid w:val="008F445D"/>
    <w:rsid w:val="008F44C1"/>
    <w:rsid w:val="008F5F2C"/>
    <w:rsid w:val="008F6564"/>
    <w:rsid w:val="008F699B"/>
    <w:rsid w:val="008F69F0"/>
    <w:rsid w:val="008F6C8F"/>
    <w:rsid w:val="008F6EB3"/>
    <w:rsid w:val="008F6F57"/>
    <w:rsid w:val="008F7966"/>
    <w:rsid w:val="008F7F8D"/>
    <w:rsid w:val="009000C6"/>
    <w:rsid w:val="0090028B"/>
    <w:rsid w:val="00900463"/>
    <w:rsid w:val="00900542"/>
    <w:rsid w:val="009006A4"/>
    <w:rsid w:val="009007ED"/>
    <w:rsid w:val="00900A8B"/>
    <w:rsid w:val="009015E7"/>
    <w:rsid w:val="00901851"/>
    <w:rsid w:val="009018F8"/>
    <w:rsid w:val="00902265"/>
    <w:rsid w:val="00902623"/>
    <w:rsid w:val="0090267B"/>
    <w:rsid w:val="009029F8"/>
    <w:rsid w:val="00902DC8"/>
    <w:rsid w:val="00903031"/>
    <w:rsid w:val="00903556"/>
    <w:rsid w:val="00903B27"/>
    <w:rsid w:val="00903D78"/>
    <w:rsid w:val="00903DCE"/>
    <w:rsid w:val="00904410"/>
    <w:rsid w:val="00905058"/>
    <w:rsid w:val="009055D5"/>
    <w:rsid w:val="009061B5"/>
    <w:rsid w:val="009062DF"/>
    <w:rsid w:val="00906594"/>
    <w:rsid w:val="009065A9"/>
    <w:rsid w:val="009068B5"/>
    <w:rsid w:val="009069CC"/>
    <w:rsid w:val="00906C11"/>
    <w:rsid w:val="00906C30"/>
    <w:rsid w:val="00906CE5"/>
    <w:rsid w:val="00906F08"/>
    <w:rsid w:val="00907372"/>
    <w:rsid w:val="0090743B"/>
    <w:rsid w:val="009074EB"/>
    <w:rsid w:val="00907933"/>
    <w:rsid w:val="00907BC6"/>
    <w:rsid w:val="00907C96"/>
    <w:rsid w:val="00907CB9"/>
    <w:rsid w:val="00907CF8"/>
    <w:rsid w:val="00907DCF"/>
    <w:rsid w:val="00907E34"/>
    <w:rsid w:val="00907EA9"/>
    <w:rsid w:val="00907F41"/>
    <w:rsid w:val="009105D0"/>
    <w:rsid w:val="00910615"/>
    <w:rsid w:val="009109D9"/>
    <w:rsid w:val="0091131D"/>
    <w:rsid w:val="009115B3"/>
    <w:rsid w:val="00911CDC"/>
    <w:rsid w:val="00912394"/>
    <w:rsid w:val="009123DC"/>
    <w:rsid w:val="00912B69"/>
    <w:rsid w:val="00912ED7"/>
    <w:rsid w:val="00912F6A"/>
    <w:rsid w:val="0091301A"/>
    <w:rsid w:val="009130B9"/>
    <w:rsid w:val="009137C9"/>
    <w:rsid w:val="009139B1"/>
    <w:rsid w:val="00913A05"/>
    <w:rsid w:val="009143CE"/>
    <w:rsid w:val="0091444D"/>
    <w:rsid w:val="00914598"/>
    <w:rsid w:val="00914C03"/>
    <w:rsid w:val="00914D7D"/>
    <w:rsid w:val="00915C3E"/>
    <w:rsid w:val="00915D49"/>
    <w:rsid w:val="00916BD5"/>
    <w:rsid w:val="00916E3B"/>
    <w:rsid w:val="00916E8E"/>
    <w:rsid w:val="00916FB2"/>
    <w:rsid w:val="00917126"/>
    <w:rsid w:val="009171CF"/>
    <w:rsid w:val="00917255"/>
    <w:rsid w:val="0091734B"/>
    <w:rsid w:val="00917431"/>
    <w:rsid w:val="00917BA4"/>
    <w:rsid w:val="00917E33"/>
    <w:rsid w:val="00917EB7"/>
    <w:rsid w:val="009206FF"/>
    <w:rsid w:val="00920A76"/>
    <w:rsid w:val="00920B3F"/>
    <w:rsid w:val="00920EBA"/>
    <w:rsid w:val="009211F1"/>
    <w:rsid w:val="00921A1D"/>
    <w:rsid w:val="00921F9B"/>
    <w:rsid w:val="00922029"/>
    <w:rsid w:val="0092231F"/>
    <w:rsid w:val="0092263C"/>
    <w:rsid w:val="00922681"/>
    <w:rsid w:val="00922A9D"/>
    <w:rsid w:val="00922FD1"/>
    <w:rsid w:val="009230DD"/>
    <w:rsid w:val="00923351"/>
    <w:rsid w:val="009237AA"/>
    <w:rsid w:val="00923AC2"/>
    <w:rsid w:val="00923C33"/>
    <w:rsid w:val="00923C92"/>
    <w:rsid w:val="00923E6E"/>
    <w:rsid w:val="00923FF0"/>
    <w:rsid w:val="0092421C"/>
    <w:rsid w:val="00924B32"/>
    <w:rsid w:val="00925262"/>
    <w:rsid w:val="0092538B"/>
    <w:rsid w:val="0092546F"/>
    <w:rsid w:val="0092565A"/>
    <w:rsid w:val="00925826"/>
    <w:rsid w:val="009259B3"/>
    <w:rsid w:val="00925A51"/>
    <w:rsid w:val="00925B39"/>
    <w:rsid w:val="00925C67"/>
    <w:rsid w:val="0092603E"/>
    <w:rsid w:val="00926497"/>
    <w:rsid w:val="009269E7"/>
    <w:rsid w:val="00926B7A"/>
    <w:rsid w:val="00926E66"/>
    <w:rsid w:val="00926FBB"/>
    <w:rsid w:val="00926FC8"/>
    <w:rsid w:val="009272D0"/>
    <w:rsid w:val="00927738"/>
    <w:rsid w:val="009279B4"/>
    <w:rsid w:val="00927BB7"/>
    <w:rsid w:val="00927C17"/>
    <w:rsid w:val="00927DCA"/>
    <w:rsid w:val="009301C2"/>
    <w:rsid w:val="00930E52"/>
    <w:rsid w:val="009310B3"/>
    <w:rsid w:val="009310E4"/>
    <w:rsid w:val="009312F3"/>
    <w:rsid w:val="009314CD"/>
    <w:rsid w:val="0093174B"/>
    <w:rsid w:val="009318B2"/>
    <w:rsid w:val="009318C5"/>
    <w:rsid w:val="00931A98"/>
    <w:rsid w:val="00931AA0"/>
    <w:rsid w:val="00931C4F"/>
    <w:rsid w:val="00932777"/>
    <w:rsid w:val="00932B2B"/>
    <w:rsid w:val="00933186"/>
    <w:rsid w:val="00933259"/>
    <w:rsid w:val="00933679"/>
    <w:rsid w:val="009336FD"/>
    <w:rsid w:val="00933D50"/>
    <w:rsid w:val="009344F7"/>
    <w:rsid w:val="009346E4"/>
    <w:rsid w:val="00934718"/>
    <w:rsid w:val="00934878"/>
    <w:rsid w:val="00934CBB"/>
    <w:rsid w:val="00934D42"/>
    <w:rsid w:val="00934ED4"/>
    <w:rsid w:val="0093552B"/>
    <w:rsid w:val="00935552"/>
    <w:rsid w:val="00935CC6"/>
    <w:rsid w:val="0093681C"/>
    <w:rsid w:val="00936DC9"/>
    <w:rsid w:val="00936FFB"/>
    <w:rsid w:val="00937054"/>
    <w:rsid w:val="0093718B"/>
    <w:rsid w:val="0093747E"/>
    <w:rsid w:val="009374D7"/>
    <w:rsid w:val="0093794A"/>
    <w:rsid w:val="00937A9C"/>
    <w:rsid w:val="00937AA2"/>
    <w:rsid w:val="00937C08"/>
    <w:rsid w:val="00937DE1"/>
    <w:rsid w:val="00937F30"/>
    <w:rsid w:val="00940480"/>
    <w:rsid w:val="009411F0"/>
    <w:rsid w:val="00941277"/>
    <w:rsid w:val="0094195B"/>
    <w:rsid w:val="00941BAB"/>
    <w:rsid w:val="00941C4E"/>
    <w:rsid w:val="00941D4D"/>
    <w:rsid w:val="00942190"/>
    <w:rsid w:val="009422A7"/>
    <w:rsid w:val="009422E0"/>
    <w:rsid w:val="009422FE"/>
    <w:rsid w:val="00942635"/>
    <w:rsid w:val="009429AC"/>
    <w:rsid w:val="00942AC2"/>
    <w:rsid w:val="00942B7F"/>
    <w:rsid w:val="00942C93"/>
    <w:rsid w:val="009430CB"/>
    <w:rsid w:val="00943352"/>
    <w:rsid w:val="009435F8"/>
    <w:rsid w:val="00943976"/>
    <w:rsid w:val="00943AF2"/>
    <w:rsid w:val="00944165"/>
    <w:rsid w:val="009444D4"/>
    <w:rsid w:val="0094462E"/>
    <w:rsid w:val="00944BCA"/>
    <w:rsid w:val="00944E02"/>
    <w:rsid w:val="009451DF"/>
    <w:rsid w:val="009452E1"/>
    <w:rsid w:val="00945326"/>
    <w:rsid w:val="00945880"/>
    <w:rsid w:val="009458CE"/>
    <w:rsid w:val="009463D3"/>
    <w:rsid w:val="00946539"/>
    <w:rsid w:val="00946C18"/>
    <w:rsid w:val="00946DC7"/>
    <w:rsid w:val="00946F81"/>
    <w:rsid w:val="00946FEC"/>
    <w:rsid w:val="009474C5"/>
    <w:rsid w:val="00947CF1"/>
    <w:rsid w:val="00950649"/>
    <w:rsid w:val="00950DEC"/>
    <w:rsid w:val="00950EFD"/>
    <w:rsid w:val="0095115E"/>
    <w:rsid w:val="00951215"/>
    <w:rsid w:val="009512FB"/>
    <w:rsid w:val="009514D3"/>
    <w:rsid w:val="009519F9"/>
    <w:rsid w:val="00951A21"/>
    <w:rsid w:val="00951BD3"/>
    <w:rsid w:val="00951C5B"/>
    <w:rsid w:val="00951F0F"/>
    <w:rsid w:val="009520E9"/>
    <w:rsid w:val="009529AF"/>
    <w:rsid w:val="00952C30"/>
    <w:rsid w:val="00953637"/>
    <w:rsid w:val="0095368A"/>
    <w:rsid w:val="009537A8"/>
    <w:rsid w:val="0095398F"/>
    <w:rsid w:val="00953A03"/>
    <w:rsid w:val="00953D34"/>
    <w:rsid w:val="00953E89"/>
    <w:rsid w:val="00953F2C"/>
    <w:rsid w:val="00953FC4"/>
    <w:rsid w:val="0095419E"/>
    <w:rsid w:val="00954479"/>
    <w:rsid w:val="0095467B"/>
    <w:rsid w:val="009546B9"/>
    <w:rsid w:val="00954991"/>
    <w:rsid w:val="00954B67"/>
    <w:rsid w:val="00954EFD"/>
    <w:rsid w:val="009550F5"/>
    <w:rsid w:val="0095545F"/>
    <w:rsid w:val="0095549F"/>
    <w:rsid w:val="009560C6"/>
    <w:rsid w:val="0095626F"/>
    <w:rsid w:val="009562D8"/>
    <w:rsid w:val="00956700"/>
    <w:rsid w:val="00956768"/>
    <w:rsid w:val="0095684B"/>
    <w:rsid w:val="00956C60"/>
    <w:rsid w:val="00956CCB"/>
    <w:rsid w:val="00957D54"/>
    <w:rsid w:val="00957DA9"/>
    <w:rsid w:val="009600DA"/>
    <w:rsid w:val="009602BC"/>
    <w:rsid w:val="00960848"/>
    <w:rsid w:val="00961411"/>
    <w:rsid w:val="0096165B"/>
    <w:rsid w:val="00961883"/>
    <w:rsid w:val="009618DE"/>
    <w:rsid w:val="00961ED2"/>
    <w:rsid w:val="00962091"/>
    <w:rsid w:val="00962438"/>
    <w:rsid w:val="00962477"/>
    <w:rsid w:val="0096260A"/>
    <w:rsid w:val="009626C5"/>
    <w:rsid w:val="00963096"/>
    <w:rsid w:val="009631EB"/>
    <w:rsid w:val="00963303"/>
    <w:rsid w:val="009633B0"/>
    <w:rsid w:val="0096340E"/>
    <w:rsid w:val="0096340F"/>
    <w:rsid w:val="009638A2"/>
    <w:rsid w:val="00963909"/>
    <w:rsid w:val="009644F5"/>
    <w:rsid w:val="00964640"/>
    <w:rsid w:val="0096488A"/>
    <w:rsid w:val="00964D56"/>
    <w:rsid w:val="00965048"/>
    <w:rsid w:val="009650D0"/>
    <w:rsid w:val="00965448"/>
    <w:rsid w:val="009656A7"/>
    <w:rsid w:val="00965BE6"/>
    <w:rsid w:val="00965C31"/>
    <w:rsid w:val="009661CD"/>
    <w:rsid w:val="009661EA"/>
    <w:rsid w:val="009662D6"/>
    <w:rsid w:val="0096640F"/>
    <w:rsid w:val="009667AB"/>
    <w:rsid w:val="00966AE9"/>
    <w:rsid w:val="00966C72"/>
    <w:rsid w:val="00966CC9"/>
    <w:rsid w:val="00966DFC"/>
    <w:rsid w:val="00970E86"/>
    <w:rsid w:val="009715DC"/>
    <w:rsid w:val="0097181A"/>
    <w:rsid w:val="009718AB"/>
    <w:rsid w:val="00971BD6"/>
    <w:rsid w:val="0097230B"/>
    <w:rsid w:val="00972487"/>
    <w:rsid w:val="009724D9"/>
    <w:rsid w:val="00972C1F"/>
    <w:rsid w:val="0097340E"/>
    <w:rsid w:val="00973687"/>
    <w:rsid w:val="009739A1"/>
    <w:rsid w:val="00973AF9"/>
    <w:rsid w:val="00973F95"/>
    <w:rsid w:val="00974BB6"/>
    <w:rsid w:val="00974DA7"/>
    <w:rsid w:val="00974E7C"/>
    <w:rsid w:val="00974FA8"/>
    <w:rsid w:val="0097568F"/>
    <w:rsid w:val="00975B06"/>
    <w:rsid w:val="00975DAC"/>
    <w:rsid w:val="009765E3"/>
    <w:rsid w:val="00976681"/>
    <w:rsid w:val="00976E73"/>
    <w:rsid w:val="00976EE3"/>
    <w:rsid w:val="009775B0"/>
    <w:rsid w:val="00977771"/>
    <w:rsid w:val="009777C2"/>
    <w:rsid w:val="00977B52"/>
    <w:rsid w:val="00977EA0"/>
    <w:rsid w:val="00977F02"/>
    <w:rsid w:val="00977F16"/>
    <w:rsid w:val="00980193"/>
    <w:rsid w:val="009802F3"/>
    <w:rsid w:val="00980681"/>
    <w:rsid w:val="009806F6"/>
    <w:rsid w:val="0098078D"/>
    <w:rsid w:val="00980969"/>
    <w:rsid w:val="00980A3E"/>
    <w:rsid w:val="0098112F"/>
    <w:rsid w:val="0098115C"/>
    <w:rsid w:val="0098124B"/>
    <w:rsid w:val="0098147C"/>
    <w:rsid w:val="00981548"/>
    <w:rsid w:val="00981B67"/>
    <w:rsid w:val="00981CDE"/>
    <w:rsid w:val="00981D84"/>
    <w:rsid w:val="00981DC4"/>
    <w:rsid w:val="00981E66"/>
    <w:rsid w:val="00982215"/>
    <w:rsid w:val="00982508"/>
    <w:rsid w:val="00982748"/>
    <w:rsid w:val="00982BD4"/>
    <w:rsid w:val="00982EAF"/>
    <w:rsid w:val="00982EF0"/>
    <w:rsid w:val="0098315B"/>
    <w:rsid w:val="009832C9"/>
    <w:rsid w:val="009832DB"/>
    <w:rsid w:val="00983787"/>
    <w:rsid w:val="00984129"/>
    <w:rsid w:val="00984391"/>
    <w:rsid w:val="0098473F"/>
    <w:rsid w:val="00984831"/>
    <w:rsid w:val="00984A34"/>
    <w:rsid w:val="00984E24"/>
    <w:rsid w:val="00985866"/>
    <w:rsid w:val="00985B19"/>
    <w:rsid w:val="00985C52"/>
    <w:rsid w:val="00985FDE"/>
    <w:rsid w:val="00986568"/>
    <w:rsid w:val="00986E2C"/>
    <w:rsid w:val="009870A8"/>
    <w:rsid w:val="009870E3"/>
    <w:rsid w:val="0098728A"/>
    <w:rsid w:val="009876DA"/>
    <w:rsid w:val="00987793"/>
    <w:rsid w:val="009877AB"/>
    <w:rsid w:val="009877B2"/>
    <w:rsid w:val="0098781B"/>
    <w:rsid w:val="009879BD"/>
    <w:rsid w:val="00987B85"/>
    <w:rsid w:val="00987D4B"/>
    <w:rsid w:val="00990034"/>
    <w:rsid w:val="00990479"/>
    <w:rsid w:val="009907EA"/>
    <w:rsid w:val="00990986"/>
    <w:rsid w:val="0099168A"/>
    <w:rsid w:val="009916F3"/>
    <w:rsid w:val="00991C13"/>
    <w:rsid w:val="00991D1E"/>
    <w:rsid w:val="00991EDB"/>
    <w:rsid w:val="009923AD"/>
    <w:rsid w:val="00992562"/>
    <w:rsid w:val="009925D0"/>
    <w:rsid w:val="00992975"/>
    <w:rsid w:val="009929B2"/>
    <w:rsid w:val="00992C1A"/>
    <w:rsid w:val="00993243"/>
    <w:rsid w:val="009932BF"/>
    <w:rsid w:val="00993475"/>
    <w:rsid w:val="009935F1"/>
    <w:rsid w:val="0099365D"/>
    <w:rsid w:val="009939BA"/>
    <w:rsid w:val="00993CE5"/>
    <w:rsid w:val="00993D1A"/>
    <w:rsid w:val="00993D91"/>
    <w:rsid w:val="009942AE"/>
    <w:rsid w:val="009944E7"/>
    <w:rsid w:val="0099457D"/>
    <w:rsid w:val="009951A9"/>
    <w:rsid w:val="00995527"/>
    <w:rsid w:val="00995BB7"/>
    <w:rsid w:val="00996793"/>
    <w:rsid w:val="00996972"/>
    <w:rsid w:val="0099700F"/>
    <w:rsid w:val="00997076"/>
    <w:rsid w:val="009973CE"/>
    <w:rsid w:val="00997E12"/>
    <w:rsid w:val="009A0233"/>
    <w:rsid w:val="009A02D5"/>
    <w:rsid w:val="009A07DB"/>
    <w:rsid w:val="009A0B55"/>
    <w:rsid w:val="009A0CB8"/>
    <w:rsid w:val="009A0E39"/>
    <w:rsid w:val="009A0E6A"/>
    <w:rsid w:val="009A1235"/>
    <w:rsid w:val="009A14A1"/>
    <w:rsid w:val="009A187D"/>
    <w:rsid w:val="009A1A31"/>
    <w:rsid w:val="009A1B8B"/>
    <w:rsid w:val="009A1C6B"/>
    <w:rsid w:val="009A1C86"/>
    <w:rsid w:val="009A20C4"/>
    <w:rsid w:val="009A2467"/>
    <w:rsid w:val="009A246D"/>
    <w:rsid w:val="009A32D0"/>
    <w:rsid w:val="009A3698"/>
    <w:rsid w:val="009A3948"/>
    <w:rsid w:val="009A3A52"/>
    <w:rsid w:val="009A3D79"/>
    <w:rsid w:val="009A3DC6"/>
    <w:rsid w:val="009A3F6A"/>
    <w:rsid w:val="009A435B"/>
    <w:rsid w:val="009A4C51"/>
    <w:rsid w:val="009A4CD6"/>
    <w:rsid w:val="009A4D3F"/>
    <w:rsid w:val="009A4DDA"/>
    <w:rsid w:val="009A4FFC"/>
    <w:rsid w:val="009A5106"/>
    <w:rsid w:val="009A549B"/>
    <w:rsid w:val="009A55A4"/>
    <w:rsid w:val="009A55B8"/>
    <w:rsid w:val="009A57ED"/>
    <w:rsid w:val="009A58D9"/>
    <w:rsid w:val="009A5E92"/>
    <w:rsid w:val="009A5E9D"/>
    <w:rsid w:val="009A5EE3"/>
    <w:rsid w:val="009A6162"/>
    <w:rsid w:val="009A6488"/>
    <w:rsid w:val="009A6663"/>
    <w:rsid w:val="009A6B5E"/>
    <w:rsid w:val="009A7843"/>
    <w:rsid w:val="009A7EB9"/>
    <w:rsid w:val="009B020F"/>
    <w:rsid w:val="009B083A"/>
    <w:rsid w:val="009B08A4"/>
    <w:rsid w:val="009B08D3"/>
    <w:rsid w:val="009B0BFA"/>
    <w:rsid w:val="009B10C7"/>
    <w:rsid w:val="009B1215"/>
    <w:rsid w:val="009B1554"/>
    <w:rsid w:val="009B16CD"/>
    <w:rsid w:val="009B1837"/>
    <w:rsid w:val="009B1898"/>
    <w:rsid w:val="009B19D4"/>
    <w:rsid w:val="009B1C14"/>
    <w:rsid w:val="009B24E1"/>
    <w:rsid w:val="009B2788"/>
    <w:rsid w:val="009B28AF"/>
    <w:rsid w:val="009B2B4F"/>
    <w:rsid w:val="009B2BDA"/>
    <w:rsid w:val="009B2E2D"/>
    <w:rsid w:val="009B2E9B"/>
    <w:rsid w:val="009B3089"/>
    <w:rsid w:val="009B35E0"/>
    <w:rsid w:val="009B3823"/>
    <w:rsid w:val="009B38B9"/>
    <w:rsid w:val="009B3A1E"/>
    <w:rsid w:val="009B3B49"/>
    <w:rsid w:val="009B3C4D"/>
    <w:rsid w:val="009B3CEA"/>
    <w:rsid w:val="009B40A5"/>
    <w:rsid w:val="009B40B5"/>
    <w:rsid w:val="009B4101"/>
    <w:rsid w:val="009B441B"/>
    <w:rsid w:val="009B4789"/>
    <w:rsid w:val="009B4CE8"/>
    <w:rsid w:val="009B4F3B"/>
    <w:rsid w:val="009B524E"/>
    <w:rsid w:val="009B5298"/>
    <w:rsid w:val="009B5A68"/>
    <w:rsid w:val="009B5E6B"/>
    <w:rsid w:val="009B618C"/>
    <w:rsid w:val="009B631E"/>
    <w:rsid w:val="009B63D3"/>
    <w:rsid w:val="009B6470"/>
    <w:rsid w:val="009B6554"/>
    <w:rsid w:val="009B6EF6"/>
    <w:rsid w:val="009B727B"/>
    <w:rsid w:val="009B75C8"/>
    <w:rsid w:val="009B762C"/>
    <w:rsid w:val="009B7657"/>
    <w:rsid w:val="009B7714"/>
    <w:rsid w:val="009B775F"/>
    <w:rsid w:val="009B7927"/>
    <w:rsid w:val="009B7B15"/>
    <w:rsid w:val="009C0D02"/>
    <w:rsid w:val="009C0FD2"/>
    <w:rsid w:val="009C1027"/>
    <w:rsid w:val="009C11DD"/>
    <w:rsid w:val="009C133B"/>
    <w:rsid w:val="009C15F5"/>
    <w:rsid w:val="009C167F"/>
    <w:rsid w:val="009C1840"/>
    <w:rsid w:val="009C1952"/>
    <w:rsid w:val="009C1AC2"/>
    <w:rsid w:val="009C1E7E"/>
    <w:rsid w:val="009C24B3"/>
    <w:rsid w:val="009C2F07"/>
    <w:rsid w:val="009C31B8"/>
    <w:rsid w:val="009C35CB"/>
    <w:rsid w:val="009C3725"/>
    <w:rsid w:val="009C4153"/>
    <w:rsid w:val="009C4718"/>
    <w:rsid w:val="009C47B9"/>
    <w:rsid w:val="009C4C6B"/>
    <w:rsid w:val="009C4DD6"/>
    <w:rsid w:val="009C4E6B"/>
    <w:rsid w:val="009C5561"/>
    <w:rsid w:val="009C5847"/>
    <w:rsid w:val="009C5D8A"/>
    <w:rsid w:val="009C604A"/>
    <w:rsid w:val="009C60A9"/>
    <w:rsid w:val="009C6195"/>
    <w:rsid w:val="009C6366"/>
    <w:rsid w:val="009C6B7D"/>
    <w:rsid w:val="009C6E20"/>
    <w:rsid w:val="009C7227"/>
    <w:rsid w:val="009C744A"/>
    <w:rsid w:val="009C77FE"/>
    <w:rsid w:val="009C7CA4"/>
    <w:rsid w:val="009C7EA1"/>
    <w:rsid w:val="009D00DD"/>
    <w:rsid w:val="009D04A2"/>
    <w:rsid w:val="009D0575"/>
    <w:rsid w:val="009D069B"/>
    <w:rsid w:val="009D10B6"/>
    <w:rsid w:val="009D13F1"/>
    <w:rsid w:val="009D152C"/>
    <w:rsid w:val="009D1541"/>
    <w:rsid w:val="009D1902"/>
    <w:rsid w:val="009D1AD4"/>
    <w:rsid w:val="009D206D"/>
    <w:rsid w:val="009D2235"/>
    <w:rsid w:val="009D2398"/>
    <w:rsid w:val="009D2CC4"/>
    <w:rsid w:val="009D342C"/>
    <w:rsid w:val="009D34C2"/>
    <w:rsid w:val="009D3C6D"/>
    <w:rsid w:val="009D47D1"/>
    <w:rsid w:val="009D4A7F"/>
    <w:rsid w:val="009D4D74"/>
    <w:rsid w:val="009D5A0A"/>
    <w:rsid w:val="009D5EA4"/>
    <w:rsid w:val="009D609E"/>
    <w:rsid w:val="009D61B7"/>
    <w:rsid w:val="009D655D"/>
    <w:rsid w:val="009D68AE"/>
    <w:rsid w:val="009D69D7"/>
    <w:rsid w:val="009D6B94"/>
    <w:rsid w:val="009D6BDF"/>
    <w:rsid w:val="009D6FF0"/>
    <w:rsid w:val="009D718D"/>
    <w:rsid w:val="009D7632"/>
    <w:rsid w:val="009D76AA"/>
    <w:rsid w:val="009D78B9"/>
    <w:rsid w:val="009D7902"/>
    <w:rsid w:val="009D7C27"/>
    <w:rsid w:val="009D7D55"/>
    <w:rsid w:val="009E002D"/>
    <w:rsid w:val="009E0301"/>
    <w:rsid w:val="009E034E"/>
    <w:rsid w:val="009E0629"/>
    <w:rsid w:val="009E09AF"/>
    <w:rsid w:val="009E0A1E"/>
    <w:rsid w:val="009E0E49"/>
    <w:rsid w:val="009E119A"/>
    <w:rsid w:val="009E1A27"/>
    <w:rsid w:val="009E1AA5"/>
    <w:rsid w:val="009E22FC"/>
    <w:rsid w:val="009E27EE"/>
    <w:rsid w:val="009E2AD0"/>
    <w:rsid w:val="009E304F"/>
    <w:rsid w:val="009E3334"/>
    <w:rsid w:val="009E3369"/>
    <w:rsid w:val="009E36C1"/>
    <w:rsid w:val="009E370D"/>
    <w:rsid w:val="009E3CA6"/>
    <w:rsid w:val="009E3DAA"/>
    <w:rsid w:val="009E3F0A"/>
    <w:rsid w:val="009E3F7E"/>
    <w:rsid w:val="009E3FBA"/>
    <w:rsid w:val="009E41B1"/>
    <w:rsid w:val="009E422B"/>
    <w:rsid w:val="009E4B4E"/>
    <w:rsid w:val="009E4CC3"/>
    <w:rsid w:val="009E4DF0"/>
    <w:rsid w:val="009E4F16"/>
    <w:rsid w:val="009E4F8C"/>
    <w:rsid w:val="009E513D"/>
    <w:rsid w:val="009E53B2"/>
    <w:rsid w:val="009E5444"/>
    <w:rsid w:val="009E569C"/>
    <w:rsid w:val="009E5BF2"/>
    <w:rsid w:val="009E5DD3"/>
    <w:rsid w:val="009E5F87"/>
    <w:rsid w:val="009E6165"/>
    <w:rsid w:val="009E63E2"/>
    <w:rsid w:val="009E6675"/>
    <w:rsid w:val="009E66D7"/>
    <w:rsid w:val="009E6FB1"/>
    <w:rsid w:val="009E7AF4"/>
    <w:rsid w:val="009F0443"/>
    <w:rsid w:val="009F055F"/>
    <w:rsid w:val="009F08EF"/>
    <w:rsid w:val="009F1196"/>
    <w:rsid w:val="009F12AA"/>
    <w:rsid w:val="009F12C6"/>
    <w:rsid w:val="009F1464"/>
    <w:rsid w:val="009F2190"/>
    <w:rsid w:val="009F2215"/>
    <w:rsid w:val="009F222A"/>
    <w:rsid w:val="009F2271"/>
    <w:rsid w:val="009F2CB9"/>
    <w:rsid w:val="009F2DBF"/>
    <w:rsid w:val="009F3448"/>
    <w:rsid w:val="009F36EC"/>
    <w:rsid w:val="009F3BF8"/>
    <w:rsid w:val="009F3C0C"/>
    <w:rsid w:val="009F3D76"/>
    <w:rsid w:val="009F3F00"/>
    <w:rsid w:val="009F3F22"/>
    <w:rsid w:val="009F4521"/>
    <w:rsid w:val="009F4747"/>
    <w:rsid w:val="009F480F"/>
    <w:rsid w:val="009F481F"/>
    <w:rsid w:val="009F4BB0"/>
    <w:rsid w:val="009F4BF3"/>
    <w:rsid w:val="009F4F09"/>
    <w:rsid w:val="009F500C"/>
    <w:rsid w:val="009F5146"/>
    <w:rsid w:val="009F545D"/>
    <w:rsid w:val="009F56C1"/>
    <w:rsid w:val="009F57B8"/>
    <w:rsid w:val="009F586F"/>
    <w:rsid w:val="009F5902"/>
    <w:rsid w:val="009F5F57"/>
    <w:rsid w:val="009F5F69"/>
    <w:rsid w:val="009F6044"/>
    <w:rsid w:val="009F6119"/>
    <w:rsid w:val="009F65B1"/>
    <w:rsid w:val="009F663A"/>
    <w:rsid w:val="009F7255"/>
    <w:rsid w:val="00A000CC"/>
    <w:rsid w:val="00A0063B"/>
    <w:rsid w:val="00A00991"/>
    <w:rsid w:val="00A00B6B"/>
    <w:rsid w:val="00A00E78"/>
    <w:rsid w:val="00A01754"/>
    <w:rsid w:val="00A017DC"/>
    <w:rsid w:val="00A01BF5"/>
    <w:rsid w:val="00A021B4"/>
    <w:rsid w:val="00A0243F"/>
    <w:rsid w:val="00A02817"/>
    <w:rsid w:val="00A0365C"/>
    <w:rsid w:val="00A03963"/>
    <w:rsid w:val="00A04404"/>
    <w:rsid w:val="00A044A1"/>
    <w:rsid w:val="00A04864"/>
    <w:rsid w:val="00A04BBC"/>
    <w:rsid w:val="00A04F53"/>
    <w:rsid w:val="00A057B9"/>
    <w:rsid w:val="00A05812"/>
    <w:rsid w:val="00A058F7"/>
    <w:rsid w:val="00A05F82"/>
    <w:rsid w:val="00A06467"/>
    <w:rsid w:val="00A06937"/>
    <w:rsid w:val="00A0693D"/>
    <w:rsid w:val="00A06976"/>
    <w:rsid w:val="00A06B13"/>
    <w:rsid w:val="00A06F98"/>
    <w:rsid w:val="00A070E4"/>
    <w:rsid w:val="00A075DA"/>
    <w:rsid w:val="00A07826"/>
    <w:rsid w:val="00A07EB0"/>
    <w:rsid w:val="00A10286"/>
    <w:rsid w:val="00A10386"/>
    <w:rsid w:val="00A10521"/>
    <w:rsid w:val="00A106E6"/>
    <w:rsid w:val="00A10769"/>
    <w:rsid w:val="00A10D1B"/>
    <w:rsid w:val="00A10F10"/>
    <w:rsid w:val="00A10FF9"/>
    <w:rsid w:val="00A11010"/>
    <w:rsid w:val="00A1101E"/>
    <w:rsid w:val="00A110DC"/>
    <w:rsid w:val="00A11A1E"/>
    <w:rsid w:val="00A1211F"/>
    <w:rsid w:val="00A123D2"/>
    <w:rsid w:val="00A1252C"/>
    <w:rsid w:val="00A125C4"/>
    <w:rsid w:val="00A12824"/>
    <w:rsid w:val="00A12850"/>
    <w:rsid w:val="00A12A87"/>
    <w:rsid w:val="00A12BFA"/>
    <w:rsid w:val="00A13831"/>
    <w:rsid w:val="00A1389F"/>
    <w:rsid w:val="00A13A3A"/>
    <w:rsid w:val="00A13CF1"/>
    <w:rsid w:val="00A14292"/>
    <w:rsid w:val="00A146D1"/>
    <w:rsid w:val="00A15083"/>
    <w:rsid w:val="00A1518B"/>
    <w:rsid w:val="00A1533C"/>
    <w:rsid w:val="00A15759"/>
    <w:rsid w:val="00A15990"/>
    <w:rsid w:val="00A15B08"/>
    <w:rsid w:val="00A15BB2"/>
    <w:rsid w:val="00A15EB8"/>
    <w:rsid w:val="00A15FFC"/>
    <w:rsid w:val="00A160F0"/>
    <w:rsid w:val="00A16B61"/>
    <w:rsid w:val="00A16B85"/>
    <w:rsid w:val="00A16F65"/>
    <w:rsid w:val="00A17AC9"/>
    <w:rsid w:val="00A206C7"/>
    <w:rsid w:val="00A20806"/>
    <w:rsid w:val="00A2083E"/>
    <w:rsid w:val="00A211C4"/>
    <w:rsid w:val="00A21524"/>
    <w:rsid w:val="00A215E1"/>
    <w:rsid w:val="00A218DC"/>
    <w:rsid w:val="00A21ADA"/>
    <w:rsid w:val="00A21DBB"/>
    <w:rsid w:val="00A21E5C"/>
    <w:rsid w:val="00A22072"/>
    <w:rsid w:val="00A2211C"/>
    <w:rsid w:val="00A222A9"/>
    <w:rsid w:val="00A2284A"/>
    <w:rsid w:val="00A22E12"/>
    <w:rsid w:val="00A22EFC"/>
    <w:rsid w:val="00A2303A"/>
    <w:rsid w:val="00A23349"/>
    <w:rsid w:val="00A2348A"/>
    <w:rsid w:val="00A23768"/>
    <w:rsid w:val="00A23CD3"/>
    <w:rsid w:val="00A23D1C"/>
    <w:rsid w:val="00A24069"/>
    <w:rsid w:val="00A24317"/>
    <w:rsid w:val="00A24432"/>
    <w:rsid w:val="00A2483E"/>
    <w:rsid w:val="00A24AF1"/>
    <w:rsid w:val="00A24F14"/>
    <w:rsid w:val="00A25261"/>
    <w:rsid w:val="00A252FD"/>
    <w:rsid w:val="00A254AF"/>
    <w:rsid w:val="00A25D1A"/>
    <w:rsid w:val="00A25DA5"/>
    <w:rsid w:val="00A25F64"/>
    <w:rsid w:val="00A26065"/>
    <w:rsid w:val="00A264CE"/>
    <w:rsid w:val="00A266D5"/>
    <w:rsid w:val="00A27369"/>
    <w:rsid w:val="00A27486"/>
    <w:rsid w:val="00A274C1"/>
    <w:rsid w:val="00A300A8"/>
    <w:rsid w:val="00A3034E"/>
    <w:rsid w:val="00A30390"/>
    <w:rsid w:val="00A303EB"/>
    <w:rsid w:val="00A3043E"/>
    <w:rsid w:val="00A3072D"/>
    <w:rsid w:val="00A30A3C"/>
    <w:rsid w:val="00A30F87"/>
    <w:rsid w:val="00A3113A"/>
    <w:rsid w:val="00A3132F"/>
    <w:rsid w:val="00A31412"/>
    <w:rsid w:val="00A31642"/>
    <w:rsid w:val="00A318B7"/>
    <w:rsid w:val="00A31BE7"/>
    <w:rsid w:val="00A320EE"/>
    <w:rsid w:val="00A321E0"/>
    <w:rsid w:val="00A326CD"/>
    <w:rsid w:val="00A32966"/>
    <w:rsid w:val="00A32C6D"/>
    <w:rsid w:val="00A32E40"/>
    <w:rsid w:val="00A334EC"/>
    <w:rsid w:val="00A339E1"/>
    <w:rsid w:val="00A33A5E"/>
    <w:rsid w:val="00A340D1"/>
    <w:rsid w:val="00A34119"/>
    <w:rsid w:val="00A3418D"/>
    <w:rsid w:val="00A343CC"/>
    <w:rsid w:val="00A34947"/>
    <w:rsid w:val="00A34DF2"/>
    <w:rsid w:val="00A34F14"/>
    <w:rsid w:val="00A3533B"/>
    <w:rsid w:val="00A35AF4"/>
    <w:rsid w:val="00A35CA9"/>
    <w:rsid w:val="00A35E64"/>
    <w:rsid w:val="00A35F03"/>
    <w:rsid w:val="00A36910"/>
    <w:rsid w:val="00A36D8C"/>
    <w:rsid w:val="00A36FB8"/>
    <w:rsid w:val="00A370E2"/>
    <w:rsid w:val="00A37134"/>
    <w:rsid w:val="00A3724D"/>
    <w:rsid w:val="00A373D1"/>
    <w:rsid w:val="00A37931"/>
    <w:rsid w:val="00A37F02"/>
    <w:rsid w:val="00A40411"/>
    <w:rsid w:val="00A4066E"/>
    <w:rsid w:val="00A407CC"/>
    <w:rsid w:val="00A40811"/>
    <w:rsid w:val="00A40B43"/>
    <w:rsid w:val="00A40D91"/>
    <w:rsid w:val="00A40F12"/>
    <w:rsid w:val="00A411E0"/>
    <w:rsid w:val="00A41969"/>
    <w:rsid w:val="00A41A4E"/>
    <w:rsid w:val="00A41FB9"/>
    <w:rsid w:val="00A426B4"/>
    <w:rsid w:val="00A428C4"/>
    <w:rsid w:val="00A42A5B"/>
    <w:rsid w:val="00A42BA5"/>
    <w:rsid w:val="00A42C8E"/>
    <w:rsid w:val="00A43A85"/>
    <w:rsid w:val="00A43B3C"/>
    <w:rsid w:val="00A43CE9"/>
    <w:rsid w:val="00A43DDE"/>
    <w:rsid w:val="00A43EC0"/>
    <w:rsid w:val="00A4407C"/>
    <w:rsid w:val="00A44131"/>
    <w:rsid w:val="00A443A5"/>
    <w:rsid w:val="00A4447C"/>
    <w:rsid w:val="00A449A8"/>
    <w:rsid w:val="00A44BDF"/>
    <w:rsid w:val="00A44D40"/>
    <w:rsid w:val="00A46A14"/>
    <w:rsid w:val="00A46DEF"/>
    <w:rsid w:val="00A47032"/>
    <w:rsid w:val="00A470A0"/>
    <w:rsid w:val="00A470EF"/>
    <w:rsid w:val="00A47322"/>
    <w:rsid w:val="00A47364"/>
    <w:rsid w:val="00A476A7"/>
    <w:rsid w:val="00A477F0"/>
    <w:rsid w:val="00A47954"/>
    <w:rsid w:val="00A47A81"/>
    <w:rsid w:val="00A47FCB"/>
    <w:rsid w:val="00A50005"/>
    <w:rsid w:val="00A50260"/>
    <w:rsid w:val="00A502EB"/>
    <w:rsid w:val="00A5093A"/>
    <w:rsid w:val="00A50981"/>
    <w:rsid w:val="00A50B75"/>
    <w:rsid w:val="00A50CF5"/>
    <w:rsid w:val="00A50D23"/>
    <w:rsid w:val="00A51236"/>
    <w:rsid w:val="00A513B0"/>
    <w:rsid w:val="00A51866"/>
    <w:rsid w:val="00A5203D"/>
    <w:rsid w:val="00A520DD"/>
    <w:rsid w:val="00A52278"/>
    <w:rsid w:val="00A52721"/>
    <w:rsid w:val="00A527FD"/>
    <w:rsid w:val="00A52803"/>
    <w:rsid w:val="00A52C9C"/>
    <w:rsid w:val="00A52CD6"/>
    <w:rsid w:val="00A53400"/>
    <w:rsid w:val="00A534D5"/>
    <w:rsid w:val="00A53DAF"/>
    <w:rsid w:val="00A53DCC"/>
    <w:rsid w:val="00A53E16"/>
    <w:rsid w:val="00A53FDA"/>
    <w:rsid w:val="00A5415E"/>
    <w:rsid w:val="00A541FE"/>
    <w:rsid w:val="00A54379"/>
    <w:rsid w:val="00A54669"/>
    <w:rsid w:val="00A54F7B"/>
    <w:rsid w:val="00A55164"/>
    <w:rsid w:val="00A55387"/>
    <w:rsid w:val="00A554E7"/>
    <w:rsid w:val="00A5574C"/>
    <w:rsid w:val="00A558B1"/>
    <w:rsid w:val="00A55B07"/>
    <w:rsid w:val="00A55C31"/>
    <w:rsid w:val="00A55E13"/>
    <w:rsid w:val="00A55EC9"/>
    <w:rsid w:val="00A5632E"/>
    <w:rsid w:val="00A56675"/>
    <w:rsid w:val="00A567D4"/>
    <w:rsid w:val="00A57270"/>
    <w:rsid w:val="00A57367"/>
    <w:rsid w:val="00A57550"/>
    <w:rsid w:val="00A57D25"/>
    <w:rsid w:val="00A57D3E"/>
    <w:rsid w:val="00A57FF3"/>
    <w:rsid w:val="00A60316"/>
    <w:rsid w:val="00A604DA"/>
    <w:rsid w:val="00A604F2"/>
    <w:rsid w:val="00A6063B"/>
    <w:rsid w:val="00A6078A"/>
    <w:rsid w:val="00A6089D"/>
    <w:rsid w:val="00A60A9F"/>
    <w:rsid w:val="00A60C54"/>
    <w:rsid w:val="00A60E13"/>
    <w:rsid w:val="00A60EE1"/>
    <w:rsid w:val="00A60F16"/>
    <w:rsid w:val="00A61441"/>
    <w:rsid w:val="00A6216B"/>
    <w:rsid w:val="00A6217E"/>
    <w:rsid w:val="00A6232A"/>
    <w:rsid w:val="00A6243A"/>
    <w:rsid w:val="00A62461"/>
    <w:rsid w:val="00A6246F"/>
    <w:rsid w:val="00A6255F"/>
    <w:rsid w:val="00A6279A"/>
    <w:rsid w:val="00A62ED4"/>
    <w:rsid w:val="00A63105"/>
    <w:rsid w:val="00A63140"/>
    <w:rsid w:val="00A63497"/>
    <w:rsid w:val="00A635FE"/>
    <w:rsid w:val="00A63C3C"/>
    <w:rsid w:val="00A64313"/>
    <w:rsid w:val="00A643F1"/>
    <w:rsid w:val="00A646AF"/>
    <w:rsid w:val="00A649DF"/>
    <w:rsid w:val="00A64A37"/>
    <w:rsid w:val="00A64FB1"/>
    <w:rsid w:val="00A653FC"/>
    <w:rsid w:val="00A65484"/>
    <w:rsid w:val="00A659A2"/>
    <w:rsid w:val="00A65A80"/>
    <w:rsid w:val="00A65ABB"/>
    <w:rsid w:val="00A65DF7"/>
    <w:rsid w:val="00A65E58"/>
    <w:rsid w:val="00A65EA9"/>
    <w:rsid w:val="00A65F29"/>
    <w:rsid w:val="00A664A6"/>
    <w:rsid w:val="00A66532"/>
    <w:rsid w:val="00A66551"/>
    <w:rsid w:val="00A669E5"/>
    <w:rsid w:val="00A66C7A"/>
    <w:rsid w:val="00A66EB3"/>
    <w:rsid w:val="00A67051"/>
    <w:rsid w:val="00A675A4"/>
    <w:rsid w:val="00A6770A"/>
    <w:rsid w:val="00A6777C"/>
    <w:rsid w:val="00A677B3"/>
    <w:rsid w:val="00A6793A"/>
    <w:rsid w:val="00A7036F"/>
    <w:rsid w:val="00A7066B"/>
    <w:rsid w:val="00A70A05"/>
    <w:rsid w:val="00A70E72"/>
    <w:rsid w:val="00A71B55"/>
    <w:rsid w:val="00A71E70"/>
    <w:rsid w:val="00A71F91"/>
    <w:rsid w:val="00A7238D"/>
    <w:rsid w:val="00A7243B"/>
    <w:rsid w:val="00A72D55"/>
    <w:rsid w:val="00A73174"/>
    <w:rsid w:val="00A733C1"/>
    <w:rsid w:val="00A73416"/>
    <w:rsid w:val="00A734EB"/>
    <w:rsid w:val="00A73CE5"/>
    <w:rsid w:val="00A73DCF"/>
    <w:rsid w:val="00A73E5E"/>
    <w:rsid w:val="00A7410E"/>
    <w:rsid w:val="00A741E0"/>
    <w:rsid w:val="00A742ED"/>
    <w:rsid w:val="00A74743"/>
    <w:rsid w:val="00A74BD0"/>
    <w:rsid w:val="00A7528B"/>
    <w:rsid w:val="00A7583B"/>
    <w:rsid w:val="00A75B18"/>
    <w:rsid w:val="00A76B37"/>
    <w:rsid w:val="00A76FF9"/>
    <w:rsid w:val="00A77165"/>
    <w:rsid w:val="00A77E88"/>
    <w:rsid w:val="00A80115"/>
    <w:rsid w:val="00A805D5"/>
    <w:rsid w:val="00A806E8"/>
    <w:rsid w:val="00A807A4"/>
    <w:rsid w:val="00A80906"/>
    <w:rsid w:val="00A80E0F"/>
    <w:rsid w:val="00A81271"/>
    <w:rsid w:val="00A816FB"/>
    <w:rsid w:val="00A8175D"/>
    <w:rsid w:val="00A81FB4"/>
    <w:rsid w:val="00A82070"/>
    <w:rsid w:val="00A8214E"/>
    <w:rsid w:val="00A8233E"/>
    <w:rsid w:val="00A823D5"/>
    <w:rsid w:val="00A82703"/>
    <w:rsid w:val="00A82E2A"/>
    <w:rsid w:val="00A82E6C"/>
    <w:rsid w:val="00A82E7A"/>
    <w:rsid w:val="00A83259"/>
    <w:rsid w:val="00A83798"/>
    <w:rsid w:val="00A839AD"/>
    <w:rsid w:val="00A83A6C"/>
    <w:rsid w:val="00A8467C"/>
    <w:rsid w:val="00A8472B"/>
    <w:rsid w:val="00A84A67"/>
    <w:rsid w:val="00A84ADC"/>
    <w:rsid w:val="00A84B42"/>
    <w:rsid w:val="00A84EC9"/>
    <w:rsid w:val="00A84F21"/>
    <w:rsid w:val="00A85212"/>
    <w:rsid w:val="00A8521B"/>
    <w:rsid w:val="00A85253"/>
    <w:rsid w:val="00A8566B"/>
    <w:rsid w:val="00A857E1"/>
    <w:rsid w:val="00A8584C"/>
    <w:rsid w:val="00A85912"/>
    <w:rsid w:val="00A85EE9"/>
    <w:rsid w:val="00A862E5"/>
    <w:rsid w:val="00A86775"/>
    <w:rsid w:val="00A86930"/>
    <w:rsid w:val="00A869EE"/>
    <w:rsid w:val="00A86B1C"/>
    <w:rsid w:val="00A86D2C"/>
    <w:rsid w:val="00A8740E"/>
    <w:rsid w:val="00A87780"/>
    <w:rsid w:val="00A877C8"/>
    <w:rsid w:val="00A879A3"/>
    <w:rsid w:val="00A87C0E"/>
    <w:rsid w:val="00A87CC8"/>
    <w:rsid w:val="00A87F44"/>
    <w:rsid w:val="00A90060"/>
    <w:rsid w:val="00A900AF"/>
    <w:rsid w:val="00A903CD"/>
    <w:rsid w:val="00A90523"/>
    <w:rsid w:val="00A9060F"/>
    <w:rsid w:val="00A906FC"/>
    <w:rsid w:val="00A9083E"/>
    <w:rsid w:val="00A90900"/>
    <w:rsid w:val="00A9091C"/>
    <w:rsid w:val="00A90AA3"/>
    <w:rsid w:val="00A90EA4"/>
    <w:rsid w:val="00A91307"/>
    <w:rsid w:val="00A913DB"/>
    <w:rsid w:val="00A91ADB"/>
    <w:rsid w:val="00A91B1F"/>
    <w:rsid w:val="00A91D9C"/>
    <w:rsid w:val="00A91E0A"/>
    <w:rsid w:val="00A91E8A"/>
    <w:rsid w:val="00A923CE"/>
    <w:rsid w:val="00A92B86"/>
    <w:rsid w:val="00A93242"/>
    <w:rsid w:val="00A9355C"/>
    <w:rsid w:val="00A9389C"/>
    <w:rsid w:val="00A9394B"/>
    <w:rsid w:val="00A939D5"/>
    <w:rsid w:val="00A93E17"/>
    <w:rsid w:val="00A93E76"/>
    <w:rsid w:val="00A93F35"/>
    <w:rsid w:val="00A94744"/>
    <w:rsid w:val="00A94A21"/>
    <w:rsid w:val="00A94AFD"/>
    <w:rsid w:val="00A94E98"/>
    <w:rsid w:val="00A94FD5"/>
    <w:rsid w:val="00A95142"/>
    <w:rsid w:val="00A952D1"/>
    <w:rsid w:val="00A953F3"/>
    <w:rsid w:val="00A9545A"/>
    <w:rsid w:val="00A957F3"/>
    <w:rsid w:val="00A95B13"/>
    <w:rsid w:val="00A95E34"/>
    <w:rsid w:val="00A9627E"/>
    <w:rsid w:val="00A96388"/>
    <w:rsid w:val="00A965CA"/>
    <w:rsid w:val="00A96C18"/>
    <w:rsid w:val="00A96DF2"/>
    <w:rsid w:val="00A96F75"/>
    <w:rsid w:val="00A972E0"/>
    <w:rsid w:val="00A972E2"/>
    <w:rsid w:val="00A97385"/>
    <w:rsid w:val="00A97B00"/>
    <w:rsid w:val="00A97D61"/>
    <w:rsid w:val="00AA0399"/>
    <w:rsid w:val="00AA0584"/>
    <w:rsid w:val="00AA093B"/>
    <w:rsid w:val="00AA0BAA"/>
    <w:rsid w:val="00AA114C"/>
    <w:rsid w:val="00AA14BA"/>
    <w:rsid w:val="00AA17B8"/>
    <w:rsid w:val="00AA1892"/>
    <w:rsid w:val="00AA1CC9"/>
    <w:rsid w:val="00AA1EA5"/>
    <w:rsid w:val="00AA1F99"/>
    <w:rsid w:val="00AA2002"/>
    <w:rsid w:val="00AA2103"/>
    <w:rsid w:val="00AA2BCA"/>
    <w:rsid w:val="00AA3263"/>
    <w:rsid w:val="00AA338D"/>
    <w:rsid w:val="00AA3C05"/>
    <w:rsid w:val="00AA3F2E"/>
    <w:rsid w:val="00AA434B"/>
    <w:rsid w:val="00AA454D"/>
    <w:rsid w:val="00AA4785"/>
    <w:rsid w:val="00AA4988"/>
    <w:rsid w:val="00AA4BBA"/>
    <w:rsid w:val="00AA4D18"/>
    <w:rsid w:val="00AA5014"/>
    <w:rsid w:val="00AA5105"/>
    <w:rsid w:val="00AA527D"/>
    <w:rsid w:val="00AA52A6"/>
    <w:rsid w:val="00AA5408"/>
    <w:rsid w:val="00AA5EDA"/>
    <w:rsid w:val="00AA69F6"/>
    <w:rsid w:val="00AA7012"/>
    <w:rsid w:val="00AA736F"/>
    <w:rsid w:val="00AA76C4"/>
    <w:rsid w:val="00AA76CE"/>
    <w:rsid w:val="00AA7F0C"/>
    <w:rsid w:val="00AA7FA6"/>
    <w:rsid w:val="00AB06FA"/>
    <w:rsid w:val="00AB13C2"/>
    <w:rsid w:val="00AB1A94"/>
    <w:rsid w:val="00AB24D6"/>
    <w:rsid w:val="00AB24F5"/>
    <w:rsid w:val="00AB2542"/>
    <w:rsid w:val="00AB28B2"/>
    <w:rsid w:val="00AB28BA"/>
    <w:rsid w:val="00AB29EE"/>
    <w:rsid w:val="00AB2D59"/>
    <w:rsid w:val="00AB2F24"/>
    <w:rsid w:val="00AB2F9D"/>
    <w:rsid w:val="00AB3575"/>
    <w:rsid w:val="00AB42DC"/>
    <w:rsid w:val="00AB49F6"/>
    <w:rsid w:val="00AB4A6D"/>
    <w:rsid w:val="00AB4B45"/>
    <w:rsid w:val="00AB4C72"/>
    <w:rsid w:val="00AB5223"/>
    <w:rsid w:val="00AB527B"/>
    <w:rsid w:val="00AB548B"/>
    <w:rsid w:val="00AB5672"/>
    <w:rsid w:val="00AB5820"/>
    <w:rsid w:val="00AB5E6E"/>
    <w:rsid w:val="00AB624F"/>
    <w:rsid w:val="00AB64C8"/>
    <w:rsid w:val="00AB64CD"/>
    <w:rsid w:val="00AB65D8"/>
    <w:rsid w:val="00AB67B0"/>
    <w:rsid w:val="00AB693B"/>
    <w:rsid w:val="00AB6D7C"/>
    <w:rsid w:val="00AB6E3E"/>
    <w:rsid w:val="00AB6F96"/>
    <w:rsid w:val="00AB7020"/>
    <w:rsid w:val="00AB7225"/>
    <w:rsid w:val="00AB72E2"/>
    <w:rsid w:val="00AB7436"/>
    <w:rsid w:val="00AB7628"/>
    <w:rsid w:val="00AB7811"/>
    <w:rsid w:val="00AB7BFD"/>
    <w:rsid w:val="00AB7C57"/>
    <w:rsid w:val="00AB7D03"/>
    <w:rsid w:val="00AB7F19"/>
    <w:rsid w:val="00AB7FA6"/>
    <w:rsid w:val="00AC00E4"/>
    <w:rsid w:val="00AC03BB"/>
    <w:rsid w:val="00AC0762"/>
    <w:rsid w:val="00AC0A7F"/>
    <w:rsid w:val="00AC0D00"/>
    <w:rsid w:val="00AC0F07"/>
    <w:rsid w:val="00AC12DF"/>
    <w:rsid w:val="00AC1E3A"/>
    <w:rsid w:val="00AC24B0"/>
    <w:rsid w:val="00AC25A9"/>
    <w:rsid w:val="00AC2667"/>
    <w:rsid w:val="00AC2677"/>
    <w:rsid w:val="00AC2818"/>
    <w:rsid w:val="00AC29CD"/>
    <w:rsid w:val="00AC2B46"/>
    <w:rsid w:val="00AC2ED4"/>
    <w:rsid w:val="00AC35F7"/>
    <w:rsid w:val="00AC373E"/>
    <w:rsid w:val="00AC3979"/>
    <w:rsid w:val="00AC3B23"/>
    <w:rsid w:val="00AC3D29"/>
    <w:rsid w:val="00AC3D2E"/>
    <w:rsid w:val="00AC3F2A"/>
    <w:rsid w:val="00AC4285"/>
    <w:rsid w:val="00AC476D"/>
    <w:rsid w:val="00AC47DE"/>
    <w:rsid w:val="00AC48C8"/>
    <w:rsid w:val="00AC4949"/>
    <w:rsid w:val="00AC4986"/>
    <w:rsid w:val="00AC4D22"/>
    <w:rsid w:val="00AC4DD1"/>
    <w:rsid w:val="00AC4E5F"/>
    <w:rsid w:val="00AC4FD6"/>
    <w:rsid w:val="00AC507E"/>
    <w:rsid w:val="00AC5D10"/>
    <w:rsid w:val="00AC615A"/>
    <w:rsid w:val="00AC61E5"/>
    <w:rsid w:val="00AC63A0"/>
    <w:rsid w:val="00AC6D97"/>
    <w:rsid w:val="00AC6E9D"/>
    <w:rsid w:val="00AC6EFE"/>
    <w:rsid w:val="00AC74A0"/>
    <w:rsid w:val="00AC799F"/>
    <w:rsid w:val="00AC7A55"/>
    <w:rsid w:val="00AC7CCE"/>
    <w:rsid w:val="00AD01C9"/>
    <w:rsid w:val="00AD058F"/>
    <w:rsid w:val="00AD079D"/>
    <w:rsid w:val="00AD0B2B"/>
    <w:rsid w:val="00AD0BA5"/>
    <w:rsid w:val="00AD0D5F"/>
    <w:rsid w:val="00AD118B"/>
    <w:rsid w:val="00AD1855"/>
    <w:rsid w:val="00AD1A78"/>
    <w:rsid w:val="00AD1BC4"/>
    <w:rsid w:val="00AD1E05"/>
    <w:rsid w:val="00AD1F06"/>
    <w:rsid w:val="00AD1F79"/>
    <w:rsid w:val="00AD254E"/>
    <w:rsid w:val="00AD308C"/>
    <w:rsid w:val="00AD308F"/>
    <w:rsid w:val="00AD38D7"/>
    <w:rsid w:val="00AD3986"/>
    <w:rsid w:val="00AD3A0C"/>
    <w:rsid w:val="00AD3A7A"/>
    <w:rsid w:val="00AD3B72"/>
    <w:rsid w:val="00AD3DDF"/>
    <w:rsid w:val="00AD4519"/>
    <w:rsid w:val="00AD4743"/>
    <w:rsid w:val="00AD4AAE"/>
    <w:rsid w:val="00AD4F69"/>
    <w:rsid w:val="00AD5249"/>
    <w:rsid w:val="00AD52CC"/>
    <w:rsid w:val="00AD5748"/>
    <w:rsid w:val="00AD580C"/>
    <w:rsid w:val="00AD59A1"/>
    <w:rsid w:val="00AD608A"/>
    <w:rsid w:val="00AD62CB"/>
    <w:rsid w:val="00AD674F"/>
    <w:rsid w:val="00AD6830"/>
    <w:rsid w:val="00AD686C"/>
    <w:rsid w:val="00AD6C95"/>
    <w:rsid w:val="00AD72AF"/>
    <w:rsid w:val="00AD7761"/>
    <w:rsid w:val="00AD778E"/>
    <w:rsid w:val="00AD7B7B"/>
    <w:rsid w:val="00AD7CB3"/>
    <w:rsid w:val="00AD7E4C"/>
    <w:rsid w:val="00AD7F46"/>
    <w:rsid w:val="00AE00D4"/>
    <w:rsid w:val="00AE017E"/>
    <w:rsid w:val="00AE0180"/>
    <w:rsid w:val="00AE0540"/>
    <w:rsid w:val="00AE0586"/>
    <w:rsid w:val="00AE0800"/>
    <w:rsid w:val="00AE081C"/>
    <w:rsid w:val="00AE09C4"/>
    <w:rsid w:val="00AE0D3F"/>
    <w:rsid w:val="00AE0D66"/>
    <w:rsid w:val="00AE13FE"/>
    <w:rsid w:val="00AE15CD"/>
    <w:rsid w:val="00AE176C"/>
    <w:rsid w:val="00AE1EEC"/>
    <w:rsid w:val="00AE20C1"/>
    <w:rsid w:val="00AE21F2"/>
    <w:rsid w:val="00AE2305"/>
    <w:rsid w:val="00AE2552"/>
    <w:rsid w:val="00AE25A4"/>
    <w:rsid w:val="00AE2A03"/>
    <w:rsid w:val="00AE2AF6"/>
    <w:rsid w:val="00AE2B6A"/>
    <w:rsid w:val="00AE2C14"/>
    <w:rsid w:val="00AE371F"/>
    <w:rsid w:val="00AE3E25"/>
    <w:rsid w:val="00AE420B"/>
    <w:rsid w:val="00AE4556"/>
    <w:rsid w:val="00AE45E8"/>
    <w:rsid w:val="00AE4B7D"/>
    <w:rsid w:val="00AE4BA5"/>
    <w:rsid w:val="00AE4DF0"/>
    <w:rsid w:val="00AE4F25"/>
    <w:rsid w:val="00AE501C"/>
    <w:rsid w:val="00AE5270"/>
    <w:rsid w:val="00AE53AC"/>
    <w:rsid w:val="00AE5585"/>
    <w:rsid w:val="00AE587F"/>
    <w:rsid w:val="00AE5AF1"/>
    <w:rsid w:val="00AE5B60"/>
    <w:rsid w:val="00AE5E53"/>
    <w:rsid w:val="00AE62C6"/>
    <w:rsid w:val="00AE6977"/>
    <w:rsid w:val="00AE6B46"/>
    <w:rsid w:val="00AE6C8B"/>
    <w:rsid w:val="00AE721F"/>
    <w:rsid w:val="00AE735D"/>
    <w:rsid w:val="00AE749B"/>
    <w:rsid w:val="00AE780B"/>
    <w:rsid w:val="00AE797B"/>
    <w:rsid w:val="00AE7A70"/>
    <w:rsid w:val="00AE7EA7"/>
    <w:rsid w:val="00AF0727"/>
    <w:rsid w:val="00AF0D09"/>
    <w:rsid w:val="00AF0FE6"/>
    <w:rsid w:val="00AF1551"/>
    <w:rsid w:val="00AF1630"/>
    <w:rsid w:val="00AF18B0"/>
    <w:rsid w:val="00AF1A41"/>
    <w:rsid w:val="00AF1C1B"/>
    <w:rsid w:val="00AF1C88"/>
    <w:rsid w:val="00AF1D21"/>
    <w:rsid w:val="00AF1EF0"/>
    <w:rsid w:val="00AF202D"/>
    <w:rsid w:val="00AF20DB"/>
    <w:rsid w:val="00AF22A8"/>
    <w:rsid w:val="00AF2ED9"/>
    <w:rsid w:val="00AF3732"/>
    <w:rsid w:val="00AF3964"/>
    <w:rsid w:val="00AF3C77"/>
    <w:rsid w:val="00AF3D4D"/>
    <w:rsid w:val="00AF3F6F"/>
    <w:rsid w:val="00AF455C"/>
    <w:rsid w:val="00AF493B"/>
    <w:rsid w:val="00AF49A9"/>
    <w:rsid w:val="00AF4C20"/>
    <w:rsid w:val="00AF4F98"/>
    <w:rsid w:val="00AF4F9E"/>
    <w:rsid w:val="00AF5082"/>
    <w:rsid w:val="00AF55D1"/>
    <w:rsid w:val="00AF5CAF"/>
    <w:rsid w:val="00AF5D6E"/>
    <w:rsid w:val="00AF5F21"/>
    <w:rsid w:val="00AF5FCA"/>
    <w:rsid w:val="00AF63E2"/>
    <w:rsid w:val="00AF67B3"/>
    <w:rsid w:val="00AF6B60"/>
    <w:rsid w:val="00AF6BE0"/>
    <w:rsid w:val="00AF6BE9"/>
    <w:rsid w:val="00AF7189"/>
    <w:rsid w:val="00AF778F"/>
    <w:rsid w:val="00AF7922"/>
    <w:rsid w:val="00AF7B94"/>
    <w:rsid w:val="00AF7E46"/>
    <w:rsid w:val="00B00F1A"/>
    <w:rsid w:val="00B010CB"/>
    <w:rsid w:val="00B011C1"/>
    <w:rsid w:val="00B011F4"/>
    <w:rsid w:val="00B0138E"/>
    <w:rsid w:val="00B01D7C"/>
    <w:rsid w:val="00B01E3D"/>
    <w:rsid w:val="00B01EFE"/>
    <w:rsid w:val="00B021B3"/>
    <w:rsid w:val="00B021EC"/>
    <w:rsid w:val="00B02267"/>
    <w:rsid w:val="00B025B9"/>
    <w:rsid w:val="00B02712"/>
    <w:rsid w:val="00B0284A"/>
    <w:rsid w:val="00B02F2D"/>
    <w:rsid w:val="00B02FDE"/>
    <w:rsid w:val="00B03105"/>
    <w:rsid w:val="00B031AA"/>
    <w:rsid w:val="00B0334F"/>
    <w:rsid w:val="00B03727"/>
    <w:rsid w:val="00B03E4D"/>
    <w:rsid w:val="00B0428F"/>
    <w:rsid w:val="00B04335"/>
    <w:rsid w:val="00B04769"/>
    <w:rsid w:val="00B0498C"/>
    <w:rsid w:val="00B04BFA"/>
    <w:rsid w:val="00B04C9D"/>
    <w:rsid w:val="00B04D16"/>
    <w:rsid w:val="00B04DFE"/>
    <w:rsid w:val="00B04F48"/>
    <w:rsid w:val="00B05580"/>
    <w:rsid w:val="00B059AA"/>
    <w:rsid w:val="00B06033"/>
    <w:rsid w:val="00B0607F"/>
    <w:rsid w:val="00B069B5"/>
    <w:rsid w:val="00B06A1A"/>
    <w:rsid w:val="00B06B8B"/>
    <w:rsid w:val="00B06CB6"/>
    <w:rsid w:val="00B06CE3"/>
    <w:rsid w:val="00B07318"/>
    <w:rsid w:val="00B07714"/>
    <w:rsid w:val="00B077F4"/>
    <w:rsid w:val="00B07D6B"/>
    <w:rsid w:val="00B07E98"/>
    <w:rsid w:val="00B1000A"/>
    <w:rsid w:val="00B10059"/>
    <w:rsid w:val="00B10341"/>
    <w:rsid w:val="00B1056E"/>
    <w:rsid w:val="00B10681"/>
    <w:rsid w:val="00B10E09"/>
    <w:rsid w:val="00B112A1"/>
    <w:rsid w:val="00B12002"/>
    <w:rsid w:val="00B12259"/>
    <w:rsid w:val="00B129E8"/>
    <w:rsid w:val="00B12A01"/>
    <w:rsid w:val="00B1300E"/>
    <w:rsid w:val="00B1328F"/>
    <w:rsid w:val="00B133DD"/>
    <w:rsid w:val="00B13544"/>
    <w:rsid w:val="00B137DD"/>
    <w:rsid w:val="00B13BC8"/>
    <w:rsid w:val="00B13FDA"/>
    <w:rsid w:val="00B1424B"/>
    <w:rsid w:val="00B14306"/>
    <w:rsid w:val="00B14687"/>
    <w:rsid w:val="00B14743"/>
    <w:rsid w:val="00B14748"/>
    <w:rsid w:val="00B1492F"/>
    <w:rsid w:val="00B1496A"/>
    <w:rsid w:val="00B15539"/>
    <w:rsid w:val="00B157E9"/>
    <w:rsid w:val="00B15A70"/>
    <w:rsid w:val="00B15D19"/>
    <w:rsid w:val="00B15F86"/>
    <w:rsid w:val="00B16642"/>
    <w:rsid w:val="00B1671E"/>
    <w:rsid w:val="00B16931"/>
    <w:rsid w:val="00B16E2E"/>
    <w:rsid w:val="00B16F7A"/>
    <w:rsid w:val="00B171C2"/>
    <w:rsid w:val="00B172E1"/>
    <w:rsid w:val="00B17698"/>
    <w:rsid w:val="00B176C7"/>
    <w:rsid w:val="00B17938"/>
    <w:rsid w:val="00B179D4"/>
    <w:rsid w:val="00B17DF9"/>
    <w:rsid w:val="00B17E3A"/>
    <w:rsid w:val="00B20015"/>
    <w:rsid w:val="00B20496"/>
    <w:rsid w:val="00B20A36"/>
    <w:rsid w:val="00B210FB"/>
    <w:rsid w:val="00B21589"/>
    <w:rsid w:val="00B21A14"/>
    <w:rsid w:val="00B21F41"/>
    <w:rsid w:val="00B2235B"/>
    <w:rsid w:val="00B22429"/>
    <w:rsid w:val="00B224A0"/>
    <w:rsid w:val="00B227C1"/>
    <w:rsid w:val="00B227C4"/>
    <w:rsid w:val="00B22A5E"/>
    <w:rsid w:val="00B22C98"/>
    <w:rsid w:val="00B22D7C"/>
    <w:rsid w:val="00B22ECA"/>
    <w:rsid w:val="00B234C4"/>
    <w:rsid w:val="00B23544"/>
    <w:rsid w:val="00B23841"/>
    <w:rsid w:val="00B23887"/>
    <w:rsid w:val="00B23954"/>
    <w:rsid w:val="00B23BE3"/>
    <w:rsid w:val="00B24203"/>
    <w:rsid w:val="00B24578"/>
    <w:rsid w:val="00B24879"/>
    <w:rsid w:val="00B24D64"/>
    <w:rsid w:val="00B25096"/>
    <w:rsid w:val="00B25727"/>
    <w:rsid w:val="00B2602A"/>
    <w:rsid w:val="00B261D8"/>
    <w:rsid w:val="00B2689B"/>
    <w:rsid w:val="00B272E5"/>
    <w:rsid w:val="00B2760A"/>
    <w:rsid w:val="00B27733"/>
    <w:rsid w:val="00B27970"/>
    <w:rsid w:val="00B27A54"/>
    <w:rsid w:val="00B30207"/>
    <w:rsid w:val="00B3039B"/>
    <w:rsid w:val="00B30A93"/>
    <w:rsid w:val="00B30FD0"/>
    <w:rsid w:val="00B312FF"/>
    <w:rsid w:val="00B3135D"/>
    <w:rsid w:val="00B31AFB"/>
    <w:rsid w:val="00B31B2D"/>
    <w:rsid w:val="00B31CC2"/>
    <w:rsid w:val="00B31DF2"/>
    <w:rsid w:val="00B32083"/>
    <w:rsid w:val="00B326FF"/>
    <w:rsid w:val="00B32792"/>
    <w:rsid w:val="00B32840"/>
    <w:rsid w:val="00B33F79"/>
    <w:rsid w:val="00B3420E"/>
    <w:rsid w:val="00B34299"/>
    <w:rsid w:val="00B34476"/>
    <w:rsid w:val="00B344E5"/>
    <w:rsid w:val="00B34632"/>
    <w:rsid w:val="00B3467C"/>
    <w:rsid w:val="00B3478E"/>
    <w:rsid w:val="00B3486A"/>
    <w:rsid w:val="00B3499E"/>
    <w:rsid w:val="00B351EE"/>
    <w:rsid w:val="00B357E3"/>
    <w:rsid w:val="00B35B4E"/>
    <w:rsid w:val="00B35C11"/>
    <w:rsid w:val="00B35ECC"/>
    <w:rsid w:val="00B365BA"/>
    <w:rsid w:val="00B36941"/>
    <w:rsid w:val="00B3699A"/>
    <w:rsid w:val="00B36A94"/>
    <w:rsid w:val="00B36AEB"/>
    <w:rsid w:val="00B36DF5"/>
    <w:rsid w:val="00B37DBB"/>
    <w:rsid w:val="00B37DF1"/>
    <w:rsid w:val="00B37F3E"/>
    <w:rsid w:val="00B404C5"/>
    <w:rsid w:val="00B40DCA"/>
    <w:rsid w:val="00B40DD0"/>
    <w:rsid w:val="00B41399"/>
    <w:rsid w:val="00B41490"/>
    <w:rsid w:val="00B41B99"/>
    <w:rsid w:val="00B41F17"/>
    <w:rsid w:val="00B42081"/>
    <w:rsid w:val="00B425D7"/>
    <w:rsid w:val="00B42748"/>
    <w:rsid w:val="00B427DA"/>
    <w:rsid w:val="00B42C64"/>
    <w:rsid w:val="00B42EE8"/>
    <w:rsid w:val="00B4376A"/>
    <w:rsid w:val="00B43871"/>
    <w:rsid w:val="00B43B12"/>
    <w:rsid w:val="00B43B40"/>
    <w:rsid w:val="00B43CCD"/>
    <w:rsid w:val="00B43DC1"/>
    <w:rsid w:val="00B4459F"/>
    <w:rsid w:val="00B44656"/>
    <w:rsid w:val="00B446C1"/>
    <w:rsid w:val="00B4478D"/>
    <w:rsid w:val="00B447B8"/>
    <w:rsid w:val="00B451B9"/>
    <w:rsid w:val="00B45C49"/>
    <w:rsid w:val="00B45EE9"/>
    <w:rsid w:val="00B46134"/>
    <w:rsid w:val="00B464AC"/>
    <w:rsid w:val="00B46626"/>
    <w:rsid w:val="00B46D73"/>
    <w:rsid w:val="00B470E4"/>
    <w:rsid w:val="00B47123"/>
    <w:rsid w:val="00B47132"/>
    <w:rsid w:val="00B4727C"/>
    <w:rsid w:val="00B47EB7"/>
    <w:rsid w:val="00B50057"/>
    <w:rsid w:val="00B50065"/>
    <w:rsid w:val="00B505B9"/>
    <w:rsid w:val="00B506CC"/>
    <w:rsid w:val="00B507E8"/>
    <w:rsid w:val="00B50CFF"/>
    <w:rsid w:val="00B50EAC"/>
    <w:rsid w:val="00B511EA"/>
    <w:rsid w:val="00B514BE"/>
    <w:rsid w:val="00B518E9"/>
    <w:rsid w:val="00B51CB4"/>
    <w:rsid w:val="00B51D95"/>
    <w:rsid w:val="00B5239C"/>
    <w:rsid w:val="00B525DE"/>
    <w:rsid w:val="00B526AF"/>
    <w:rsid w:val="00B52710"/>
    <w:rsid w:val="00B52D93"/>
    <w:rsid w:val="00B52DED"/>
    <w:rsid w:val="00B53008"/>
    <w:rsid w:val="00B53B81"/>
    <w:rsid w:val="00B53CA8"/>
    <w:rsid w:val="00B53DE8"/>
    <w:rsid w:val="00B5402C"/>
    <w:rsid w:val="00B5411E"/>
    <w:rsid w:val="00B5416E"/>
    <w:rsid w:val="00B54358"/>
    <w:rsid w:val="00B544A5"/>
    <w:rsid w:val="00B544E9"/>
    <w:rsid w:val="00B54510"/>
    <w:rsid w:val="00B5498B"/>
    <w:rsid w:val="00B54AD8"/>
    <w:rsid w:val="00B54E4F"/>
    <w:rsid w:val="00B54FBF"/>
    <w:rsid w:val="00B54FF6"/>
    <w:rsid w:val="00B559A2"/>
    <w:rsid w:val="00B55C55"/>
    <w:rsid w:val="00B55E6E"/>
    <w:rsid w:val="00B5602A"/>
    <w:rsid w:val="00B5639C"/>
    <w:rsid w:val="00B56CEE"/>
    <w:rsid w:val="00B56E30"/>
    <w:rsid w:val="00B579B2"/>
    <w:rsid w:val="00B57D59"/>
    <w:rsid w:val="00B57EFC"/>
    <w:rsid w:val="00B600BE"/>
    <w:rsid w:val="00B60677"/>
    <w:rsid w:val="00B60CDB"/>
    <w:rsid w:val="00B60E9D"/>
    <w:rsid w:val="00B60FBB"/>
    <w:rsid w:val="00B616DE"/>
    <w:rsid w:val="00B6194A"/>
    <w:rsid w:val="00B61B14"/>
    <w:rsid w:val="00B61B91"/>
    <w:rsid w:val="00B61EFE"/>
    <w:rsid w:val="00B61F56"/>
    <w:rsid w:val="00B622B7"/>
    <w:rsid w:val="00B62344"/>
    <w:rsid w:val="00B62686"/>
    <w:rsid w:val="00B626CC"/>
    <w:rsid w:val="00B627BA"/>
    <w:rsid w:val="00B627E3"/>
    <w:rsid w:val="00B62D79"/>
    <w:rsid w:val="00B62F01"/>
    <w:rsid w:val="00B63144"/>
    <w:rsid w:val="00B634C5"/>
    <w:rsid w:val="00B639A4"/>
    <w:rsid w:val="00B63A22"/>
    <w:rsid w:val="00B644A0"/>
    <w:rsid w:val="00B64578"/>
    <w:rsid w:val="00B64701"/>
    <w:rsid w:val="00B6493E"/>
    <w:rsid w:val="00B64B4C"/>
    <w:rsid w:val="00B65588"/>
    <w:rsid w:val="00B659ED"/>
    <w:rsid w:val="00B6640F"/>
    <w:rsid w:val="00B6644E"/>
    <w:rsid w:val="00B66614"/>
    <w:rsid w:val="00B67661"/>
    <w:rsid w:val="00B7017A"/>
    <w:rsid w:val="00B703B9"/>
    <w:rsid w:val="00B704D6"/>
    <w:rsid w:val="00B7097A"/>
    <w:rsid w:val="00B70BAD"/>
    <w:rsid w:val="00B70D8D"/>
    <w:rsid w:val="00B7117D"/>
    <w:rsid w:val="00B71692"/>
    <w:rsid w:val="00B716A4"/>
    <w:rsid w:val="00B71AC6"/>
    <w:rsid w:val="00B71F8F"/>
    <w:rsid w:val="00B722F2"/>
    <w:rsid w:val="00B72E00"/>
    <w:rsid w:val="00B72EC7"/>
    <w:rsid w:val="00B72F6F"/>
    <w:rsid w:val="00B7375B"/>
    <w:rsid w:val="00B73B29"/>
    <w:rsid w:val="00B73E46"/>
    <w:rsid w:val="00B74022"/>
    <w:rsid w:val="00B74330"/>
    <w:rsid w:val="00B7485C"/>
    <w:rsid w:val="00B74A88"/>
    <w:rsid w:val="00B750CF"/>
    <w:rsid w:val="00B75382"/>
    <w:rsid w:val="00B75AC5"/>
    <w:rsid w:val="00B75BA9"/>
    <w:rsid w:val="00B75C78"/>
    <w:rsid w:val="00B76529"/>
    <w:rsid w:val="00B76550"/>
    <w:rsid w:val="00B76BBF"/>
    <w:rsid w:val="00B76CDA"/>
    <w:rsid w:val="00B76E47"/>
    <w:rsid w:val="00B76F2A"/>
    <w:rsid w:val="00B76F4A"/>
    <w:rsid w:val="00B77202"/>
    <w:rsid w:val="00B77590"/>
    <w:rsid w:val="00B779D6"/>
    <w:rsid w:val="00B77B1D"/>
    <w:rsid w:val="00B77C37"/>
    <w:rsid w:val="00B80568"/>
    <w:rsid w:val="00B80702"/>
    <w:rsid w:val="00B80815"/>
    <w:rsid w:val="00B80DD6"/>
    <w:rsid w:val="00B80EA9"/>
    <w:rsid w:val="00B81285"/>
    <w:rsid w:val="00B8150A"/>
    <w:rsid w:val="00B8231A"/>
    <w:rsid w:val="00B82564"/>
    <w:rsid w:val="00B8257C"/>
    <w:rsid w:val="00B828BF"/>
    <w:rsid w:val="00B829E2"/>
    <w:rsid w:val="00B82A91"/>
    <w:rsid w:val="00B82AA4"/>
    <w:rsid w:val="00B82F04"/>
    <w:rsid w:val="00B8389F"/>
    <w:rsid w:val="00B83A68"/>
    <w:rsid w:val="00B83D82"/>
    <w:rsid w:val="00B83EEE"/>
    <w:rsid w:val="00B83F29"/>
    <w:rsid w:val="00B84247"/>
    <w:rsid w:val="00B84B8A"/>
    <w:rsid w:val="00B84E57"/>
    <w:rsid w:val="00B84FB9"/>
    <w:rsid w:val="00B8520D"/>
    <w:rsid w:val="00B85B8C"/>
    <w:rsid w:val="00B85CD8"/>
    <w:rsid w:val="00B85DC2"/>
    <w:rsid w:val="00B8604D"/>
    <w:rsid w:val="00B8606A"/>
    <w:rsid w:val="00B8630F"/>
    <w:rsid w:val="00B8636E"/>
    <w:rsid w:val="00B863A4"/>
    <w:rsid w:val="00B86601"/>
    <w:rsid w:val="00B868F6"/>
    <w:rsid w:val="00B86982"/>
    <w:rsid w:val="00B86A6B"/>
    <w:rsid w:val="00B86C6F"/>
    <w:rsid w:val="00B86F1C"/>
    <w:rsid w:val="00B870B4"/>
    <w:rsid w:val="00B870C4"/>
    <w:rsid w:val="00B8732B"/>
    <w:rsid w:val="00B87C4E"/>
    <w:rsid w:val="00B87C8D"/>
    <w:rsid w:val="00B87E1F"/>
    <w:rsid w:val="00B90654"/>
    <w:rsid w:val="00B90ECC"/>
    <w:rsid w:val="00B9121E"/>
    <w:rsid w:val="00B9158F"/>
    <w:rsid w:val="00B917B1"/>
    <w:rsid w:val="00B9206C"/>
    <w:rsid w:val="00B921C0"/>
    <w:rsid w:val="00B92292"/>
    <w:rsid w:val="00B92300"/>
    <w:rsid w:val="00B92B73"/>
    <w:rsid w:val="00B92FEE"/>
    <w:rsid w:val="00B93218"/>
    <w:rsid w:val="00B9354A"/>
    <w:rsid w:val="00B93EE8"/>
    <w:rsid w:val="00B942B4"/>
    <w:rsid w:val="00B9448D"/>
    <w:rsid w:val="00B946BE"/>
    <w:rsid w:val="00B94A30"/>
    <w:rsid w:val="00B94C16"/>
    <w:rsid w:val="00B94D27"/>
    <w:rsid w:val="00B94F5E"/>
    <w:rsid w:val="00B9532E"/>
    <w:rsid w:val="00B95E6A"/>
    <w:rsid w:val="00B95FA0"/>
    <w:rsid w:val="00B96C67"/>
    <w:rsid w:val="00B97083"/>
    <w:rsid w:val="00B9710F"/>
    <w:rsid w:val="00B97801"/>
    <w:rsid w:val="00B97BD3"/>
    <w:rsid w:val="00B97C11"/>
    <w:rsid w:val="00B97D61"/>
    <w:rsid w:val="00BA10FA"/>
    <w:rsid w:val="00BA178C"/>
    <w:rsid w:val="00BA20CC"/>
    <w:rsid w:val="00BA2209"/>
    <w:rsid w:val="00BA2A3D"/>
    <w:rsid w:val="00BA2CF2"/>
    <w:rsid w:val="00BA2E67"/>
    <w:rsid w:val="00BA2E90"/>
    <w:rsid w:val="00BA3066"/>
    <w:rsid w:val="00BA32FE"/>
    <w:rsid w:val="00BA34D4"/>
    <w:rsid w:val="00BA380B"/>
    <w:rsid w:val="00BA3A21"/>
    <w:rsid w:val="00BA3D0B"/>
    <w:rsid w:val="00BA4448"/>
    <w:rsid w:val="00BA46CC"/>
    <w:rsid w:val="00BA4898"/>
    <w:rsid w:val="00BA48BC"/>
    <w:rsid w:val="00BA4974"/>
    <w:rsid w:val="00BA4981"/>
    <w:rsid w:val="00BA49E7"/>
    <w:rsid w:val="00BA4A5B"/>
    <w:rsid w:val="00BA4BA1"/>
    <w:rsid w:val="00BA4D95"/>
    <w:rsid w:val="00BA4DA2"/>
    <w:rsid w:val="00BA505D"/>
    <w:rsid w:val="00BA507F"/>
    <w:rsid w:val="00BA508A"/>
    <w:rsid w:val="00BA540F"/>
    <w:rsid w:val="00BA56C6"/>
    <w:rsid w:val="00BA5718"/>
    <w:rsid w:val="00BA593D"/>
    <w:rsid w:val="00BA5CD2"/>
    <w:rsid w:val="00BA5DAB"/>
    <w:rsid w:val="00BA6141"/>
    <w:rsid w:val="00BA637F"/>
    <w:rsid w:val="00BA63C5"/>
    <w:rsid w:val="00BA66AA"/>
    <w:rsid w:val="00BA6719"/>
    <w:rsid w:val="00BA686A"/>
    <w:rsid w:val="00BA7161"/>
    <w:rsid w:val="00BA725F"/>
    <w:rsid w:val="00BA72C3"/>
    <w:rsid w:val="00BA762E"/>
    <w:rsid w:val="00BA778E"/>
    <w:rsid w:val="00BB00A0"/>
    <w:rsid w:val="00BB080D"/>
    <w:rsid w:val="00BB0D21"/>
    <w:rsid w:val="00BB11F4"/>
    <w:rsid w:val="00BB1202"/>
    <w:rsid w:val="00BB1A3E"/>
    <w:rsid w:val="00BB1B65"/>
    <w:rsid w:val="00BB1E23"/>
    <w:rsid w:val="00BB21FF"/>
    <w:rsid w:val="00BB25B2"/>
    <w:rsid w:val="00BB2670"/>
    <w:rsid w:val="00BB2925"/>
    <w:rsid w:val="00BB2BA5"/>
    <w:rsid w:val="00BB2BC1"/>
    <w:rsid w:val="00BB2FBC"/>
    <w:rsid w:val="00BB3773"/>
    <w:rsid w:val="00BB390C"/>
    <w:rsid w:val="00BB3C5A"/>
    <w:rsid w:val="00BB3FD9"/>
    <w:rsid w:val="00BB421D"/>
    <w:rsid w:val="00BB44FE"/>
    <w:rsid w:val="00BB465B"/>
    <w:rsid w:val="00BB4A22"/>
    <w:rsid w:val="00BB4BF0"/>
    <w:rsid w:val="00BB4DC6"/>
    <w:rsid w:val="00BB52EF"/>
    <w:rsid w:val="00BB5524"/>
    <w:rsid w:val="00BB5A8D"/>
    <w:rsid w:val="00BB5D2D"/>
    <w:rsid w:val="00BB5D37"/>
    <w:rsid w:val="00BB5EAB"/>
    <w:rsid w:val="00BB5F38"/>
    <w:rsid w:val="00BB608A"/>
    <w:rsid w:val="00BB615F"/>
    <w:rsid w:val="00BB616A"/>
    <w:rsid w:val="00BB61B8"/>
    <w:rsid w:val="00BB6288"/>
    <w:rsid w:val="00BB64A5"/>
    <w:rsid w:val="00BB667B"/>
    <w:rsid w:val="00BB677C"/>
    <w:rsid w:val="00BB7084"/>
    <w:rsid w:val="00BB77EA"/>
    <w:rsid w:val="00BB7E0A"/>
    <w:rsid w:val="00BC0234"/>
    <w:rsid w:val="00BC0886"/>
    <w:rsid w:val="00BC0EB5"/>
    <w:rsid w:val="00BC21D0"/>
    <w:rsid w:val="00BC2AAE"/>
    <w:rsid w:val="00BC2D0A"/>
    <w:rsid w:val="00BC2DAF"/>
    <w:rsid w:val="00BC315D"/>
    <w:rsid w:val="00BC3CE4"/>
    <w:rsid w:val="00BC3F13"/>
    <w:rsid w:val="00BC403A"/>
    <w:rsid w:val="00BC40C7"/>
    <w:rsid w:val="00BC4527"/>
    <w:rsid w:val="00BC476B"/>
    <w:rsid w:val="00BC479D"/>
    <w:rsid w:val="00BC4959"/>
    <w:rsid w:val="00BC4BF7"/>
    <w:rsid w:val="00BC51EE"/>
    <w:rsid w:val="00BC5211"/>
    <w:rsid w:val="00BC5436"/>
    <w:rsid w:val="00BC546A"/>
    <w:rsid w:val="00BC5525"/>
    <w:rsid w:val="00BC56C9"/>
    <w:rsid w:val="00BC5896"/>
    <w:rsid w:val="00BC58FA"/>
    <w:rsid w:val="00BC5D62"/>
    <w:rsid w:val="00BC5FB6"/>
    <w:rsid w:val="00BC6305"/>
    <w:rsid w:val="00BC6331"/>
    <w:rsid w:val="00BC65BD"/>
    <w:rsid w:val="00BC66D1"/>
    <w:rsid w:val="00BC69B5"/>
    <w:rsid w:val="00BC6FCF"/>
    <w:rsid w:val="00BC7439"/>
    <w:rsid w:val="00BC7D51"/>
    <w:rsid w:val="00BD033C"/>
    <w:rsid w:val="00BD070A"/>
    <w:rsid w:val="00BD0BE4"/>
    <w:rsid w:val="00BD0CD7"/>
    <w:rsid w:val="00BD10C1"/>
    <w:rsid w:val="00BD128B"/>
    <w:rsid w:val="00BD1A53"/>
    <w:rsid w:val="00BD1A73"/>
    <w:rsid w:val="00BD1A7E"/>
    <w:rsid w:val="00BD1B21"/>
    <w:rsid w:val="00BD2B78"/>
    <w:rsid w:val="00BD2C6B"/>
    <w:rsid w:val="00BD2DC8"/>
    <w:rsid w:val="00BD2ED2"/>
    <w:rsid w:val="00BD3232"/>
    <w:rsid w:val="00BD3271"/>
    <w:rsid w:val="00BD32D6"/>
    <w:rsid w:val="00BD3515"/>
    <w:rsid w:val="00BD3762"/>
    <w:rsid w:val="00BD3B8A"/>
    <w:rsid w:val="00BD4242"/>
    <w:rsid w:val="00BD42CC"/>
    <w:rsid w:val="00BD4CF6"/>
    <w:rsid w:val="00BD50A0"/>
    <w:rsid w:val="00BD55ED"/>
    <w:rsid w:val="00BD5606"/>
    <w:rsid w:val="00BD5D72"/>
    <w:rsid w:val="00BD5EF7"/>
    <w:rsid w:val="00BD5F87"/>
    <w:rsid w:val="00BD62D8"/>
    <w:rsid w:val="00BD657D"/>
    <w:rsid w:val="00BD6AAA"/>
    <w:rsid w:val="00BD6E64"/>
    <w:rsid w:val="00BD704C"/>
    <w:rsid w:val="00BD71FC"/>
    <w:rsid w:val="00BD73E0"/>
    <w:rsid w:val="00BD79D6"/>
    <w:rsid w:val="00BD7FE9"/>
    <w:rsid w:val="00BE0040"/>
    <w:rsid w:val="00BE0405"/>
    <w:rsid w:val="00BE0A50"/>
    <w:rsid w:val="00BE0B5C"/>
    <w:rsid w:val="00BE0C46"/>
    <w:rsid w:val="00BE0E4C"/>
    <w:rsid w:val="00BE1334"/>
    <w:rsid w:val="00BE18EA"/>
    <w:rsid w:val="00BE20C9"/>
    <w:rsid w:val="00BE2356"/>
    <w:rsid w:val="00BE2579"/>
    <w:rsid w:val="00BE28E8"/>
    <w:rsid w:val="00BE2BEA"/>
    <w:rsid w:val="00BE2E8C"/>
    <w:rsid w:val="00BE3555"/>
    <w:rsid w:val="00BE393D"/>
    <w:rsid w:val="00BE3978"/>
    <w:rsid w:val="00BE3A04"/>
    <w:rsid w:val="00BE3B2B"/>
    <w:rsid w:val="00BE3FCE"/>
    <w:rsid w:val="00BE43A3"/>
    <w:rsid w:val="00BE45B4"/>
    <w:rsid w:val="00BE4729"/>
    <w:rsid w:val="00BE514D"/>
    <w:rsid w:val="00BE522D"/>
    <w:rsid w:val="00BE5384"/>
    <w:rsid w:val="00BE5390"/>
    <w:rsid w:val="00BE56A1"/>
    <w:rsid w:val="00BE59A0"/>
    <w:rsid w:val="00BE5D6B"/>
    <w:rsid w:val="00BE5EDE"/>
    <w:rsid w:val="00BE648E"/>
    <w:rsid w:val="00BE6803"/>
    <w:rsid w:val="00BE6938"/>
    <w:rsid w:val="00BE6CCE"/>
    <w:rsid w:val="00BE70BB"/>
    <w:rsid w:val="00BE7227"/>
    <w:rsid w:val="00BE74CC"/>
    <w:rsid w:val="00BE76E1"/>
    <w:rsid w:val="00BE78CE"/>
    <w:rsid w:val="00BE7C25"/>
    <w:rsid w:val="00BE7FEA"/>
    <w:rsid w:val="00BF04D4"/>
    <w:rsid w:val="00BF0701"/>
    <w:rsid w:val="00BF1053"/>
    <w:rsid w:val="00BF12DC"/>
    <w:rsid w:val="00BF177C"/>
    <w:rsid w:val="00BF1796"/>
    <w:rsid w:val="00BF19AC"/>
    <w:rsid w:val="00BF1BD3"/>
    <w:rsid w:val="00BF26A3"/>
    <w:rsid w:val="00BF27B7"/>
    <w:rsid w:val="00BF2855"/>
    <w:rsid w:val="00BF306A"/>
    <w:rsid w:val="00BF3228"/>
    <w:rsid w:val="00BF362B"/>
    <w:rsid w:val="00BF3A0E"/>
    <w:rsid w:val="00BF3E8A"/>
    <w:rsid w:val="00BF3ED6"/>
    <w:rsid w:val="00BF4010"/>
    <w:rsid w:val="00BF475D"/>
    <w:rsid w:val="00BF4BA3"/>
    <w:rsid w:val="00BF4D69"/>
    <w:rsid w:val="00BF4F8F"/>
    <w:rsid w:val="00BF50EB"/>
    <w:rsid w:val="00BF5401"/>
    <w:rsid w:val="00BF55A5"/>
    <w:rsid w:val="00BF5EC6"/>
    <w:rsid w:val="00BF60B5"/>
    <w:rsid w:val="00BF6707"/>
    <w:rsid w:val="00BF675B"/>
    <w:rsid w:val="00BF6852"/>
    <w:rsid w:val="00BF68CE"/>
    <w:rsid w:val="00BF6CB3"/>
    <w:rsid w:val="00BF6DBC"/>
    <w:rsid w:val="00BF6DC5"/>
    <w:rsid w:val="00BF6E51"/>
    <w:rsid w:val="00BF71FE"/>
    <w:rsid w:val="00BF73D1"/>
    <w:rsid w:val="00BF7416"/>
    <w:rsid w:val="00BF7BB1"/>
    <w:rsid w:val="00C003C5"/>
    <w:rsid w:val="00C005D2"/>
    <w:rsid w:val="00C00675"/>
    <w:rsid w:val="00C007E8"/>
    <w:rsid w:val="00C00821"/>
    <w:rsid w:val="00C00D29"/>
    <w:rsid w:val="00C00DD8"/>
    <w:rsid w:val="00C00F07"/>
    <w:rsid w:val="00C0128D"/>
    <w:rsid w:val="00C0149A"/>
    <w:rsid w:val="00C014DE"/>
    <w:rsid w:val="00C0174A"/>
    <w:rsid w:val="00C01798"/>
    <w:rsid w:val="00C019A0"/>
    <w:rsid w:val="00C01A19"/>
    <w:rsid w:val="00C01CA6"/>
    <w:rsid w:val="00C02133"/>
    <w:rsid w:val="00C022F9"/>
    <w:rsid w:val="00C02385"/>
    <w:rsid w:val="00C026D2"/>
    <w:rsid w:val="00C0280B"/>
    <w:rsid w:val="00C02A4A"/>
    <w:rsid w:val="00C02FAE"/>
    <w:rsid w:val="00C031DE"/>
    <w:rsid w:val="00C03365"/>
    <w:rsid w:val="00C035A0"/>
    <w:rsid w:val="00C03803"/>
    <w:rsid w:val="00C03D79"/>
    <w:rsid w:val="00C03FBB"/>
    <w:rsid w:val="00C046A0"/>
    <w:rsid w:val="00C047C5"/>
    <w:rsid w:val="00C04E12"/>
    <w:rsid w:val="00C05334"/>
    <w:rsid w:val="00C0550E"/>
    <w:rsid w:val="00C0577B"/>
    <w:rsid w:val="00C057FD"/>
    <w:rsid w:val="00C05827"/>
    <w:rsid w:val="00C05BB7"/>
    <w:rsid w:val="00C05C17"/>
    <w:rsid w:val="00C0609D"/>
    <w:rsid w:val="00C062AD"/>
    <w:rsid w:val="00C0645C"/>
    <w:rsid w:val="00C064C3"/>
    <w:rsid w:val="00C066FA"/>
    <w:rsid w:val="00C067B2"/>
    <w:rsid w:val="00C06971"/>
    <w:rsid w:val="00C06C4C"/>
    <w:rsid w:val="00C06C87"/>
    <w:rsid w:val="00C071EB"/>
    <w:rsid w:val="00C074C8"/>
    <w:rsid w:val="00C07518"/>
    <w:rsid w:val="00C0783A"/>
    <w:rsid w:val="00C07B4C"/>
    <w:rsid w:val="00C07BD6"/>
    <w:rsid w:val="00C07CEC"/>
    <w:rsid w:val="00C07F08"/>
    <w:rsid w:val="00C1058F"/>
    <w:rsid w:val="00C10684"/>
    <w:rsid w:val="00C1086B"/>
    <w:rsid w:val="00C1097E"/>
    <w:rsid w:val="00C10AA6"/>
    <w:rsid w:val="00C10CE3"/>
    <w:rsid w:val="00C111F2"/>
    <w:rsid w:val="00C11854"/>
    <w:rsid w:val="00C11B1F"/>
    <w:rsid w:val="00C11CBA"/>
    <w:rsid w:val="00C122EC"/>
    <w:rsid w:val="00C124D0"/>
    <w:rsid w:val="00C125BF"/>
    <w:rsid w:val="00C12629"/>
    <w:rsid w:val="00C129F5"/>
    <w:rsid w:val="00C13321"/>
    <w:rsid w:val="00C13F0B"/>
    <w:rsid w:val="00C1460F"/>
    <w:rsid w:val="00C14908"/>
    <w:rsid w:val="00C1494B"/>
    <w:rsid w:val="00C15673"/>
    <w:rsid w:val="00C15AC7"/>
    <w:rsid w:val="00C15C63"/>
    <w:rsid w:val="00C15E9D"/>
    <w:rsid w:val="00C16169"/>
    <w:rsid w:val="00C16801"/>
    <w:rsid w:val="00C16BFC"/>
    <w:rsid w:val="00C170DC"/>
    <w:rsid w:val="00C176B6"/>
    <w:rsid w:val="00C1781E"/>
    <w:rsid w:val="00C1787E"/>
    <w:rsid w:val="00C17BC3"/>
    <w:rsid w:val="00C17BE3"/>
    <w:rsid w:val="00C17D9D"/>
    <w:rsid w:val="00C20079"/>
    <w:rsid w:val="00C20100"/>
    <w:rsid w:val="00C20127"/>
    <w:rsid w:val="00C2017D"/>
    <w:rsid w:val="00C2035A"/>
    <w:rsid w:val="00C2038A"/>
    <w:rsid w:val="00C20890"/>
    <w:rsid w:val="00C20E20"/>
    <w:rsid w:val="00C21302"/>
    <w:rsid w:val="00C21315"/>
    <w:rsid w:val="00C217C4"/>
    <w:rsid w:val="00C217D0"/>
    <w:rsid w:val="00C21C2F"/>
    <w:rsid w:val="00C2205C"/>
    <w:rsid w:val="00C223DE"/>
    <w:rsid w:val="00C226E0"/>
    <w:rsid w:val="00C22AFE"/>
    <w:rsid w:val="00C22CD5"/>
    <w:rsid w:val="00C22D11"/>
    <w:rsid w:val="00C22F15"/>
    <w:rsid w:val="00C23120"/>
    <w:rsid w:val="00C23155"/>
    <w:rsid w:val="00C23188"/>
    <w:rsid w:val="00C231C0"/>
    <w:rsid w:val="00C2352E"/>
    <w:rsid w:val="00C23A31"/>
    <w:rsid w:val="00C23C30"/>
    <w:rsid w:val="00C23FC3"/>
    <w:rsid w:val="00C241DB"/>
    <w:rsid w:val="00C242D5"/>
    <w:rsid w:val="00C24469"/>
    <w:rsid w:val="00C244F2"/>
    <w:rsid w:val="00C247E4"/>
    <w:rsid w:val="00C24900"/>
    <w:rsid w:val="00C2490D"/>
    <w:rsid w:val="00C24CE0"/>
    <w:rsid w:val="00C24F2A"/>
    <w:rsid w:val="00C24F82"/>
    <w:rsid w:val="00C2530C"/>
    <w:rsid w:val="00C254A9"/>
    <w:rsid w:val="00C254EC"/>
    <w:rsid w:val="00C256BE"/>
    <w:rsid w:val="00C257FC"/>
    <w:rsid w:val="00C25C24"/>
    <w:rsid w:val="00C25FD2"/>
    <w:rsid w:val="00C26024"/>
    <w:rsid w:val="00C260CC"/>
    <w:rsid w:val="00C26781"/>
    <w:rsid w:val="00C26902"/>
    <w:rsid w:val="00C2726F"/>
    <w:rsid w:val="00C27272"/>
    <w:rsid w:val="00C272CD"/>
    <w:rsid w:val="00C275A9"/>
    <w:rsid w:val="00C2796D"/>
    <w:rsid w:val="00C27C94"/>
    <w:rsid w:val="00C27E1B"/>
    <w:rsid w:val="00C306DF"/>
    <w:rsid w:val="00C307B9"/>
    <w:rsid w:val="00C3116B"/>
    <w:rsid w:val="00C314CC"/>
    <w:rsid w:val="00C31D7E"/>
    <w:rsid w:val="00C323C5"/>
    <w:rsid w:val="00C32834"/>
    <w:rsid w:val="00C32C92"/>
    <w:rsid w:val="00C32F2A"/>
    <w:rsid w:val="00C33069"/>
    <w:rsid w:val="00C33093"/>
    <w:rsid w:val="00C335E2"/>
    <w:rsid w:val="00C33634"/>
    <w:rsid w:val="00C33823"/>
    <w:rsid w:val="00C33B26"/>
    <w:rsid w:val="00C33EBD"/>
    <w:rsid w:val="00C34348"/>
    <w:rsid w:val="00C34484"/>
    <w:rsid w:val="00C344C0"/>
    <w:rsid w:val="00C3494C"/>
    <w:rsid w:val="00C349F6"/>
    <w:rsid w:val="00C34B41"/>
    <w:rsid w:val="00C34F44"/>
    <w:rsid w:val="00C35165"/>
    <w:rsid w:val="00C35498"/>
    <w:rsid w:val="00C359DC"/>
    <w:rsid w:val="00C35A15"/>
    <w:rsid w:val="00C35C48"/>
    <w:rsid w:val="00C367F6"/>
    <w:rsid w:val="00C368E3"/>
    <w:rsid w:val="00C36A71"/>
    <w:rsid w:val="00C36C42"/>
    <w:rsid w:val="00C36C8E"/>
    <w:rsid w:val="00C36D45"/>
    <w:rsid w:val="00C37713"/>
    <w:rsid w:val="00C37A58"/>
    <w:rsid w:val="00C37A74"/>
    <w:rsid w:val="00C37AB8"/>
    <w:rsid w:val="00C37BAC"/>
    <w:rsid w:val="00C37C5B"/>
    <w:rsid w:val="00C37CD8"/>
    <w:rsid w:val="00C37DA2"/>
    <w:rsid w:val="00C37DE1"/>
    <w:rsid w:val="00C37EBE"/>
    <w:rsid w:val="00C37F25"/>
    <w:rsid w:val="00C400C9"/>
    <w:rsid w:val="00C40132"/>
    <w:rsid w:val="00C4023B"/>
    <w:rsid w:val="00C4091C"/>
    <w:rsid w:val="00C40BE1"/>
    <w:rsid w:val="00C40C0B"/>
    <w:rsid w:val="00C42208"/>
    <w:rsid w:val="00C425E9"/>
    <w:rsid w:val="00C42EBE"/>
    <w:rsid w:val="00C42FC3"/>
    <w:rsid w:val="00C43289"/>
    <w:rsid w:val="00C4376F"/>
    <w:rsid w:val="00C441AE"/>
    <w:rsid w:val="00C44818"/>
    <w:rsid w:val="00C44B7D"/>
    <w:rsid w:val="00C44F72"/>
    <w:rsid w:val="00C45021"/>
    <w:rsid w:val="00C4590A"/>
    <w:rsid w:val="00C45C1C"/>
    <w:rsid w:val="00C45C3B"/>
    <w:rsid w:val="00C460FA"/>
    <w:rsid w:val="00C46361"/>
    <w:rsid w:val="00C464A0"/>
    <w:rsid w:val="00C4685C"/>
    <w:rsid w:val="00C46907"/>
    <w:rsid w:val="00C46C39"/>
    <w:rsid w:val="00C46CCA"/>
    <w:rsid w:val="00C46D26"/>
    <w:rsid w:val="00C47214"/>
    <w:rsid w:val="00C4733B"/>
    <w:rsid w:val="00C47467"/>
    <w:rsid w:val="00C478E4"/>
    <w:rsid w:val="00C47C2A"/>
    <w:rsid w:val="00C50A5E"/>
    <w:rsid w:val="00C50E6A"/>
    <w:rsid w:val="00C50F9A"/>
    <w:rsid w:val="00C511A0"/>
    <w:rsid w:val="00C5132E"/>
    <w:rsid w:val="00C5179A"/>
    <w:rsid w:val="00C517BA"/>
    <w:rsid w:val="00C517C8"/>
    <w:rsid w:val="00C517F3"/>
    <w:rsid w:val="00C519A9"/>
    <w:rsid w:val="00C519D2"/>
    <w:rsid w:val="00C51B74"/>
    <w:rsid w:val="00C51F0C"/>
    <w:rsid w:val="00C52594"/>
    <w:rsid w:val="00C5265B"/>
    <w:rsid w:val="00C529D7"/>
    <w:rsid w:val="00C52F5D"/>
    <w:rsid w:val="00C5312E"/>
    <w:rsid w:val="00C531D3"/>
    <w:rsid w:val="00C531E6"/>
    <w:rsid w:val="00C534B7"/>
    <w:rsid w:val="00C53FFF"/>
    <w:rsid w:val="00C54311"/>
    <w:rsid w:val="00C545F3"/>
    <w:rsid w:val="00C547B6"/>
    <w:rsid w:val="00C552F8"/>
    <w:rsid w:val="00C55649"/>
    <w:rsid w:val="00C557D5"/>
    <w:rsid w:val="00C55858"/>
    <w:rsid w:val="00C55E20"/>
    <w:rsid w:val="00C56096"/>
    <w:rsid w:val="00C5648A"/>
    <w:rsid w:val="00C56BBE"/>
    <w:rsid w:val="00C56D0B"/>
    <w:rsid w:val="00C56D0F"/>
    <w:rsid w:val="00C56E53"/>
    <w:rsid w:val="00C56E8E"/>
    <w:rsid w:val="00C574CB"/>
    <w:rsid w:val="00C5778A"/>
    <w:rsid w:val="00C579CC"/>
    <w:rsid w:val="00C60735"/>
    <w:rsid w:val="00C60744"/>
    <w:rsid w:val="00C60969"/>
    <w:rsid w:val="00C609D8"/>
    <w:rsid w:val="00C60A72"/>
    <w:rsid w:val="00C6125D"/>
    <w:rsid w:val="00C6179F"/>
    <w:rsid w:val="00C61836"/>
    <w:rsid w:val="00C6188D"/>
    <w:rsid w:val="00C618D1"/>
    <w:rsid w:val="00C618FC"/>
    <w:rsid w:val="00C619EB"/>
    <w:rsid w:val="00C61CF8"/>
    <w:rsid w:val="00C61E09"/>
    <w:rsid w:val="00C6272E"/>
    <w:rsid w:val="00C6276C"/>
    <w:rsid w:val="00C6289E"/>
    <w:rsid w:val="00C62E23"/>
    <w:rsid w:val="00C62E46"/>
    <w:rsid w:val="00C62EBF"/>
    <w:rsid w:val="00C6311F"/>
    <w:rsid w:val="00C6315C"/>
    <w:rsid w:val="00C63255"/>
    <w:rsid w:val="00C6349B"/>
    <w:rsid w:val="00C635CC"/>
    <w:rsid w:val="00C63651"/>
    <w:rsid w:val="00C63ADB"/>
    <w:rsid w:val="00C63F21"/>
    <w:rsid w:val="00C64257"/>
    <w:rsid w:val="00C64FB3"/>
    <w:rsid w:val="00C650FB"/>
    <w:rsid w:val="00C65296"/>
    <w:rsid w:val="00C655C4"/>
    <w:rsid w:val="00C656CC"/>
    <w:rsid w:val="00C65C8A"/>
    <w:rsid w:val="00C664CE"/>
    <w:rsid w:val="00C66690"/>
    <w:rsid w:val="00C66895"/>
    <w:rsid w:val="00C669DD"/>
    <w:rsid w:val="00C66AA1"/>
    <w:rsid w:val="00C66D98"/>
    <w:rsid w:val="00C67A55"/>
    <w:rsid w:val="00C70034"/>
    <w:rsid w:val="00C704AF"/>
    <w:rsid w:val="00C7060E"/>
    <w:rsid w:val="00C707D9"/>
    <w:rsid w:val="00C70844"/>
    <w:rsid w:val="00C7084A"/>
    <w:rsid w:val="00C7091B"/>
    <w:rsid w:val="00C71246"/>
    <w:rsid w:val="00C71707"/>
    <w:rsid w:val="00C724D7"/>
    <w:rsid w:val="00C7268F"/>
    <w:rsid w:val="00C72999"/>
    <w:rsid w:val="00C72D57"/>
    <w:rsid w:val="00C73681"/>
    <w:rsid w:val="00C737B4"/>
    <w:rsid w:val="00C7383D"/>
    <w:rsid w:val="00C73F85"/>
    <w:rsid w:val="00C74272"/>
    <w:rsid w:val="00C7427A"/>
    <w:rsid w:val="00C7458C"/>
    <w:rsid w:val="00C74713"/>
    <w:rsid w:val="00C74CA1"/>
    <w:rsid w:val="00C74D13"/>
    <w:rsid w:val="00C74F1A"/>
    <w:rsid w:val="00C74FAB"/>
    <w:rsid w:val="00C74FD2"/>
    <w:rsid w:val="00C75735"/>
    <w:rsid w:val="00C76289"/>
    <w:rsid w:val="00C767FE"/>
    <w:rsid w:val="00C76914"/>
    <w:rsid w:val="00C779EE"/>
    <w:rsid w:val="00C779EF"/>
    <w:rsid w:val="00C77AA8"/>
    <w:rsid w:val="00C77CC9"/>
    <w:rsid w:val="00C77D42"/>
    <w:rsid w:val="00C77DEC"/>
    <w:rsid w:val="00C77F8C"/>
    <w:rsid w:val="00C80225"/>
    <w:rsid w:val="00C80556"/>
    <w:rsid w:val="00C80C09"/>
    <w:rsid w:val="00C80E2D"/>
    <w:rsid w:val="00C81023"/>
    <w:rsid w:val="00C812FB"/>
    <w:rsid w:val="00C8143F"/>
    <w:rsid w:val="00C815B3"/>
    <w:rsid w:val="00C817E2"/>
    <w:rsid w:val="00C81844"/>
    <w:rsid w:val="00C8238C"/>
    <w:rsid w:val="00C82A3C"/>
    <w:rsid w:val="00C82F8E"/>
    <w:rsid w:val="00C8355B"/>
    <w:rsid w:val="00C836AD"/>
    <w:rsid w:val="00C83987"/>
    <w:rsid w:val="00C83B75"/>
    <w:rsid w:val="00C84675"/>
    <w:rsid w:val="00C84A62"/>
    <w:rsid w:val="00C84E78"/>
    <w:rsid w:val="00C8510D"/>
    <w:rsid w:val="00C85375"/>
    <w:rsid w:val="00C8560C"/>
    <w:rsid w:val="00C856FB"/>
    <w:rsid w:val="00C85869"/>
    <w:rsid w:val="00C85D5A"/>
    <w:rsid w:val="00C8613C"/>
    <w:rsid w:val="00C86903"/>
    <w:rsid w:val="00C871B3"/>
    <w:rsid w:val="00C876DD"/>
    <w:rsid w:val="00C87968"/>
    <w:rsid w:val="00C87C33"/>
    <w:rsid w:val="00C907E8"/>
    <w:rsid w:val="00C90881"/>
    <w:rsid w:val="00C90DA7"/>
    <w:rsid w:val="00C91063"/>
    <w:rsid w:val="00C91078"/>
    <w:rsid w:val="00C91168"/>
    <w:rsid w:val="00C914C0"/>
    <w:rsid w:val="00C91FCC"/>
    <w:rsid w:val="00C92573"/>
    <w:rsid w:val="00C92B94"/>
    <w:rsid w:val="00C92F89"/>
    <w:rsid w:val="00C92F9F"/>
    <w:rsid w:val="00C93098"/>
    <w:rsid w:val="00C93131"/>
    <w:rsid w:val="00C9420A"/>
    <w:rsid w:val="00C9428C"/>
    <w:rsid w:val="00C943E8"/>
    <w:rsid w:val="00C94744"/>
    <w:rsid w:val="00C94CE1"/>
    <w:rsid w:val="00C9530A"/>
    <w:rsid w:val="00C95360"/>
    <w:rsid w:val="00C955E3"/>
    <w:rsid w:val="00C95BFE"/>
    <w:rsid w:val="00C96766"/>
    <w:rsid w:val="00C96F63"/>
    <w:rsid w:val="00C971B3"/>
    <w:rsid w:val="00C97312"/>
    <w:rsid w:val="00C9790C"/>
    <w:rsid w:val="00C97AE4"/>
    <w:rsid w:val="00CA0629"/>
    <w:rsid w:val="00CA0652"/>
    <w:rsid w:val="00CA0743"/>
    <w:rsid w:val="00CA0EF6"/>
    <w:rsid w:val="00CA0F85"/>
    <w:rsid w:val="00CA114F"/>
    <w:rsid w:val="00CA125F"/>
    <w:rsid w:val="00CA1264"/>
    <w:rsid w:val="00CA14E8"/>
    <w:rsid w:val="00CA1BEF"/>
    <w:rsid w:val="00CA1EE9"/>
    <w:rsid w:val="00CA2072"/>
    <w:rsid w:val="00CA2276"/>
    <w:rsid w:val="00CA240C"/>
    <w:rsid w:val="00CA2669"/>
    <w:rsid w:val="00CA2891"/>
    <w:rsid w:val="00CA2BDC"/>
    <w:rsid w:val="00CA2C29"/>
    <w:rsid w:val="00CA2E24"/>
    <w:rsid w:val="00CA31EC"/>
    <w:rsid w:val="00CA3B19"/>
    <w:rsid w:val="00CA41C0"/>
    <w:rsid w:val="00CA4271"/>
    <w:rsid w:val="00CA4297"/>
    <w:rsid w:val="00CA45AD"/>
    <w:rsid w:val="00CA466E"/>
    <w:rsid w:val="00CA4B2A"/>
    <w:rsid w:val="00CA4BBE"/>
    <w:rsid w:val="00CA4E3A"/>
    <w:rsid w:val="00CA51BE"/>
    <w:rsid w:val="00CA56C7"/>
    <w:rsid w:val="00CA590E"/>
    <w:rsid w:val="00CA5BEC"/>
    <w:rsid w:val="00CA5F81"/>
    <w:rsid w:val="00CA5FB7"/>
    <w:rsid w:val="00CA682E"/>
    <w:rsid w:val="00CA69CA"/>
    <w:rsid w:val="00CA6AF5"/>
    <w:rsid w:val="00CA6BD2"/>
    <w:rsid w:val="00CA7ADC"/>
    <w:rsid w:val="00CA7E3E"/>
    <w:rsid w:val="00CA7E92"/>
    <w:rsid w:val="00CB0295"/>
    <w:rsid w:val="00CB043E"/>
    <w:rsid w:val="00CB064D"/>
    <w:rsid w:val="00CB0B24"/>
    <w:rsid w:val="00CB11A2"/>
    <w:rsid w:val="00CB1499"/>
    <w:rsid w:val="00CB1660"/>
    <w:rsid w:val="00CB16B3"/>
    <w:rsid w:val="00CB176E"/>
    <w:rsid w:val="00CB1A1A"/>
    <w:rsid w:val="00CB1AD5"/>
    <w:rsid w:val="00CB1CEF"/>
    <w:rsid w:val="00CB2188"/>
    <w:rsid w:val="00CB2478"/>
    <w:rsid w:val="00CB247E"/>
    <w:rsid w:val="00CB289A"/>
    <w:rsid w:val="00CB348E"/>
    <w:rsid w:val="00CB37DE"/>
    <w:rsid w:val="00CB395B"/>
    <w:rsid w:val="00CB456D"/>
    <w:rsid w:val="00CB4701"/>
    <w:rsid w:val="00CB4766"/>
    <w:rsid w:val="00CB4E70"/>
    <w:rsid w:val="00CB54ED"/>
    <w:rsid w:val="00CB5594"/>
    <w:rsid w:val="00CB591D"/>
    <w:rsid w:val="00CB5C50"/>
    <w:rsid w:val="00CB5F55"/>
    <w:rsid w:val="00CB6DED"/>
    <w:rsid w:val="00CB6F96"/>
    <w:rsid w:val="00CB6FF9"/>
    <w:rsid w:val="00CB7010"/>
    <w:rsid w:val="00CB7110"/>
    <w:rsid w:val="00CB725E"/>
    <w:rsid w:val="00CB7557"/>
    <w:rsid w:val="00CB7559"/>
    <w:rsid w:val="00CB768E"/>
    <w:rsid w:val="00CB7857"/>
    <w:rsid w:val="00CB797E"/>
    <w:rsid w:val="00CB7AAA"/>
    <w:rsid w:val="00CB7D4F"/>
    <w:rsid w:val="00CB7F96"/>
    <w:rsid w:val="00CC0299"/>
    <w:rsid w:val="00CC0466"/>
    <w:rsid w:val="00CC04C1"/>
    <w:rsid w:val="00CC061F"/>
    <w:rsid w:val="00CC0DC4"/>
    <w:rsid w:val="00CC111A"/>
    <w:rsid w:val="00CC1225"/>
    <w:rsid w:val="00CC1253"/>
    <w:rsid w:val="00CC14F8"/>
    <w:rsid w:val="00CC154A"/>
    <w:rsid w:val="00CC1CA0"/>
    <w:rsid w:val="00CC1E90"/>
    <w:rsid w:val="00CC2458"/>
    <w:rsid w:val="00CC2531"/>
    <w:rsid w:val="00CC2587"/>
    <w:rsid w:val="00CC2E97"/>
    <w:rsid w:val="00CC330E"/>
    <w:rsid w:val="00CC34A6"/>
    <w:rsid w:val="00CC36D0"/>
    <w:rsid w:val="00CC378B"/>
    <w:rsid w:val="00CC38ED"/>
    <w:rsid w:val="00CC3A7B"/>
    <w:rsid w:val="00CC3AAA"/>
    <w:rsid w:val="00CC3AF4"/>
    <w:rsid w:val="00CC3B58"/>
    <w:rsid w:val="00CC3BBF"/>
    <w:rsid w:val="00CC3C89"/>
    <w:rsid w:val="00CC3E02"/>
    <w:rsid w:val="00CC3F08"/>
    <w:rsid w:val="00CC40F0"/>
    <w:rsid w:val="00CC4A61"/>
    <w:rsid w:val="00CC4C75"/>
    <w:rsid w:val="00CC4D87"/>
    <w:rsid w:val="00CC524D"/>
    <w:rsid w:val="00CC59B2"/>
    <w:rsid w:val="00CC5AF5"/>
    <w:rsid w:val="00CC5B07"/>
    <w:rsid w:val="00CC5C77"/>
    <w:rsid w:val="00CC5CCF"/>
    <w:rsid w:val="00CC77F7"/>
    <w:rsid w:val="00CD00D4"/>
    <w:rsid w:val="00CD08FD"/>
    <w:rsid w:val="00CD0DE3"/>
    <w:rsid w:val="00CD0E69"/>
    <w:rsid w:val="00CD0FB5"/>
    <w:rsid w:val="00CD10CF"/>
    <w:rsid w:val="00CD10D3"/>
    <w:rsid w:val="00CD13AA"/>
    <w:rsid w:val="00CD140C"/>
    <w:rsid w:val="00CD145F"/>
    <w:rsid w:val="00CD1548"/>
    <w:rsid w:val="00CD1C39"/>
    <w:rsid w:val="00CD2413"/>
    <w:rsid w:val="00CD2A90"/>
    <w:rsid w:val="00CD2CD2"/>
    <w:rsid w:val="00CD2E10"/>
    <w:rsid w:val="00CD2FAD"/>
    <w:rsid w:val="00CD30E0"/>
    <w:rsid w:val="00CD353C"/>
    <w:rsid w:val="00CD388E"/>
    <w:rsid w:val="00CD3F49"/>
    <w:rsid w:val="00CD425D"/>
    <w:rsid w:val="00CD4568"/>
    <w:rsid w:val="00CD48B2"/>
    <w:rsid w:val="00CD4A25"/>
    <w:rsid w:val="00CD4DCE"/>
    <w:rsid w:val="00CD53B3"/>
    <w:rsid w:val="00CD5615"/>
    <w:rsid w:val="00CD5822"/>
    <w:rsid w:val="00CD59A1"/>
    <w:rsid w:val="00CD5A55"/>
    <w:rsid w:val="00CD66D1"/>
    <w:rsid w:val="00CD68B7"/>
    <w:rsid w:val="00CD6E57"/>
    <w:rsid w:val="00CD7B10"/>
    <w:rsid w:val="00CD7ED0"/>
    <w:rsid w:val="00CE02AC"/>
    <w:rsid w:val="00CE043E"/>
    <w:rsid w:val="00CE0789"/>
    <w:rsid w:val="00CE0A2D"/>
    <w:rsid w:val="00CE0D63"/>
    <w:rsid w:val="00CE12CD"/>
    <w:rsid w:val="00CE1483"/>
    <w:rsid w:val="00CE16AC"/>
    <w:rsid w:val="00CE1792"/>
    <w:rsid w:val="00CE19A1"/>
    <w:rsid w:val="00CE2022"/>
    <w:rsid w:val="00CE211F"/>
    <w:rsid w:val="00CE21FA"/>
    <w:rsid w:val="00CE23F8"/>
    <w:rsid w:val="00CE24EA"/>
    <w:rsid w:val="00CE24F1"/>
    <w:rsid w:val="00CE2BFC"/>
    <w:rsid w:val="00CE2DDC"/>
    <w:rsid w:val="00CE2E1E"/>
    <w:rsid w:val="00CE3112"/>
    <w:rsid w:val="00CE3253"/>
    <w:rsid w:val="00CE3336"/>
    <w:rsid w:val="00CE342B"/>
    <w:rsid w:val="00CE353A"/>
    <w:rsid w:val="00CE393E"/>
    <w:rsid w:val="00CE3FFA"/>
    <w:rsid w:val="00CE44E3"/>
    <w:rsid w:val="00CE5414"/>
    <w:rsid w:val="00CE556B"/>
    <w:rsid w:val="00CE588D"/>
    <w:rsid w:val="00CE5A05"/>
    <w:rsid w:val="00CE5BE8"/>
    <w:rsid w:val="00CE62A2"/>
    <w:rsid w:val="00CE6665"/>
    <w:rsid w:val="00CE6E10"/>
    <w:rsid w:val="00CE7335"/>
    <w:rsid w:val="00CE786B"/>
    <w:rsid w:val="00CE78BA"/>
    <w:rsid w:val="00CE7D67"/>
    <w:rsid w:val="00CE7E6A"/>
    <w:rsid w:val="00CE7F66"/>
    <w:rsid w:val="00CF0573"/>
    <w:rsid w:val="00CF106E"/>
    <w:rsid w:val="00CF10F6"/>
    <w:rsid w:val="00CF1100"/>
    <w:rsid w:val="00CF121F"/>
    <w:rsid w:val="00CF1322"/>
    <w:rsid w:val="00CF13A0"/>
    <w:rsid w:val="00CF1A2E"/>
    <w:rsid w:val="00CF1B8E"/>
    <w:rsid w:val="00CF2372"/>
    <w:rsid w:val="00CF2444"/>
    <w:rsid w:val="00CF24AB"/>
    <w:rsid w:val="00CF277C"/>
    <w:rsid w:val="00CF299B"/>
    <w:rsid w:val="00CF2B79"/>
    <w:rsid w:val="00CF2C86"/>
    <w:rsid w:val="00CF3473"/>
    <w:rsid w:val="00CF34A2"/>
    <w:rsid w:val="00CF35B8"/>
    <w:rsid w:val="00CF39F4"/>
    <w:rsid w:val="00CF4AB6"/>
    <w:rsid w:val="00CF4C41"/>
    <w:rsid w:val="00CF4C6B"/>
    <w:rsid w:val="00CF5ACB"/>
    <w:rsid w:val="00CF6246"/>
    <w:rsid w:val="00CF6874"/>
    <w:rsid w:val="00CF767E"/>
    <w:rsid w:val="00CF7A36"/>
    <w:rsid w:val="00CF7DF6"/>
    <w:rsid w:val="00CF7EFD"/>
    <w:rsid w:val="00D0006A"/>
    <w:rsid w:val="00D00381"/>
    <w:rsid w:val="00D006FB"/>
    <w:rsid w:val="00D007FF"/>
    <w:rsid w:val="00D009F3"/>
    <w:rsid w:val="00D00ACF"/>
    <w:rsid w:val="00D00AFC"/>
    <w:rsid w:val="00D00F4E"/>
    <w:rsid w:val="00D01297"/>
    <w:rsid w:val="00D019EC"/>
    <w:rsid w:val="00D01E0A"/>
    <w:rsid w:val="00D024BA"/>
    <w:rsid w:val="00D024DE"/>
    <w:rsid w:val="00D028DA"/>
    <w:rsid w:val="00D02F38"/>
    <w:rsid w:val="00D0372D"/>
    <w:rsid w:val="00D03891"/>
    <w:rsid w:val="00D03896"/>
    <w:rsid w:val="00D03BAB"/>
    <w:rsid w:val="00D04079"/>
    <w:rsid w:val="00D04144"/>
    <w:rsid w:val="00D043CC"/>
    <w:rsid w:val="00D04502"/>
    <w:rsid w:val="00D05302"/>
    <w:rsid w:val="00D0537B"/>
    <w:rsid w:val="00D0570C"/>
    <w:rsid w:val="00D05811"/>
    <w:rsid w:val="00D05C50"/>
    <w:rsid w:val="00D062DE"/>
    <w:rsid w:val="00D06385"/>
    <w:rsid w:val="00D06754"/>
    <w:rsid w:val="00D06A2C"/>
    <w:rsid w:val="00D06A49"/>
    <w:rsid w:val="00D06D14"/>
    <w:rsid w:val="00D071F2"/>
    <w:rsid w:val="00D07383"/>
    <w:rsid w:val="00D07579"/>
    <w:rsid w:val="00D07760"/>
    <w:rsid w:val="00D077AE"/>
    <w:rsid w:val="00D07997"/>
    <w:rsid w:val="00D07A03"/>
    <w:rsid w:val="00D07AC3"/>
    <w:rsid w:val="00D07C1E"/>
    <w:rsid w:val="00D07C3E"/>
    <w:rsid w:val="00D10053"/>
    <w:rsid w:val="00D1028A"/>
    <w:rsid w:val="00D1060E"/>
    <w:rsid w:val="00D109C4"/>
    <w:rsid w:val="00D11789"/>
    <w:rsid w:val="00D11A68"/>
    <w:rsid w:val="00D11E83"/>
    <w:rsid w:val="00D11FFF"/>
    <w:rsid w:val="00D12045"/>
    <w:rsid w:val="00D1250B"/>
    <w:rsid w:val="00D129A7"/>
    <w:rsid w:val="00D12AA4"/>
    <w:rsid w:val="00D12ACB"/>
    <w:rsid w:val="00D133C9"/>
    <w:rsid w:val="00D1348A"/>
    <w:rsid w:val="00D13728"/>
    <w:rsid w:val="00D138D0"/>
    <w:rsid w:val="00D13BC6"/>
    <w:rsid w:val="00D13D8F"/>
    <w:rsid w:val="00D142BB"/>
    <w:rsid w:val="00D148D1"/>
    <w:rsid w:val="00D14DA7"/>
    <w:rsid w:val="00D15347"/>
    <w:rsid w:val="00D153D0"/>
    <w:rsid w:val="00D153FF"/>
    <w:rsid w:val="00D15739"/>
    <w:rsid w:val="00D1573D"/>
    <w:rsid w:val="00D1576B"/>
    <w:rsid w:val="00D157A8"/>
    <w:rsid w:val="00D16143"/>
    <w:rsid w:val="00D169F7"/>
    <w:rsid w:val="00D16A73"/>
    <w:rsid w:val="00D16FB2"/>
    <w:rsid w:val="00D17723"/>
    <w:rsid w:val="00D177FF"/>
    <w:rsid w:val="00D17A12"/>
    <w:rsid w:val="00D17B4D"/>
    <w:rsid w:val="00D20120"/>
    <w:rsid w:val="00D2012C"/>
    <w:rsid w:val="00D20491"/>
    <w:rsid w:val="00D20608"/>
    <w:rsid w:val="00D20CAE"/>
    <w:rsid w:val="00D20D9F"/>
    <w:rsid w:val="00D2158C"/>
    <w:rsid w:val="00D215BD"/>
    <w:rsid w:val="00D21D92"/>
    <w:rsid w:val="00D21F33"/>
    <w:rsid w:val="00D22F7D"/>
    <w:rsid w:val="00D23099"/>
    <w:rsid w:val="00D23285"/>
    <w:rsid w:val="00D233DE"/>
    <w:rsid w:val="00D23539"/>
    <w:rsid w:val="00D23806"/>
    <w:rsid w:val="00D2388F"/>
    <w:rsid w:val="00D24056"/>
    <w:rsid w:val="00D24235"/>
    <w:rsid w:val="00D250A4"/>
    <w:rsid w:val="00D25865"/>
    <w:rsid w:val="00D258BC"/>
    <w:rsid w:val="00D25C7E"/>
    <w:rsid w:val="00D25E00"/>
    <w:rsid w:val="00D25FC6"/>
    <w:rsid w:val="00D261EF"/>
    <w:rsid w:val="00D26251"/>
    <w:rsid w:val="00D26260"/>
    <w:rsid w:val="00D26355"/>
    <w:rsid w:val="00D26506"/>
    <w:rsid w:val="00D26524"/>
    <w:rsid w:val="00D267C5"/>
    <w:rsid w:val="00D26C45"/>
    <w:rsid w:val="00D27686"/>
    <w:rsid w:val="00D27B2B"/>
    <w:rsid w:val="00D27C2F"/>
    <w:rsid w:val="00D27EF1"/>
    <w:rsid w:val="00D3057C"/>
    <w:rsid w:val="00D30791"/>
    <w:rsid w:val="00D30796"/>
    <w:rsid w:val="00D30A39"/>
    <w:rsid w:val="00D30CFC"/>
    <w:rsid w:val="00D30F92"/>
    <w:rsid w:val="00D31127"/>
    <w:rsid w:val="00D3139F"/>
    <w:rsid w:val="00D31565"/>
    <w:rsid w:val="00D3183B"/>
    <w:rsid w:val="00D318E8"/>
    <w:rsid w:val="00D31E69"/>
    <w:rsid w:val="00D31F28"/>
    <w:rsid w:val="00D320E1"/>
    <w:rsid w:val="00D3211F"/>
    <w:rsid w:val="00D32223"/>
    <w:rsid w:val="00D3238D"/>
    <w:rsid w:val="00D323CA"/>
    <w:rsid w:val="00D327FE"/>
    <w:rsid w:val="00D32D5A"/>
    <w:rsid w:val="00D32EB9"/>
    <w:rsid w:val="00D32F6D"/>
    <w:rsid w:val="00D33079"/>
    <w:rsid w:val="00D333F0"/>
    <w:rsid w:val="00D33610"/>
    <w:rsid w:val="00D33928"/>
    <w:rsid w:val="00D33C00"/>
    <w:rsid w:val="00D33C2C"/>
    <w:rsid w:val="00D33CC0"/>
    <w:rsid w:val="00D33E38"/>
    <w:rsid w:val="00D34295"/>
    <w:rsid w:val="00D34501"/>
    <w:rsid w:val="00D34680"/>
    <w:rsid w:val="00D346CF"/>
    <w:rsid w:val="00D34C3E"/>
    <w:rsid w:val="00D34CE0"/>
    <w:rsid w:val="00D351F4"/>
    <w:rsid w:val="00D3542C"/>
    <w:rsid w:val="00D35566"/>
    <w:rsid w:val="00D35DE2"/>
    <w:rsid w:val="00D36075"/>
    <w:rsid w:val="00D36190"/>
    <w:rsid w:val="00D36294"/>
    <w:rsid w:val="00D36320"/>
    <w:rsid w:val="00D36A3D"/>
    <w:rsid w:val="00D36AC4"/>
    <w:rsid w:val="00D36F78"/>
    <w:rsid w:val="00D379ED"/>
    <w:rsid w:val="00D37F9A"/>
    <w:rsid w:val="00D37FEA"/>
    <w:rsid w:val="00D4016F"/>
    <w:rsid w:val="00D401FD"/>
    <w:rsid w:val="00D403DB"/>
    <w:rsid w:val="00D40C48"/>
    <w:rsid w:val="00D40C53"/>
    <w:rsid w:val="00D40C67"/>
    <w:rsid w:val="00D40CDA"/>
    <w:rsid w:val="00D4110C"/>
    <w:rsid w:val="00D41255"/>
    <w:rsid w:val="00D4208D"/>
    <w:rsid w:val="00D42233"/>
    <w:rsid w:val="00D424BD"/>
    <w:rsid w:val="00D42992"/>
    <w:rsid w:val="00D42AA2"/>
    <w:rsid w:val="00D42CED"/>
    <w:rsid w:val="00D43136"/>
    <w:rsid w:val="00D4337C"/>
    <w:rsid w:val="00D4392D"/>
    <w:rsid w:val="00D43C3E"/>
    <w:rsid w:val="00D43CD0"/>
    <w:rsid w:val="00D43CD2"/>
    <w:rsid w:val="00D440CA"/>
    <w:rsid w:val="00D441A8"/>
    <w:rsid w:val="00D44551"/>
    <w:rsid w:val="00D4460D"/>
    <w:rsid w:val="00D44619"/>
    <w:rsid w:val="00D44C18"/>
    <w:rsid w:val="00D450D7"/>
    <w:rsid w:val="00D45309"/>
    <w:rsid w:val="00D4592B"/>
    <w:rsid w:val="00D45D5A"/>
    <w:rsid w:val="00D460C1"/>
    <w:rsid w:val="00D46672"/>
    <w:rsid w:val="00D466A3"/>
    <w:rsid w:val="00D46AA3"/>
    <w:rsid w:val="00D46E18"/>
    <w:rsid w:val="00D471B8"/>
    <w:rsid w:val="00D4740E"/>
    <w:rsid w:val="00D475F6"/>
    <w:rsid w:val="00D4766E"/>
    <w:rsid w:val="00D477EE"/>
    <w:rsid w:val="00D502AE"/>
    <w:rsid w:val="00D505C0"/>
    <w:rsid w:val="00D50631"/>
    <w:rsid w:val="00D5093E"/>
    <w:rsid w:val="00D50DA6"/>
    <w:rsid w:val="00D51230"/>
    <w:rsid w:val="00D51303"/>
    <w:rsid w:val="00D5145E"/>
    <w:rsid w:val="00D51783"/>
    <w:rsid w:val="00D51E9B"/>
    <w:rsid w:val="00D521EA"/>
    <w:rsid w:val="00D52237"/>
    <w:rsid w:val="00D52349"/>
    <w:rsid w:val="00D536F8"/>
    <w:rsid w:val="00D53836"/>
    <w:rsid w:val="00D53A72"/>
    <w:rsid w:val="00D53D5D"/>
    <w:rsid w:val="00D5401A"/>
    <w:rsid w:val="00D5478C"/>
    <w:rsid w:val="00D54A29"/>
    <w:rsid w:val="00D54CD9"/>
    <w:rsid w:val="00D54D55"/>
    <w:rsid w:val="00D5521D"/>
    <w:rsid w:val="00D553A2"/>
    <w:rsid w:val="00D554E1"/>
    <w:rsid w:val="00D5574F"/>
    <w:rsid w:val="00D55A27"/>
    <w:rsid w:val="00D563C1"/>
    <w:rsid w:val="00D56458"/>
    <w:rsid w:val="00D5660B"/>
    <w:rsid w:val="00D569FB"/>
    <w:rsid w:val="00D56BEA"/>
    <w:rsid w:val="00D56D5D"/>
    <w:rsid w:val="00D570FA"/>
    <w:rsid w:val="00D571E1"/>
    <w:rsid w:val="00D576BC"/>
    <w:rsid w:val="00D577CC"/>
    <w:rsid w:val="00D57AC5"/>
    <w:rsid w:val="00D57D2B"/>
    <w:rsid w:val="00D604C5"/>
    <w:rsid w:val="00D6067F"/>
    <w:rsid w:val="00D608E4"/>
    <w:rsid w:val="00D60FC6"/>
    <w:rsid w:val="00D613F1"/>
    <w:rsid w:val="00D61CAB"/>
    <w:rsid w:val="00D62475"/>
    <w:rsid w:val="00D6324E"/>
    <w:rsid w:val="00D639E1"/>
    <w:rsid w:val="00D63E3E"/>
    <w:rsid w:val="00D64866"/>
    <w:rsid w:val="00D64BCB"/>
    <w:rsid w:val="00D6504C"/>
    <w:rsid w:val="00D65C70"/>
    <w:rsid w:val="00D65CFE"/>
    <w:rsid w:val="00D65FFE"/>
    <w:rsid w:val="00D66328"/>
    <w:rsid w:val="00D6694F"/>
    <w:rsid w:val="00D6697A"/>
    <w:rsid w:val="00D66B0E"/>
    <w:rsid w:val="00D66CA5"/>
    <w:rsid w:val="00D66CDF"/>
    <w:rsid w:val="00D67091"/>
    <w:rsid w:val="00D670CF"/>
    <w:rsid w:val="00D6787A"/>
    <w:rsid w:val="00D67AEE"/>
    <w:rsid w:val="00D67F38"/>
    <w:rsid w:val="00D700C7"/>
    <w:rsid w:val="00D701F7"/>
    <w:rsid w:val="00D702B9"/>
    <w:rsid w:val="00D706D2"/>
    <w:rsid w:val="00D707A3"/>
    <w:rsid w:val="00D7144D"/>
    <w:rsid w:val="00D7179D"/>
    <w:rsid w:val="00D71C69"/>
    <w:rsid w:val="00D71D8C"/>
    <w:rsid w:val="00D7214D"/>
    <w:rsid w:val="00D72A15"/>
    <w:rsid w:val="00D72DBA"/>
    <w:rsid w:val="00D73104"/>
    <w:rsid w:val="00D73302"/>
    <w:rsid w:val="00D7365C"/>
    <w:rsid w:val="00D738C3"/>
    <w:rsid w:val="00D73AF2"/>
    <w:rsid w:val="00D740B4"/>
    <w:rsid w:val="00D741A8"/>
    <w:rsid w:val="00D74447"/>
    <w:rsid w:val="00D74546"/>
    <w:rsid w:val="00D74588"/>
    <w:rsid w:val="00D748B4"/>
    <w:rsid w:val="00D74A35"/>
    <w:rsid w:val="00D74F20"/>
    <w:rsid w:val="00D75652"/>
    <w:rsid w:val="00D757DA"/>
    <w:rsid w:val="00D75B12"/>
    <w:rsid w:val="00D75C1B"/>
    <w:rsid w:val="00D75EA3"/>
    <w:rsid w:val="00D75FA7"/>
    <w:rsid w:val="00D76400"/>
    <w:rsid w:val="00D76403"/>
    <w:rsid w:val="00D765AD"/>
    <w:rsid w:val="00D76625"/>
    <w:rsid w:val="00D76B11"/>
    <w:rsid w:val="00D77050"/>
    <w:rsid w:val="00D77057"/>
    <w:rsid w:val="00D77074"/>
    <w:rsid w:val="00D77493"/>
    <w:rsid w:val="00D775D5"/>
    <w:rsid w:val="00D77A0E"/>
    <w:rsid w:val="00D77FB1"/>
    <w:rsid w:val="00D80044"/>
    <w:rsid w:val="00D8027C"/>
    <w:rsid w:val="00D80345"/>
    <w:rsid w:val="00D80389"/>
    <w:rsid w:val="00D804BF"/>
    <w:rsid w:val="00D8050F"/>
    <w:rsid w:val="00D80FDA"/>
    <w:rsid w:val="00D811E7"/>
    <w:rsid w:val="00D8137C"/>
    <w:rsid w:val="00D816F3"/>
    <w:rsid w:val="00D81A29"/>
    <w:rsid w:val="00D81BE7"/>
    <w:rsid w:val="00D81CFC"/>
    <w:rsid w:val="00D81E3D"/>
    <w:rsid w:val="00D81FA9"/>
    <w:rsid w:val="00D82310"/>
    <w:rsid w:val="00D82599"/>
    <w:rsid w:val="00D82AD5"/>
    <w:rsid w:val="00D82BB4"/>
    <w:rsid w:val="00D82D35"/>
    <w:rsid w:val="00D830DE"/>
    <w:rsid w:val="00D83133"/>
    <w:rsid w:val="00D83833"/>
    <w:rsid w:val="00D83888"/>
    <w:rsid w:val="00D83BC2"/>
    <w:rsid w:val="00D83FEA"/>
    <w:rsid w:val="00D840CC"/>
    <w:rsid w:val="00D84412"/>
    <w:rsid w:val="00D8458C"/>
    <w:rsid w:val="00D84CB4"/>
    <w:rsid w:val="00D84EC8"/>
    <w:rsid w:val="00D8501E"/>
    <w:rsid w:val="00D852A5"/>
    <w:rsid w:val="00D852C5"/>
    <w:rsid w:val="00D853D9"/>
    <w:rsid w:val="00D85475"/>
    <w:rsid w:val="00D85634"/>
    <w:rsid w:val="00D85A68"/>
    <w:rsid w:val="00D85BBF"/>
    <w:rsid w:val="00D85CA4"/>
    <w:rsid w:val="00D86C43"/>
    <w:rsid w:val="00D86D0D"/>
    <w:rsid w:val="00D8776D"/>
    <w:rsid w:val="00D87782"/>
    <w:rsid w:val="00D878A6"/>
    <w:rsid w:val="00D87B8D"/>
    <w:rsid w:val="00D87DC9"/>
    <w:rsid w:val="00D87E52"/>
    <w:rsid w:val="00D9011B"/>
    <w:rsid w:val="00D9053D"/>
    <w:rsid w:val="00D90572"/>
    <w:rsid w:val="00D906DC"/>
    <w:rsid w:val="00D91613"/>
    <w:rsid w:val="00D919BB"/>
    <w:rsid w:val="00D91C75"/>
    <w:rsid w:val="00D91CE2"/>
    <w:rsid w:val="00D920B8"/>
    <w:rsid w:val="00D923A4"/>
    <w:rsid w:val="00D924AC"/>
    <w:rsid w:val="00D92706"/>
    <w:rsid w:val="00D928D9"/>
    <w:rsid w:val="00D92A85"/>
    <w:rsid w:val="00D92D5D"/>
    <w:rsid w:val="00D930F5"/>
    <w:rsid w:val="00D936C8"/>
    <w:rsid w:val="00D937EA"/>
    <w:rsid w:val="00D93A87"/>
    <w:rsid w:val="00D93D6B"/>
    <w:rsid w:val="00D93D87"/>
    <w:rsid w:val="00D93DA0"/>
    <w:rsid w:val="00D93E71"/>
    <w:rsid w:val="00D941D0"/>
    <w:rsid w:val="00D94962"/>
    <w:rsid w:val="00D94A51"/>
    <w:rsid w:val="00D94C66"/>
    <w:rsid w:val="00D94E28"/>
    <w:rsid w:val="00D95175"/>
    <w:rsid w:val="00D953AE"/>
    <w:rsid w:val="00D954D1"/>
    <w:rsid w:val="00D95D1A"/>
    <w:rsid w:val="00D96D9E"/>
    <w:rsid w:val="00D96F60"/>
    <w:rsid w:val="00D9726E"/>
    <w:rsid w:val="00D97287"/>
    <w:rsid w:val="00D972B5"/>
    <w:rsid w:val="00D97433"/>
    <w:rsid w:val="00D976DD"/>
    <w:rsid w:val="00D97731"/>
    <w:rsid w:val="00DA01E4"/>
    <w:rsid w:val="00DA042E"/>
    <w:rsid w:val="00DA140E"/>
    <w:rsid w:val="00DA1550"/>
    <w:rsid w:val="00DA1AC9"/>
    <w:rsid w:val="00DA209C"/>
    <w:rsid w:val="00DA26C8"/>
    <w:rsid w:val="00DA2876"/>
    <w:rsid w:val="00DA2BE0"/>
    <w:rsid w:val="00DA3265"/>
    <w:rsid w:val="00DA36F5"/>
    <w:rsid w:val="00DA3E51"/>
    <w:rsid w:val="00DA3EAC"/>
    <w:rsid w:val="00DA404C"/>
    <w:rsid w:val="00DA49DD"/>
    <w:rsid w:val="00DA4C87"/>
    <w:rsid w:val="00DA4EDC"/>
    <w:rsid w:val="00DA4F9A"/>
    <w:rsid w:val="00DA4FC8"/>
    <w:rsid w:val="00DA5055"/>
    <w:rsid w:val="00DA539C"/>
    <w:rsid w:val="00DA5916"/>
    <w:rsid w:val="00DA5B42"/>
    <w:rsid w:val="00DA5F8B"/>
    <w:rsid w:val="00DA6380"/>
    <w:rsid w:val="00DA65F5"/>
    <w:rsid w:val="00DA6687"/>
    <w:rsid w:val="00DA6D40"/>
    <w:rsid w:val="00DA6FD6"/>
    <w:rsid w:val="00DA7031"/>
    <w:rsid w:val="00DA70E4"/>
    <w:rsid w:val="00DA7447"/>
    <w:rsid w:val="00DA74DC"/>
    <w:rsid w:val="00DA7E5B"/>
    <w:rsid w:val="00DB0464"/>
    <w:rsid w:val="00DB05AE"/>
    <w:rsid w:val="00DB07AF"/>
    <w:rsid w:val="00DB0A0C"/>
    <w:rsid w:val="00DB1265"/>
    <w:rsid w:val="00DB190A"/>
    <w:rsid w:val="00DB195D"/>
    <w:rsid w:val="00DB196A"/>
    <w:rsid w:val="00DB19AC"/>
    <w:rsid w:val="00DB2300"/>
    <w:rsid w:val="00DB2378"/>
    <w:rsid w:val="00DB25B7"/>
    <w:rsid w:val="00DB277B"/>
    <w:rsid w:val="00DB28DA"/>
    <w:rsid w:val="00DB2C2F"/>
    <w:rsid w:val="00DB2FA0"/>
    <w:rsid w:val="00DB331F"/>
    <w:rsid w:val="00DB345E"/>
    <w:rsid w:val="00DB42ED"/>
    <w:rsid w:val="00DB47F0"/>
    <w:rsid w:val="00DB4806"/>
    <w:rsid w:val="00DB4DFF"/>
    <w:rsid w:val="00DB5251"/>
    <w:rsid w:val="00DB5540"/>
    <w:rsid w:val="00DB5E9E"/>
    <w:rsid w:val="00DB6039"/>
    <w:rsid w:val="00DB60FE"/>
    <w:rsid w:val="00DB61FB"/>
    <w:rsid w:val="00DB63A5"/>
    <w:rsid w:val="00DB644C"/>
    <w:rsid w:val="00DB7638"/>
    <w:rsid w:val="00DC01E5"/>
    <w:rsid w:val="00DC0297"/>
    <w:rsid w:val="00DC0662"/>
    <w:rsid w:val="00DC06EB"/>
    <w:rsid w:val="00DC091C"/>
    <w:rsid w:val="00DC0D4E"/>
    <w:rsid w:val="00DC0EB1"/>
    <w:rsid w:val="00DC0F98"/>
    <w:rsid w:val="00DC159E"/>
    <w:rsid w:val="00DC16A1"/>
    <w:rsid w:val="00DC1731"/>
    <w:rsid w:val="00DC190A"/>
    <w:rsid w:val="00DC1AEE"/>
    <w:rsid w:val="00DC1ECE"/>
    <w:rsid w:val="00DC1F6C"/>
    <w:rsid w:val="00DC22B6"/>
    <w:rsid w:val="00DC2483"/>
    <w:rsid w:val="00DC27F7"/>
    <w:rsid w:val="00DC2900"/>
    <w:rsid w:val="00DC2B12"/>
    <w:rsid w:val="00DC2C2C"/>
    <w:rsid w:val="00DC2EC5"/>
    <w:rsid w:val="00DC2F32"/>
    <w:rsid w:val="00DC33FE"/>
    <w:rsid w:val="00DC36EF"/>
    <w:rsid w:val="00DC3ACB"/>
    <w:rsid w:val="00DC441A"/>
    <w:rsid w:val="00DC49EA"/>
    <w:rsid w:val="00DC4EE5"/>
    <w:rsid w:val="00DC519D"/>
    <w:rsid w:val="00DC5907"/>
    <w:rsid w:val="00DC5FA8"/>
    <w:rsid w:val="00DC6A4A"/>
    <w:rsid w:val="00DC6EE4"/>
    <w:rsid w:val="00DC7082"/>
    <w:rsid w:val="00DC79AF"/>
    <w:rsid w:val="00DC7BE0"/>
    <w:rsid w:val="00DD0294"/>
    <w:rsid w:val="00DD05C4"/>
    <w:rsid w:val="00DD0EBA"/>
    <w:rsid w:val="00DD1042"/>
    <w:rsid w:val="00DD1284"/>
    <w:rsid w:val="00DD12A9"/>
    <w:rsid w:val="00DD1418"/>
    <w:rsid w:val="00DD14EA"/>
    <w:rsid w:val="00DD18EB"/>
    <w:rsid w:val="00DD1A73"/>
    <w:rsid w:val="00DD20E8"/>
    <w:rsid w:val="00DD293D"/>
    <w:rsid w:val="00DD30BB"/>
    <w:rsid w:val="00DD30BF"/>
    <w:rsid w:val="00DD30D2"/>
    <w:rsid w:val="00DD3571"/>
    <w:rsid w:val="00DD3CB4"/>
    <w:rsid w:val="00DD3D04"/>
    <w:rsid w:val="00DD3DD2"/>
    <w:rsid w:val="00DD40CD"/>
    <w:rsid w:val="00DD4528"/>
    <w:rsid w:val="00DD4557"/>
    <w:rsid w:val="00DD46B3"/>
    <w:rsid w:val="00DD4844"/>
    <w:rsid w:val="00DD4893"/>
    <w:rsid w:val="00DD4C80"/>
    <w:rsid w:val="00DD50E6"/>
    <w:rsid w:val="00DD54DF"/>
    <w:rsid w:val="00DD5967"/>
    <w:rsid w:val="00DD65CC"/>
    <w:rsid w:val="00DD6A30"/>
    <w:rsid w:val="00DD7103"/>
    <w:rsid w:val="00DD74BA"/>
    <w:rsid w:val="00DD7501"/>
    <w:rsid w:val="00DD78BE"/>
    <w:rsid w:val="00DE0266"/>
    <w:rsid w:val="00DE059B"/>
    <w:rsid w:val="00DE065E"/>
    <w:rsid w:val="00DE0A2B"/>
    <w:rsid w:val="00DE0B6F"/>
    <w:rsid w:val="00DE0C2A"/>
    <w:rsid w:val="00DE0DA7"/>
    <w:rsid w:val="00DE0F4E"/>
    <w:rsid w:val="00DE1076"/>
    <w:rsid w:val="00DE11E7"/>
    <w:rsid w:val="00DE1509"/>
    <w:rsid w:val="00DE194A"/>
    <w:rsid w:val="00DE1F44"/>
    <w:rsid w:val="00DE23A1"/>
    <w:rsid w:val="00DE253F"/>
    <w:rsid w:val="00DE29E3"/>
    <w:rsid w:val="00DE2A41"/>
    <w:rsid w:val="00DE2A55"/>
    <w:rsid w:val="00DE2B93"/>
    <w:rsid w:val="00DE2EA4"/>
    <w:rsid w:val="00DE2EFD"/>
    <w:rsid w:val="00DE327C"/>
    <w:rsid w:val="00DE3726"/>
    <w:rsid w:val="00DE3FE9"/>
    <w:rsid w:val="00DE4254"/>
    <w:rsid w:val="00DE4619"/>
    <w:rsid w:val="00DE46D8"/>
    <w:rsid w:val="00DE4F4F"/>
    <w:rsid w:val="00DE5066"/>
    <w:rsid w:val="00DE5237"/>
    <w:rsid w:val="00DE523C"/>
    <w:rsid w:val="00DE52AB"/>
    <w:rsid w:val="00DE5F9A"/>
    <w:rsid w:val="00DE685C"/>
    <w:rsid w:val="00DE7051"/>
    <w:rsid w:val="00DE73D8"/>
    <w:rsid w:val="00DE76D8"/>
    <w:rsid w:val="00DE771F"/>
    <w:rsid w:val="00DE7823"/>
    <w:rsid w:val="00DE7830"/>
    <w:rsid w:val="00DE785F"/>
    <w:rsid w:val="00DE7C18"/>
    <w:rsid w:val="00DE7E71"/>
    <w:rsid w:val="00DE7F7A"/>
    <w:rsid w:val="00DF00DA"/>
    <w:rsid w:val="00DF0356"/>
    <w:rsid w:val="00DF05FD"/>
    <w:rsid w:val="00DF08B3"/>
    <w:rsid w:val="00DF0946"/>
    <w:rsid w:val="00DF0F1C"/>
    <w:rsid w:val="00DF10F8"/>
    <w:rsid w:val="00DF14C1"/>
    <w:rsid w:val="00DF1518"/>
    <w:rsid w:val="00DF1D40"/>
    <w:rsid w:val="00DF1ED9"/>
    <w:rsid w:val="00DF1FAE"/>
    <w:rsid w:val="00DF1FCC"/>
    <w:rsid w:val="00DF23F7"/>
    <w:rsid w:val="00DF25AA"/>
    <w:rsid w:val="00DF25E7"/>
    <w:rsid w:val="00DF25EE"/>
    <w:rsid w:val="00DF2A86"/>
    <w:rsid w:val="00DF2B48"/>
    <w:rsid w:val="00DF2E57"/>
    <w:rsid w:val="00DF2EB2"/>
    <w:rsid w:val="00DF2F3B"/>
    <w:rsid w:val="00DF3612"/>
    <w:rsid w:val="00DF388C"/>
    <w:rsid w:val="00DF3CCC"/>
    <w:rsid w:val="00DF453A"/>
    <w:rsid w:val="00DF4921"/>
    <w:rsid w:val="00DF5389"/>
    <w:rsid w:val="00DF5A84"/>
    <w:rsid w:val="00DF5BC0"/>
    <w:rsid w:val="00DF602D"/>
    <w:rsid w:val="00DF60F7"/>
    <w:rsid w:val="00DF6608"/>
    <w:rsid w:val="00DF6BA9"/>
    <w:rsid w:val="00DF6C28"/>
    <w:rsid w:val="00DF7C08"/>
    <w:rsid w:val="00E000C1"/>
    <w:rsid w:val="00E00138"/>
    <w:rsid w:val="00E00154"/>
    <w:rsid w:val="00E00423"/>
    <w:rsid w:val="00E008E0"/>
    <w:rsid w:val="00E009F9"/>
    <w:rsid w:val="00E00D34"/>
    <w:rsid w:val="00E00DBF"/>
    <w:rsid w:val="00E00E5D"/>
    <w:rsid w:val="00E00E96"/>
    <w:rsid w:val="00E0118B"/>
    <w:rsid w:val="00E01387"/>
    <w:rsid w:val="00E0143F"/>
    <w:rsid w:val="00E0152D"/>
    <w:rsid w:val="00E02239"/>
    <w:rsid w:val="00E024F9"/>
    <w:rsid w:val="00E02548"/>
    <w:rsid w:val="00E02629"/>
    <w:rsid w:val="00E02ADE"/>
    <w:rsid w:val="00E02B8D"/>
    <w:rsid w:val="00E031B1"/>
    <w:rsid w:val="00E03491"/>
    <w:rsid w:val="00E036A7"/>
    <w:rsid w:val="00E036D4"/>
    <w:rsid w:val="00E03E06"/>
    <w:rsid w:val="00E03E83"/>
    <w:rsid w:val="00E03EAA"/>
    <w:rsid w:val="00E04346"/>
    <w:rsid w:val="00E04AD0"/>
    <w:rsid w:val="00E04D7E"/>
    <w:rsid w:val="00E05155"/>
    <w:rsid w:val="00E053A0"/>
    <w:rsid w:val="00E05597"/>
    <w:rsid w:val="00E0591E"/>
    <w:rsid w:val="00E05CA9"/>
    <w:rsid w:val="00E05DAF"/>
    <w:rsid w:val="00E06854"/>
    <w:rsid w:val="00E06E16"/>
    <w:rsid w:val="00E0708D"/>
    <w:rsid w:val="00E07BAA"/>
    <w:rsid w:val="00E07C8D"/>
    <w:rsid w:val="00E07DA5"/>
    <w:rsid w:val="00E103B5"/>
    <w:rsid w:val="00E1124B"/>
    <w:rsid w:val="00E113B3"/>
    <w:rsid w:val="00E12987"/>
    <w:rsid w:val="00E12C78"/>
    <w:rsid w:val="00E12C9F"/>
    <w:rsid w:val="00E12FCD"/>
    <w:rsid w:val="00E130F8"/>
    <w:rsid w:val="00E13557"/>
    <w:rsid w:val="00E139D9"/>
    <w:rsid w:val="00E13A92"/>
    <w:rsid w:val="00E1482D"/>
    <w:rsid w:val="00E14AF8"/>
    <w:rsid w:val="00E14CBE"/>
    <w:rsid w:val="00E14E86"/>
    <w:rsid w:val="00E151CB"/>
    <w:rsid w:val="00E15207"/>
    <w:rsid w:val="00E152DB"/>
    <w:rsid w:val="00E15599"/>
    <w:rsid w:val="00E15C85"/>
    <w:rsid w:val="00E16100"/>
    <w:rsid w:val="00E162D4"/>
    <w:rsid w:val="00E163C4"/>
    <w:rsid w:val="00E16474"/>
    <w:rsid w:val="00E1661F"/>
    <w:rsid w:val="00E169C9"/>
    <w:rsid w:val="00E16B46"/>
    <w:rsid w:val="00E16B91"/>
    <w:rsid w:val="00E16EE6"/>
    <w:rsid w:val="00E17007"/>
    <w:rsid w:val="00E17128"/>
    <w:rsid w:val="00E17291"/>
    <w:rsid w:val="00E175F6"/>
    <w:rsid w:val="00E17956"/>
    <w:rsid w:val="00E17AD2"/>
    <w:rsid w:val="00E17E0E"/>
    <w:rsid w:val="00E20479"/>
    <w:rsid w:val="00E2048F"/>
    <w:rsid w:val="00E20818"/>
    <w:rsid w:val="00E208A1"/>
    <w:rsid w:val="00E21347"/>
    <w:rsid w:val="00E213F2"/>
    <w:rsid w:val="00E215AE"/>
    <w:rsid w:val="00E2162A"/>
    <w:rsid w:val="00E219EA"/>
    <w:rsid w:val="00E21B4F"/>
    <w:rsid w:val="00E21BF1"/>
    <w:rsid w:val="00E226A1"/>
    <w:rsid w:val="00E22995"/>
    <w:rsid w:val="00E23452"/>
    <w:rsid w:val="00E2367D"/>
    <w:rsid w:val="00E24100"/>
    <w:rsid w:val="00E24507"/>
    <w:rsid w:val="00E245E4"/>
    <w:rsid w:val="00E24DA8"/>
    <w:rsid w:val="00E2550A"/>
    <w:rsid w:val="00E2570F"/>
    <w:rsid w:val="00E257E1"/>
    <w:rsid w:val="00E25F46"/>
    <w:rsid w:val="00E260A1"/>
    <w:rsid w:val="00E2621F"/>
    <w:rsid w:val="00E26437"/>
    <w:rsid w:val="00E264DD"/>
    <w:rsid w:val="00E26565"/>
    <w:rsid w:val="00E26627"/>
    <w:rsid w:val="00E2675B"/>
    <w:rsid w:val="00E26BFD"/>
    <w:rsid w:val="00E26D82"/>
    <w:rsid w:val="00E2798F"/>
    <w:rsid w:val="00E27DF8"/>
    <w:rsid w:val="00E3040B"/>
    <w:rsid w:val="00E305E5"/>
    <w:rsid w:val="00E30722"/>
    <w:rsid w:val="00E308BA"/>
    <w:rsid w:val="00E30BE1"/>
    <w:rsid w:val="00E31AA6"/>
    <w:rsid w:val="00E32CD0"/>
    <w:rsid w:val="00E32E9E"/>
    <w:rsid w:val="00E332AA"/>
    <w:rsid w:val="00E3332D"/>
    <w:rsid w:val="00E33554"/>
    <w:rsid w:val="00E33861"/>
    <w:rsid w:val="00E33DF3"/>
    <w:rsid w:val="00E33E08"/>
    <w:rsid w:val="00E33E7E"/>
    <w:rsid w:val="00E34255"/>
    <w:rsid w:val="00E344CD"/>
    <w:rsid w:val="00E3481A"/>
    <w:rsid w:val="00E34A1D"/>
    <w:rsid w:val="00E34AEB"/>
    <w:rsid w:val="00E350EF"/>
    <w:rsid w:val="00E35118"/>
    <w:rsid w:val="00E371FF"/>
    <w:rsid w:val="00E3739D"/>
    <w:rsid w:val="00E37414"/>
    <w:rsid w:val="00E37BA6"/>
    <w:rsid w:val="00E37F3C"/>
    <w:rsid w:val="00E40055"/>
    <w:rsid w:val="00E40753"/>
    <w:rsid w:val="00E40E78"/>
    <w:rsid w:val="00E41BD0"/>
    <w:rsid w:val="00E41F83"/>
    <w:rsid w:val="00E420EE"/>
    <w:rsid w:val="00E424A6"/>
    <w:rsid w:val="00E42907"/>
    <w:rsid w:val="00E4304F"/>
    <w:rsid w:val="00E430BB"/>
    <w:rsid w:val="00E43CB0"/>
    <w:rsid w:val="00E43D0E"/>
    <w:rsid w:val="00E44482"/>
    <w:rsid w:val="00E45297"/>
    <w:rsid w:val="00E45302"/>
    <w:rsid w:val="00E457E6"/>
    <w:rsid w:val="00E45BED"/>
    <w:rsid w:val="00E4603C"/>
    <w:rsid w:val="00E4616B"/>
    <w:rsid w:val="00E4622E"/>
    <w:rsid w:val="00E46298"/>
    <w:rsid w:val="00E46606"/>
    <w:rsid w:val="00E466CD"/>
    <w:rsid w:val="00E46AAD"/>
    <w:rsid w:val="00E46E62"/>
    <w:rsid w:val="00E4737E"/>
    <w:rsid w:val="00E47441"/>
    <w:rsid w:val="00E479E4"/>
    <w:rsid w:val="00E47B9E"/>
    <w:rsid w:val="00E47F4F"/>
    <w:rsid w:val="00E502B0"/>
    <w:rsid w:val="00E5033F"/>
    <w:rsid w:val="00E503E2"/>
    <w:rsid w:val="00E504F4"/>
    <w:rsid w:val="00E50787"/>
    <w:rsid w:val="00E5078A"/>
    <w:rsid w:val="00E507A6"/>
    <w:rsid w:val="00E50912"/>
    <w:rsid w:val="00E50983"/>
    <w:rsid w:val="00E50DDC"/>
    <w:rsid w:val="00E511B3"/>
    <w:rsid w:val="00E51208"/>
    <w:rsid w:val="00E5148C"/>
    <w:rsid w:val="00E514C4"/>
    <w:rsid w:val="00E51C58"/>
    <w:rsid w:val="00E522F0"/>
    <w:rsid w:val="00E52D36"/>
    <w:rsid w:val="00E532F0"/>
    <w:rsid w:val="00E53613"/>
    <w:rsid w:val="00E53C22"/>
    <w:rsid w:val="00E53F29"/>
    <w:rsid w:val="00E5404D"/>
    <w:rsid w:val="00E54636"/>
    <w:rsid w:val="00E54647"/>
    <w:rsid w:val="00E5477A"/>
    <w:rsid w:val="00E54C2D"/>
    <w:rsid w:val="00E54D00"/>
    <w:rsid w:val="00E54D5A"/>
    <w:rsid w:val="00E556CC"/>
    <w:rsid w:val="00E5599B"/>
    <w:rsid w:val="00E55CFA"/>
    <w:rsid w:val="00E55DB4"/>
    <w:rsid w:val="00E55F98"/>
    <w:rsid w:val="00E5605E"/>
    <w:rsid w:val="00E560E9"/>
    <w:rsid w:val="00E56899"/>
    <w:rsid w:val="00E5720E"/>
    <w:rsid w:val="00E5741B"/>
    <w:rsid w:val="00E5772D"/>
    <w:rsid w:val="00E57961"/>
    <w:rsid w:val="00E57CF6"/>
    <w:rsid w:val="00E57E8A"/>
    <w:rsid w:val="00E602DC"/>
    <w:rsid w:val="00E60368"/>
    <w:rsid w:val="00E60547"/>
    <w:rsid w:val="00E60576"/>
    <w:rsid w:val="00E6091F"/>
    <w:rsid w:val="00E60994"/>
    <w:rsid w:val="00E609E7"/>
    <w:rsid w:val="00E60B92"/>
    <w:rsid w:val="00E60BEA"/>
    <w:rsid w:val="00E6104B"/>
    <w:rsid w:val="00E61235"/>
    <w:rsid w:val="00E61567"/>
    <w:rsid w:val="00E618B4"/>
    <w:rsid w:val="00E61994"/>
    <w:rsid w:val="00E61AC1"/>
    <w:rsid w:val="00E61AD7"/>
    <w:rsid w:val="00E62300"/>
    <w:rsid w:val="00E62484"/>
    <w:rsid w:val="00E626F7"/>
    <w:rsid w:val="00E627FD"/>
    <w:rsid w:val="00E6280F"/>
    <w:rsid w:val="00E62B13"/>
    <w:rsid w:val="00E62C6C"/>
    <w:rsid w:val="00E62EEA"/>
    <w:rsid w:val="00E631BD"/>
    <w:rsid w:val="00E634F0"/>
    <w:rsid w:val="00E635E4"/>
    <w:rsid w:val="00E637BE"/>
    <w:rsid w:val="00E63867"/>
    <w:rsid w:val="00E63AEB"/>
    <w:rsid w:val="00E63B47"/>
    <w:rsid w:val="00E63C2D"/>
    <w:rsid w:val="00E64144"/>
    <w:rsid w:val="00E645EE"/>
    <w:rsid w:val="00E647FD"/>
    <w:rsid w:val="00E64E22"/>
    <w:rsid w:val="00E6544D"/>
    <w:rsid w:val="00E655D1"/>
    <w:rsid w:val="00E65979"/>
    <w:rsid w:val="00E65D60"/>
    <w:rsid w:val="00E65D6B"/>
    <w:rsid w:val="00E65F70"/>
    <w:rsid w:val="00E662FF"/>
    <w:rsid w:val="00E66422"/>
    <w:rsid w:val="00E66541"/>
    <w:rsid w:val="00E665DB"/>
    <w:rsid w:val="00E66702"/>
    <w:rsid w:val="00E66A71"/>
    <w:rsid w:val="00E66B46"/>
    <w:rsid w:val="00E6736C"/>
    <w:rsid w:val="00E673D1"/>
    <w:rsid w:val="00E6747A"/>
    <w:rsid w:val="00E6757A"/>
    <w:rsid w:val="00E67A02"/>
    <w:rsid w:val="00E67D8E"/>
    <w:rsid w:val="00E7075A"/>
    <w:rsid w:val="00E707EE"/>
    <w:rsid w:val="00E70F22"/>
    <w:rsid w:val="00E71D88"/>
    <w:rsid w:val="00E727E1"/>
    <w:rsid w:val="00E72807"/>
    <w:rsid w:val="00E72CD2"/>
    <w:rsid w:val="00E72D7F"/>
    <w:rsid w:val="00E73001"/>
    <w:rsid w:val="00E730F6"/>
    <w:rsid w:val="00E7348D"/>
    <w:rsid w:val="00E735FA"/>
    <w:rsid w:val="00E736DD"/>
    <w:rsid w:val="00E7376C"/>
    <w:rsid w:val="00E73F66"/>
    <w:rsid w:val="00E740FE"/>
    <w:rsid w:val="00E7462F"/>
    <w:rsid w:val="00E74825"/>
    <w:rsid w:val="00E74F41"/>
    <w:rsid w:val="00E753C8"/>
    <w:rsid w:val="00E75750"/>
    <w:rsid w:val="00E75DE9"/>
    <w:rsid w:val="00E76919"/>
    <w:rsid w:val="00E76D39"/>
    <w:rsid w:val="00E772E0"/>
    <w:rsid w:val="00E776AC"/>
    <w:rsid w:val="00E77700"/>
    <w:rsid w:val="00E77986"/>
    <w:rsid w:val="00E77D44"/>
    <w:rsid w:val="00E77D64"/>
    <w:rsid w:val="00E80477"/>
    <w:rsid w:val="00E81219"/>
    <w:rsid w:val="00E81C16"/>
    <w:rsid w:val="00E81D46"/>
    <w:rsid w:val="00E81DAE"/>
    <w:rsid w:val="00E820C1"/>
    <w:rsid w:val="00E822B3"/>
    <w:rsid w:val="00E8249D"/>
    <w:rsid w:val="00E825E6"/>
    <w:rsid w:val="00E8288C"/>
    <w:rsid w:val="00E829F1"/>
    <w:rsid w:val="00E82DF3"/>
    <w:rsid w:val="00E83000"/>
    <w:rsid w:val="00E83465"/>
    <w:rsid w:val="00E8392C"/>
    <w:rsid w:val="00E83A8C"/>
    <w:rsid w:val="00E83D07"/>
    <w:rsid w:val="00E83E78"/>
    <w:rsid w:val="00E83EE6"/>
    <w:rsid w:val="00E840BE"/>
    <w:rsid w:val="00E84138"/>
    <w:rsid w:val="00E842B5"/>
    <w:rsid w:val="00E8449E"/>
    <w:rsid w:val="00E8480E"/>
    <w:rsid w:val="00E84AC5"/>
    <w:rsid w:val="00E84C89"/>
    <w:rsid w:val="00E84CCA"/>
    <w:rsid w:val="00E84DBF"/>
    <w:rsid w:val="00E84FD1"/>
    <w:rsid w:val="00E851F5"/>
    <w:rsid w:val="00E8540C"/>
    <w:rsid w:val="00E8613D"/>
    <w:rsid w:val="00E86688"/>
    <w:rsid w:val="00E867DD"/>
    <w:rsid w:val="00E869A8"/>
    <w:rsid w:val="00E86F86"/>
    <w:rsid w:val="00E870BA"/>
    <w:rsid w:val="00E872FA"/>
    <w:rsid w:val="00E873B8"/>
    <w:rsid w:val="00E9016D"/>
    <w:rsid w:val="00E901F1"/>
    <w:rsid w:val="00E906FF"/>
    <w:rsid w:val="00E90B39"/>
    <w:rsid w:val="00E90CE1"/>
    <w:rsid w:val="00E91132"/>
    <w:rsid w:val="00E91490"/>
    <w:rsid w:val="00E91740"/>
    <w:rsid w:val="00E917EC"/>
    <w:rsid w:val="00E918B4"/>
    <w:rsid w:val="00E91A2E"/>
    <w:rsid w:val="00E9262B"/>
    <w:rsid w:val="00E927C9"/>
    <w:rsid w:val="00E927CB"/>
    <w:rsid w:val="00E92C06"/>
    <w:rsid w:val="00E93369"/>
    <w:rsid w:val="00E93438"/>
    <w:rsid w:val="00E93A76"/>
    <w:rsid w:val="00E93B39"/>
    <w:rsid w:val="00E93F0D"/>
    <w:rsid w:val="00E94296"/>
    <w:rsid w:val="00E944DA"/>
    <w:rsid w:val="00E94673"/>
    <w:rsid w:val="00E9483F"/>
    <w:rsid w:val="00E949C1"/>
    <w:rsid w:val="00E94F66"/>
    <w:rsid w:val="00E95205"/>
    <w:rsid w:val="00E953A8"/>
    <w:rsid w:val="00E95533"/>
    <w:rsid w:val="00E95584"/>
    <w:rsid w:val="00E95AEF"/>
    <w:rsid w:val="00E962FB"/>
    <w:rsid w:val="00E9633C"/>
    <w:rsid w:val="00E96692"/>
    <w:rsid w:val="00E9670B"/>
    <w:rsid w:val="00E96C83"/>
    <w:rsid w:val="00E96E97"/>
    <w:rsid w:val="00E9706B"/>
    <w:rsid w:val="00E97482"/>
    <w:rsid w:val="00E97EF9"/>
    <w:rsid w:val="00E97FA3"/>
    <w:rsid w:val="00EA01C7"/>
    <w:rsid w:val="00EA0381"/>
    <w:rsid w:val="00EA05CB"/>
    <w:rsid w:val="00EA0ACE"/>
    <w:rsid w:val="00EA126D"/>
    <w:rsid w:val="00EA19FA"/>
    <w:rsid w:val="00EA1C7A"/>
    <w:rsid w:val="00EA1DC4"/>
    <w:rsid w:val="00EA2E32"/>
    <w:rsid w:val="00EA3031"/>
    <w:rsid w:val="00EA3F27"/>
    <w:rsid w:val="00EA40C3"/>
    <w:rsid w:val="00EA4170"/>
    <w:rsid w:val="00EA427A"/>
    <w:rsid w:val="00EA4291"/>
    <w:rsid w:val="00EA42AB"/>
    <w:rsid w:val="00EA4331"/>
    <w:rsid w:val="00EA451D"/>
    <w:rsid w:val="00EA4534"/>
    <w:rsid w:val="00EA47F6"/>
    <w:rsid w:val="00EA48A9"/>
    <w:rsid w:val="00EA49A2"/>
    <w:rsid w:val="00EA4C9A"/>
    <w:rsid w:val="00EA4DC2"/>
    <w:rsid w:val="00EA4FDA"/>
    <w:rsid w:val="00EA50B5"/>
    <w:rsid w:val="00EA537F"/>
    <w:rsid w:val="00EA5984"/>
    <w:rsid w:val="00EA60BB"/>
    <w:rsid w:val="00EA6217"/>
    <w:rsid w:val="00EA62AF"/>
    <w:rsid w:val="00EA66A8"/>
    <w:rsid w:val="00EA67ED"/>
    <w:rsid w:val="00EA6AC3"/>
    <w:rsid w:val="00EA74A0"/>
    <w:rsid w:val="00EA7995"/>
    <w:rsid w:val="00EA7C76"/>
    <w:rsid w:val="00EA7DB9"/>
    <w:rsid w:val="00EA7F6A"/>
    <w:rsid w:val="00EB0620"/>
    <w:rsid w:val="00EB06DC"/>
    <w:rsid w:val="00EB09F3"/>
    <w:rsid w:val="00EB0D64"/>
    <w:rsid w:val="00EB15CE"/>
    <w:rsid w:val="00EB1684"/>
    <w:rsid w:val="00EB1BEE"/>
    <w:rsid w:val="00EB1FDA"/>
    <w:rsid w:val="00EB228F"/>
    <w:rsid w:val="00EB2590"/>
    <w:rsid w:val="00EB2E81"/>
    <w:rsid w:val="00EB2FAF"/>
    <w:rsid w:val="00EB366B"/>
    <w:rsid w:val="00EB37CF"/>
    <w:rsid w:val="00EB3884"/>
    <w:rsid w:val="00EB3DF0"/>
    <w:rsid w:val="00EB463E"/>
    <w:rsid w:val="00EB4693"/>
    <w:rsid w:val="00EB4B2A"/>
    <w:rsid w:val="00EB4E54"/>
    <w:rsid w:val="00EB5A2B"/>
    <w:rsid w:val="00EB61B9"/>
    <w:rsid w:val="00EB629E"/>
    <w:rsid w:val="00EB69EB"/>
    <w:rsid w:val="00EB6B69"/>
    <w:rsid w:val="00EB6C40"/>
    <w:rsid w:val="00EB75F1"/>
    <w:rsid w:val="00EB7640"/>
    <w:rsid w:val="00EB7689"/>
    <w:rsid w:val="00EC0009"/>
    <w:rsid w:val="00EC0195"/>
    <w:rsid w:val="00EC02DE"/>
    <w:rsid w:val="00EC0342"/>
    <w:rsid w:val="00EC03F9"/>
    <w:rsid w:val="00EC041C"/>
    <w:rsid w:val="00EC0BC8"/>
    <w:rsid w:val="00EC103A"/>
    <w:rsid w:val="00EC1444"/>
    <w:rsid w:val="00EC1538"/>
    <w:rsid w:val="00EC16A8"/>
    <w:rsid w:val="00EC1781"/>
    <w:rsid w:val="00EC1A6F"/>
    <w:rsid w:val="00EC2F5F"/>
    <w:rsid w:val="00EC349F"/>
    <w:rsid w:val="00EC36A0"/>
    <w:rsid w:val="00EC392E"/>
    <w:rsid w:val="00EC3E14"/>
    <w:rsid w:val="00EC4381"/>
    <w:rsid w:val="00EC4894"/>
    <w:rsid w:val="00EC4C4A"/>
    <w:rsid w:val="00EC4D91"/>
    <w:rsid w:val="00EC52AE"/>
    <w:rsid w:val="00EC5500"/>
    <w:rsid w:val="00EC5549"/>
    <w:rsid w:val="00EC5AC8"/>
    <w:rsid w:val="00EC5C47"/>
    <w:rsid w:val="00EC60EB"/>
    <w:rsid w:val="00EC65A8"/>
    <w:rsid w:val="00EC668F"/>
    <w:rsid w:val="00EC68FE"/>
    <w:rsid w:val="00EC6B40"/>
    <w:rsid w:val="00EC6D36"/>
    <w:rsid w:val="00EC77D6"/>
    <w:rsid w:val="00EC7CDE"/>
    <w:rsid w:val="00ED0473"/>
    <w:rsid w:val="00ED1256"/>
    <w:rsid w:val="00ED1667"/>
    <w:rsid w:val="00ED1A07"/>
    <w:rsid w:val="00ED1C83"/>
    <w:rsid w:val="00ED1C8C"/>
    <w:rsid w:val="00ED289D"/>
    <w:rsid w:val="00ED289E"/>
    <w:rsid w:val="00ED36ED"/>
    <w:rsid w:val="00ED36EE"/>
    <w:rsid w:val="00ED37C0"/>
    <w:rsid w:val="00ED39FF"/>
    <w:rsid w:val="00ED3FCC"/>
    <w:rsid w:val="00ED4251"/>
    <w:rsid w:val="00ED4288"/>
    <w:rsid w:val="00ED452C"/>
    <w:rsid w:val="00ED4855"/>
    <w:rsid w:val="00ED48BB"/>
    <w:rsid w:val="00ED4998"/>
    <w:rsid w:val="00ED4AF9"/>
    <w:rsid w:val="00ED4B9E"/>
    <w:rsid w:val="00ED50DC"/>
    <w:rsid w:val="00ED52D7"/>
    <w:rsid w:val="00ED5709"/>
    <w:rsid w:val="00ED582C"/>
    <w:rsid w:val="00ED5866"/>
    <w:rsid w:val="00ED5C8B"/>
    <w:rsid w:val="00ED62DE"/>
    <w:rsid w:val="00ED63E1"/>
    <w:rsid w:val="00ED6D75"/>
    <w:rsid w:val="00ED72F8"/>
    <w:rsid w:val="00ED734E"/>
    <w:rsid w:val="00ED777C"/>
    <w:rsid w:val="00ED7843"/>
    <w:rsid w:val="00EE00BC"/>
    <w:rsid w:val="00EE02C9"/>
    <w:rsid w:val="00EE047A"/>
    <w:rsid w:val="00EE04CC"/>
    <w:rsid w:val="00EE08BE"/>
    <w:rsid w:val="00EE0C6A"/>
    <w:rsid w:val="00EE0D05"/>
    <w:rsid w:val="00EE0FE4"/>
    <w:rsid w:val="00EE1006"/>
    <w:rsid w:val="00EE1590"/>
    <w:rsid w:val="00EE1793"/>
    <w:rsid w:val="00EE1AE0"/>
    <w:rsid w:val="00EE1CB2"/>
    <w:rsid w:val="00EE1E73"/>
    <w:rsid w:val="00EE1FD6"/>
    <w:rsid w:val="00EE2029"/>
    <w:rsid w:val="00EE261E"/>
    <w:rsid w:val="00EE29F3"/>
    <w:rsid w:val="00EE2E33"/>
    <w:rsid w:val="00EE2F6E"/>
    <w:rsid w:val="00EE3751"/>
    <w:rsid w:val="00EE38AF"/>
    <w:rsid w:val="00EE4106"/>
    <w:rsid w:val="00EE433B"/>
    <w:rsid w:val="00EE455E"/>
    <w:rsid w:val="00EE4708"/>
    <w:rsid w:val="00EE4779"/>
    <w:rsid w:val="00EE4799"/>
    <w:rsid w:val="00EE4DAF"/>
    <w:rsid w:val="00EE51B7"/>
    <w:rsid w:val="00EE52D7"/>
    <w:rsid w:val="00EE542C"/>
    <w:rsid w:val="00EE54D5"/>
    <w:rsid w:val="00EE56C0"/>
    <w:rsid w:val="00EE579D"/>
    <w:rsid w:val="00EE58E0"/>
    <w:rsid w:val="00EE5BCA"/>
    <w:rsid w:val="00EE5C4F"/>
    <w:rsid w:val="00EE6304"/>
    <w:rsid w:val="00EE6738"/>
    <w:rsid w:val="00EE6CB2"/>
    <w:rsid w:val="00EE6E69"/>
    <w:rsid w:val="00EE70FB"/>
    <w:rsid w:val="00EE7109"/>
    <w:rsid w:val="00EE7153"/>
    <w:rsid w:val="00EE76FE"/>
    <w:rsid w:val="00EE7D1C"/>
    <w:rsid w:val="00EF0002"/>
    <w:rsid w:val="00EF0035"/>
    <w:rsid w:val="00EF007D"/>
    <w:rsid w:val="00EF0094"/>
    <w:rsid w:val="00EF0312"/>
    <w:rsid w:val="00EF032C"/>
    <w:rsid w:val="00EF05D6"/>
    <w:rsid w:val="00EF0682"/>
    <w:rsid w:val="00EF06FE"/>
    <w:rsid w:val="00EF07A5"/>
    <w:rsid w:val="00EF08F5"/>
    <w:rsid w:val="00EF16F4"/>
    <w:rsid w:val="00EF1726"/>
    <w:rsid w:val="00EF17B9"/>
    <w:rsid w:val="00EF19E0"/>
    <w:rsid w:val="00EF1B71"/>
    <w:rsid w:val="00EF1F42"/>
    <w:rsid w:val="00EF2248"/>
    <w:rsid w:val="00EF225B"/>
    <w:rsid w:val="00EF2388"/>
    <w:rsid w:val="00EF24B4"/>
    <w:rsid w:val="00EF24C9"/>
    <w:rsid w:val="00EF2D36"/>
    <w:rsid w:val="00EF2EEC"/>
    <w:rsid w:val="00EF34C7"/>
    <w:rsid w:val="00EF365B"/>
    <w:rsid w:val="00EF3B69"/>
    <w:rsid w:val="00EF4503"/>
    <w:rsid w:val="00EF4518"/>
    <w:rsid w:val="00EF4638"/>
    <w:rsid w:val="00EF47B5"/>
    <w:rsid w:val="00EF49F8"/>
    <w:rsid w:val="00EF4E6A"/>
    <w:rsid w:val="00EF51DC"/>
    <w:rsid w:val="00EF53B7"/>
    <w:rsid w:val="00EF59CF"/>
    <w:rsid w:val="00EF5C1E"/>
    <w:rsid w:val="00EF5F35"/>
    <w:rsid w:val="00EF6C3A"/>
    <w:rsid w:val="00EF6EEC"/>
    <w:rsid w:val="00EF7004"/>
    <w:rsid w:val="00EF7373"/>
    <w:rsid w:val="00EF78CB"/>
    <w:rsid w:val="00EF7FD8"/>
    <w:rsid w:val="00F00151"/>
    <w:rsid w:val="00F001DD"/>
    <w:rsid w:val="00F00657"/>
    <w:rsid w:val="00F00B0A"/>
    <w:rsid w:val="00F00D9E"/>
    <w:rsid w:val="00F00FBA"/>
    <w:rsid w:val="00F010F4"/>
    <w:rsid w:val="00F01139"/>
    <w:rsid w:val="00F0139A"/>
    <w:rsid w:val="00F019C4"/>
    <w:rsid w:val="00F01F66"/>
    <w:rsid w:val="00F0240A"/>
    <w:rsid w:val="00F0260D"/>
    <w:rsid w:val="00F02B53"/>
    <w:rsid w:val="00F02CCE"/>
    <w:rsid w:val="00F02E51"/>
    <w:rsid w:val="00F03143"/>
    <w:rsid w:val="00F03219"/>
    <w:rsid w:val="00F03CD4"/>
    <w:rsid w:val="00F03CF9"/>
    <w:rsid w:val="00F042D8"/>
    <w:rsid w:val="00F0430B"/>
    <w:rsid w:val="00F043CF"/>
    <w:rsid w:val="00F046F0"/>
    <w:rsid w:val="00F04CC4"/>
    <w:rsid w:val="00F04F81"/>
    <w:rsid w:val="00F0516D"/>
    <w:rsid w:val="00F05723"/>
    <w:rsid w:val="00F058FA"/>
    <w:rsid w:val="00F05C73"/>
    <w:rsid w:val="00F05C81"/>
    <w:rsid w:val="00F06698"/>
    <w:rsid w:val="00F066BE"/>
    <w:rsid w:val="00F07053"/>
    <w:rsid w:val="00F07312"/>
    <w:rsid w:val="00F073DC"/>
    <w:rsid w:val="00F07617"/>
    <w:rsid w:val="00F077DE"/>
    <w:rsid w:val="00F07AD4"/>
    <w:rsid w:val="00F07CFA"/>
    <w:rsid w:val="00F07FC8"/>
    <w:rsid w:val="00F10114"/>
    <w:rsid w:val="00F101D6"/>
    <w:rsid w:val="00F101D8"/>
    <w:rsid w:val="00F106CB"/>
    <w:rsid w:val="00F10916"/>
    <w:rsid w:val="00F10AEC"/>
    <w:rsid w:val="00F112FB"/>
    <w:rsid w:val="00F11E3E"/>
    <w:rsid w:val="00F11EF6"/>
    <w:rsid w:val="00F12001"/>
    <w:rsid w:val="00F1200D"/>
    <w:rsid w:val="00F1207E"/>
    <w:rsid w:val="00F120A1"/>
    <w:rsid w:val="00F12B0B"/>
    <w:rsid w:val="00F13107"/>
    <w:rsid w:val="00F131A7"/>
    <w:rsid w:val="00F137CF"/>
    <w:rsid w:val="00F14174"/>
    <w:rsid w:val="00F14DC5"/>
    <w:rsid w:val="00F151A3"/>
    <w:rsid w:val="00F15493"/>
    <w:rsid w:val="00F15941"/>
    <w:rsid w:val="00F159C1"/>
    <w:rsid w:val="00F15D1E"/>
    <w:rsid w:val="00F169C1"/>
    <w:rsid w:val="00F16C9E"/>
    <w:rsid w:val="00F1707F"/>
    <w:rsid w:val="00F17172"/>
    <w:rsid w:val="00F1743E"/>
    <w:rsid w:val="00F17EBA"/>
    <w:rsid w:val="00F17F31"/>
    <w:rsid w:val="00F2048D"/>
    <w:rsid w:val="00F204EF"/>
    <w:rsid w:val="00F205F5"/>
    <w:rsid w:val="00F206E6"/>
    <w:rsid w:val="00F20BA2"/>
    <w:rsid w:val="00F20CBF"/>
    <w:rsid w:val="00F20CD2"/>
    <w:rsid w:val="00F2150F"/>
    <w:rsid w:val="00F2182C"/>
    <w:rsid w:val="00F21864"/>
    <w:rsid w:val="00F219D8"/>
    <w:rsid w:val="00F21A27"/>
    <w:rsid w:val="00F21D2A"/>
    <w:rsid w:val="00F21DF0"/>
    <w:rsid w:val="00F2258C"/>
    <w:rsid w:val="00F23954"/>
    <w:rsid w:val="00F23BC3"/>
    <w:rsid w:val="00F2439D"/>
    <w:rsid w:val="00F2467A"/>
    <w:rsid w:val="00F24BA6"/>
    <w:rsid w:val="00F24DD7"/>
    <w:rsid w:val="00F25252"/>
    <w:rsid w:val="00F25483"/>
    <w:rsid w:val="00F258AE"/>
    <w:rsid w:val="00F25DE0"/>
    <w:rsid w:val="00F26879"/>
    <w:rsid w:val="00F26A15"/>
    <w:rsid w:val="00F26C68"/>
    <w:rsid w:val="00F26D72"/>
    <w:rsid w:val="00F26E08"/>
    <w:rsid w:val="00F27170"/>
    <w:rsid w:val="00F2747F"/>
    <w:rsid w:val="00F27600"/>
    <w:rsid w:val="00F27ACD"/>
    <w:rsid w:val="00F30746"/>
    <w:rsid w:val="00F3080A"/>
    <w:rsid w:val="00F312B8"/>
    <w:rsid w:val="00F31C1F"/>
    <w:rsid w:val="00F31D23"/>
    <w:rsid w:val="00F32043"/>
    <w:rsid w:val="00F3209B"/>
    <w:rsid w:val="00F32179"/>
    <w:rsid w:val="00F3253D"/>
    <w:rsid w:val="00F32894"/>
    <w:rsid w:val="00F329A3"/>
    <w:rsid w:val="00F32A9C"/>
    <w:rsid w:val="00F32C56"/>
    <w:rsid w:val="00F32F00"/>
    <w:rsid w:val="00F333A7"/>
    <w:rsid w:val="00F3349D"/>
    <w:rsid w:val="00F335D7"/>
    <w:rsid w:val="00F338AB"/>
    <w:rsid w:val="00F33FF7"/>
    <w:rsid w:val="00F342D0"/>
    <w:rsid w:val="00F34937"/>
    <w:rsid w:val="00F3494B"/>
    <w:rsid w:val="00F34D86"/>
    <w:rsid w:val="00F3516D"/>
    <w:rsid w:val="00F35348"/>
    <w:rsid w:val="00F35CC7"/>
    <w:rsid w:val="00F3607B"/>
    <w:rsid w:val="00F36158"/>
    <w:rsid w:val="00F3636B"/>
    <w:rsid w:val="00F36464"/>
    <w:rsid w:val="00F368BB"/>
    <w:rsid w:val="00F36F12"/>
    <w:rsid w:val="00F36FCB"/>
    <w:rsid w:val="00F370BA"/>
    <w:rsid w:val="00F3724B"/>
    <w:rsid w:val="00F374C2"/>
    <w:rsid w:val="00F375F6"/>
    <w:rsid w:val="00F379FC"/>
    <w:rsid w:val="00F37DAB"/>
    <w:rsid w:val="00F37E02"/>
    <w:rsid w:val="00F37FEB"/>
    <w:rsid w:val="00F40096"/>
    <w:rsid w:val="00F40626"/>
    <w:rsid w:val="00F408A0"/>
    <w:rsid w:val="00F40980"/>
    <w:rsid w:val="00F40A71"/>
    <w:rsid w:val="00F40DB2"/>
    <w:rsid w:val="00F4145C"/>
    <w:rsid w:val="00F41803"/>
    <w:rsid w:val="00F418D4"/>
    <w:rsid w:val="00F41C10"/>
    <w:rsid w:val="00F41E07"/>
    <w:rsid w:val="00F4204A"/>
    <w:rsid w:val="00F42139"/>
    <w:rsid w:val="00F42228"/>
    <w:rsid w:val="00F42537"/>
    <w:rsid w:val="00F4253E"/>
    <w:rsid w:val="00F4278C"/>
    <w:rsid w:val="00F42FC5"/>
    <w:rsid w:val="00F430CE"/>
    <w:rsid w:val="00F4379D"/>
    <w:rsid w:val="00F43865"/>
    <w:rsid w:val="00F43DBC"/>
    <w:rsid w:val="00F44421"/>
    <w:rsid w:val="00F44515"/>
    <w:rsid w:val="00F44517"/>
    <w:rsid w:val="00F44822"/>
    <w:rsid w:val="00F44944"/>
    <w:rsid w:val="00F44A21"/>
    <w:rsid w:val="00F44C80"/>
    <w:rsid w:val="00F45875"/>
    <w:rsid w:val="00F45A53"/>
    <w:rsid w:val="00F45B0C"/>
    <w:rsid w:val="00F4661F"/>
    <w:rsid w:val="00F46F32"/>
    <w:rsid w:val="00F4719E"/>
    <w:rsid w:val="00F47217"/>
    <w:rsid w:val="00F47276"/>
    <w:rsid w:val="00F47900"/>
    <w:rsid w:val="00F47E24"/>
    <w:rsid w:val="00F47E4E"/>
    <w:rsid w:val="00F50011"/>
    <w:rsid w:val="00F50286"/>
    <w:rsid w:val="00F50695"/>
    <w:rsid w:val="00F506A5"/>
    <w:rsid w:val="00F506ED"/>
    <w:rsid w:val="00F50966"/>
    <w:rsid w:val="00F50C1C"/>
    <w:rsid w:val="00F50C6B"/>
    <w:rsid w:val="00F50E8D"/>
    <w:rsid w:val="00F50F91"/>
    <w:rsid w:val="00F5112B"/>
    <w:rsid w:val="00F51248"/>
    <w:rsid w:val="00F514EB"/>
    <w:rsid w:val="00F51B6D"/>
    <w:rsid w:val="00F51C92"/>
    <w:rsid w:val="00F51DBA"/>
    <w:rsid w:val="00F52A03"/>
    <w:rsid w:val="00F52AAF"/>
    <w:rsid w:val="00F52AC6"/>
    <w:rsid w:val="00F52DC2"/>
    <w:rsid w:val="00F52EDD"/>
    <w:rsid w:val="00F52FC1"/>
    <w:rsid w:val="00F5322D"/>
    <w:rsid w:val="00F532B7"/>
    <w:rsid w:val="00F5348A"/>
    <w:rsid w:val="00F53618"/>
    <w:rsid w:val="00F53D0D"/>
    <w:rsid w:val="00F53FF5"/>
    <w:rsid w:val="00F545D5"/>
    <w:rsid w:val="00F545FA"/>
    <w:rsid w:val="00F556C2"/>
    <w:rsid w:val="00F55969"/>
    <w:rsid w:val="00F55BA4"/>
    <w:rsid w:val="00F55FAF"/>
    <w:rsid w:val="00F56050"/>
    <w:rsid w:val="00F567A4"/>
    <w:rsid w:val="00F567CE"/>
    <w:rsid w:val="00F56C6C"/>
    <w:rsid w:val="00F571B9"/>
    <w:rsid w:val="00F573B3"/>
    <w:rsid w:val="00F577F4"/>
    <w:rsid w:val="00F57A8A"/>
    <w:rsid w:val="00F57BC0"/>
    <w:rsid w:val="00F57D01"/>
    <w:rsid w:val="00F57E87"/>
    <w:rsid w:val="00F60710"/>
    <w:rsid w:val="00F60746"/>
    <w:rsid w:val="00F60A65"/>
    <w:rsid w:val="00F60B54"/>
    <w:rsid w:val="00F60BF6"/>
    <w:rsid w:val="00F61645"/>
    <w:rsid w:val="00F618DD"/>
    <w:rsid w:val="00F61E71"/>
    <w:rsid w:val="00F61FF6"/>
    <w:rsid w:val="00F621A5"/>
    <w:rsid w:val="00F6273B"/>
    <w:rsid w:val="00F62800"/>
    <w:rsid w:val="00F62AB8"/>
    <w:rsid w:val="00F6335E"/>
    <w:rsid w:val="00F63448"/>
    <w:rsid w:val="00F634E6"/>
    <w:rsid w:val="00F63821"/>
    <w:rsid w:val="00F639AB"/>
    <w:rsid w:val="00F63E6B"/>
    <w:rsid w:val="00F63F7D"/>
    <w:rsid w:val="00F64528"/>
    <w:rsid w:val="00F6452F"/>
    <w:rsid w:val="00F64541"/>
    <w:rsid w:val="00F645FC"/>
    <w:rsid w:val="00F64890"/>
    <w:rsid w:val="00F64EB2"/>
    <w:rsid w:val="00F6509A"/>
    <w:rsid w:val="00F6515E"/>
    <w:rsid w:val="00F65268"/>
    <w:rsid w:val="00F652A9"/>
    <w:rsid w:val="00F65701"/>
    <w:rsid w:val="00F66DF3"/>
    <w:rsid w:val="00F671F2"/>
    <w:rsid w:val="00F67232"/>
    <w:rsid w:val="00F67950"/>
    <w:rsid w:val="00F67CA7"/>
    <w:rsid w:val="00F7015A"/>
    <w:rsid w:val="00F702DD"/>
    <w:rsid w:val="00F70578"/>
    <w:rsid w:val="00F70744"/>
    <w:rsid w:val="00F7075E"/>
    <w:rsid w:val="00F707DA"/>
    <w:rsid w:val="00F70999"/>
    <w:rsid w:val="00F70CD4"/>
    <w:rsid w:val="00F70D9D"/>
    <w:rsid w:val="00F71CC5"/>
    <w:rsid w:val="00F71DF9"/>
    <w:rsid w:val="00F71EA3"/>
    <w:rsid w:val="00F721D8"/>
    <w:rsid w:val="00F72911"/>
    <w:rsid w:val="00F72996"/>
    <w:rsid w:val="00F72A40"/>
    <w:rsid w:val="00F7312B"/>
    <w:rsid w:val="00F73231"/>
    <w:rsid w:val="00F73A21"/>
    <w:rsid w:val="00F73AB1"/>
    <w:rsid w:val="00F73B25"/>
    <w:rsid w:val="00F73D33"/>
    <w:rsid w:val="00F740FF"/>
    <w:rsid w:val="00F742E9"/>
    <w:rsid w:val="00F74973"/>
    <w:rsid w:val="00F74D80"/>
    <w:rsid w:val="00F74F45"/>
    <w:rsid w:val="00F75239"/>
    <w:rsid w:val="00F7534F"/>
    <w:rsid w:val="00F75353"/>
    <w:rsid w:val="00F759C6"/>
    <w:rsid w:val="00F75FDC"/>
    <w:rsid w:val="00F764D7"/>
    <w:rsid w:val="00F768E6"/>
    <w:rsid w:val="00F7699C"/>
    <w:rsid w:val="00F76A37"/>
    <w:rsid w:val="00F76DBE"/>
    <w:rsid w:val="00F76F4B"/>
    <w:rsid w:val="00F77280"/>
    <w:rsid w:val="00F773E0"/>
    <w:rsid w:val="00F77608"/>
    <w:rsid w:val="00F777CB"/>
    <w:rsid w:val="00F8005C"/>
    <w:rsid w:val="00F80A87"/>
    <w:rsid w:val="00F80D80"/>
    <w:rsid w:val="00F8146B"/>
    <w:rsid w:val="00F81BFA"/>
    <w:rsid w:val="00F81EF0"/>
    <w:rsid w:val="00F82DA7"/>
    <w:rsid w:val="00F83549"/>
    <w:rsid w:val="00F83580"/>
    <w:rsid w:val="00F835DF"/>
    <w:rsid w:val="00F83A01"/>
    <w:rsid w:val="00F83AAD"/>
    <w:rsid w:val="00F83ABB"/>
    <w:rsid w:val="00F842E9"/>
    <w:rsid w:val="00F843CF"/>
    <w:rsid w:val="00F84522"/>
    <w:rsid w:val="00F84566"/>
    <w:rsid w:val="00F84A3B"/>
    <w:rsid w:val="00F84C7E"/>
    <w:rsid w:val="00F851BF"/>
    <w:rsid w:val="00F86174"/>
    <w:rsid w:val="00F86515"/>
    <w:rsid w:val="00F873D9"/>
    <w:rsid w:val="00F8744B"/>
    <w:rsid w:val="00F87A82"/>
    <w:rsid w:val="00F87CB4"/>
    <w:rsid w:val="00F87E89"/>
    <w:rsid w:val="00F9032B"/>
    <w:rsid w:val="00F90416"/>
    <w:rsid w:val="00F90597"/>
    <w:rsid w:val="00F9064F"/>
    <w:rsid w:val="00F906F1"/>
    <w:rsid w:val="00F9071D"/>
    <w:rsid w:val="00F90796"/>
    <w:rsid w:val="00F90B8B"/>
    <w:rsid w:val="00F91575"/>
    <w:rsid w:val="00F917BB"/>
    <w:rsid w:val="00F91C09"/>
    <w:rsid w:val="00F91D33"/>
    <w:rsid w:val="00F91FEF"/>
    <w:rsid w:val="00F929DC"/>
    <w:rsid w:val="00F9311D"/>
    <w:rsid w:val="00F933CE"/>
    <w:rsid w:val="00F936CB"/>
    <w:rsid w:val="00F936E8"/>
    <w:rsid w:val="00F93A69"/>
    <w:rsid w:val="00F93B5B"/>
    <w:rsid w:val="00F93D9D"/>
    <w:rsid w:val="00F940D1"/>
    <w:rsid w:val="00F941A5"/>
    <w:rsid w:val="00F9479C"/>
    <w:rsid w:val="00F94933"/>
    <w:rsid w:val="00F94BD3"/>
    <w:rsid w:val="00F94EFE"/>
    <w:rsid w:val="00F954E2"/>
    <w:rsid w:val="00F956F3"/>
    <w:rsid w:val="00F959F4"/>
    <w:rsid w:val="00F95AF4"/>
    <w:rsid w:val="00F95F1D"/>
    <w:rsid w:val="00F96CAF"/>
    <w:rsid w:val="00F96DB3"/>
    <w:rsid w:val="00F97151"/>
    <w:rsid w:val="00F978BD"/>
    <w:rsid w:val="00F979CF"/>
    <w:rsid w:val="00F97E79"/>
    <w:rsid w:val="00FA029C"/>
    <w:rsid w:val="00FA02F3"/>
    <w:rsid w:val="00FA0A72"/>
    <w:rsid w:val="00FA1263"/>
    <w:rsid w:val="00FA141E"/>
    <w:rsid w:val="00FA197D"/>
    <w:rsid w:val="00FA19A2"/>
    <w:rsid w:val="00FA1D50"/>
    <w:rsid w:val="00FA2026"/>
    <w:rsid w:val="00FA213B"/>
    <w:rsid w:val="00FA2358"/>
    <w:rsid w:val="00FA2831"/>
    <w:rsid w:val="00FA2B76"/>
    <w:rsid w:val="00FA3061"/>
    <w:rsid w:val="00FA31C1"/>
    <w:rsid w:val="00FA31DB"/>
    <w:rsid w:val="00FA38B2"/>
    <w:rsid w:val="00FA41A4"/>
    <w:rsid w:val="00FA455F"/>
    <w:rsid w:val="00FA458A"/>
    <w:rsid w:val="00FA45FC"/>
    <w:rsid w:val="00FA48AB"/>
    <w:rsid w:val="00FA496E"/>
    <w:rsid w:val="00FA4998"/>
    <w:rsid w:val="00FA4DA7"/>
    <w:rsid w:val="00FA5042"/>
    <w:rsid w:val="00FA5118"/>
    <w:rsid w:val="00FA5364"/>
    <w:rsid w:val="00FA5523"/>
    <w:rsid w:val="00FA588A"/>
    <w:rsid w:val="00FA5926"/>
    <w:rsid w:val="00FA5F2B"/>
    <w:rsid w:val="00FA5FFF"/>
    <w:rsid w:val="00FA636B"/>
    <w:rsid w:val="00FA6564"/>
    <w:rsid w:val="00FA67D1"/>
    <w:rsid w:val="00FA67F3"/>
    <w:rsid w:val="00FA7251"/>
    <w:rsid w:val="00FA7667"/>
    <w:rsid w:val="00FA7814"/>
    <w:rsid w:val="00FA7B00"/>
    <w:rsid w:val="00FA7B2B"/>
    <w:rsid w:val="00FA7BC7"/>
    <w:rsid w:val="00FB016B"/>
    <w:rsid w:val="00FB0A7D"/>
    <w:rsid w:val="00FB0BBF"/>
    <w:rsid w:val="00FB1A85"/>
    <w:rsid w:val="00FB1E47"/>
    <w:rsid w:val="00FB1FD8"/>
    <w:rsid w:val="00FB2210"/>
    <w:rsid w:val="00FB25D6"/>
    <w:rsid w:val="00FB2879"/>
    <w:rsid w:val="00FB28B3"/>
    <w:rsid w:val="00FB297D"/>
    <w:rsid w:val="00FB2FE1"/>
    <w:rsid w:val="00FB317B"/>
    <w:rsid w:val="00FB33B8"/>
    <w:rsid w:val="00FB347E"/>
    <w:rsid w:val="00FB3B92"/>
    <w:rsid w:val="00FB3C18"/>
    <w:rsid w:val="00FB4053"/>
    <w:rsid w:val="00FB40D8"/>
    <w:rsid w:val="00FB412A"/>
    <w:rsid w:val="00FB416D"/>
    <w:rsid w:val="00FB45E8"/>
    <w:rsid w:val="00FB46E2"/>
    <w:rsid w:val="00FB477D"/>
    <w:rsid w:val="00FB478B"/>
    <w:rsid w:val="00FB4D72"/>
    <w:rsid w:val="00FB4F50"/>
    <w:rsid w:val="00FB5114"/>
    <w:rsid w:val="00FB589E"/>
    <w:rsid w:val="00FB5A32"/>
    <w:rsid w:val="00FB5B9F"/>
    <w:rsid w:val="00FB5E89"/>
    <w:rsid w:val="00FB6137"/>
    <w:rsid w:val="00FB6142"/>
    <w:rsid w:val="00FB64C3"/>
    <w:rsid w:val="00FB66CE"/>
    <w:rsid w:val="00FB67E0"/>
    <w:rsid w:val="00FB6D9B"/>
    <w:rsid w:val="00FB6EA7"/>
    <w:rsid w:val="00FB76AC"/>
    <w:rsid w:val="00FB78EE"/>
    <w:rsid w:val="00FC0C05"/>
    <w:rsid w:val="00FC16EC"/>
    <w:rsid w:val="00FC1779"/>
    <w:rsid w:val="00FC1AC5"/>
    <w:rsid w:val="00FC1C05"/>
    <w:rsid w:val="00FC1CF1"/>
    <w:rsid w:val="00FC1CF2"/>
    <w:rsid w:val="00FC1D2A"/>
    <w:rsid w:val="00FC1E7B"/>
    <w:rsid w:val="00FC1F32"/>
    <w:rsid w:val="00FC20A1"/>
    <w:rsid w:val="00FC250C"/>
    <w:rsid w:val="00FC2849"/>
    <w:rsid w:val="00FC2E52"/>
    <w:rsid w:val="00FC2F9C"/>
    <w:rsid w:val="00FC3019"/>
    <w:rsid w:val="00FC318B"/>
    <w:rsid w:val="00FC38E0"/>
    <w:rsid w:val="00FC3B34"/>
    <w:rsid w:val="00FC3C98"/>
    <w:rsid w:val="00FC3D77"/>
    <w:rsid w:val="00FC4161"/>
    <w:rsid w:val="00FC4374"/>
    <w:rsid w:val="00FC4935"/>
    <w:rsid w:val="00FC4AE5"/>
    <w:rsid w:val="00FC4FB9"/>
    <w:rsid w:val="00FC5307"/>
    <w:rsid w:val="00FC53FE"/>
    <w:rsid w:val="00FC5413"/>
    <w:rsid w:val="00FC5658"/>
    <w:rsid w:val="00FC568B"/>
    <w:rsid w:val="00FC5A85"/>
    <w:rsid w:val="00FC5D60"/>
    <w:rsid w:val="00FC64B0"/>
    <w:rsid w:val="00FC670E"/>
    <w:rsid w:val="00FC6A79"/>
    <w:rsid w:val="00FC77F3"/>
    <w:rsid w:val="00FC78D4"/>
    <w:rsid w:val="00FC7902"/>
    <w:rsid w:val="00FC79DF"/>
    <w:rsid w:val="00FD0328"/>
    <w:rsid w:val="00FD0E35"/>
    <w:rsid w:val="00FD1291"/>
    <w:rsid w:val="00FD17C2"/>
    <w:rsid w:val="00FD193E"/>
    <w:rsid w:val="00FD1A2E"/>
    <w:rsid w:val="00FD1D2F"/>
    <w:rsid w:val="00FD2078"/>
    <w:rsid w:val="00FD22C6"/>
    <w:rsid w:val="00FD24BD"/>
    <w:rsid w:val="00FD27BA"/>
    <w:rsid w:val="00FD2B66"/>
    <w:rsid w:val="00FD2FCE"/>
    <w:rsid w:val="00FD3148"/>
    <w:rsid w:val="00FD3542"/>
    <w:rsid w:val="00FD3617"/>
    <w:rsid w:val="00FD36D4"/>
    <w:rsid w:val="00FD371D"/>
    <w:rsid w:val="00FD3BF4"/>
    <w:rsid w:val="00FD3D50"/>
    <w:rsid w:val="00FD3DF6"/>
    <w:rsid w:val="00FD3F66"/>
    <w:rsid w:val="00FD4715"/>
    <w:rsid w:val="00FD47D9"/>
    <w:rsid w:val="00FD484C"/>
    <w:rsid w:val="00FD4DF8"/>
    <w:rsid w:val="00FD5029"/>
    <w:rsid w:val="00FD5464"/>
    <w:rsid w:val="00FD587A"/>
    <w:rsid w:val="00FD5A70"/>
    <w:rsid w:val="00FD5C51"/>
    <w:rsid w:val="00FD5D49"/>
    <w:rsid w:val="00FD658F"/>
    <w:rsid w:val="00FD665A"/>
    <w:rsid w:val="00FD6CE2"/>
    <w:rsid w:val="00FD6F4B"/>
    <w:rsid w:val="00FD707C"/>
    <w:rsid w:val="00FD76AE"/>
    <w:rsid w:val="00FD7C98"/>
    <w:rsid w:val="00FD7F88"/>
    <w:rsid w:val="00FE0081"/>
    <w:rsid w:val="00FE03B0"/>
    <w:rsid w:val="00FE0939"/>
    <w:rsid w:val="00FE0B39"/>
    <w:rsid w:val="00FE0B6E"/>
    <w:rsid w:val="00FE0D06"/>
    <w:rsid w:val="00FE10AD"/>
    <w:rsid w:val="00FE131D"/>
    <w:rsid w:val="00FE1350"/>
    <w:rsid w:val="00FE1377"/>
    <w:rsid w:val="00FE13DC"/>
    <w:rsid w:val="00FE1946"/>
    <w:rsid w:val="00FE1B3B"/>
    <w:rsid w:val="00FE1E86"/>
    <w:rsid w:val="00FE2051"/>
    <w:rsid w:val="00FE2880"/>
    <w:rsid w:val="00FE319B"/>
    <w:rsid w:val="00FE31E4"/>
    <w:rsid w:val="00FE34BC"/>
    <w:rsid w:val="00FE3C90"/>
    <w:rsid w:val="00FE3CC5"/>
    <w:rsid w:val="00FE4069"/>
    <w:rsid w:val="00FE47F4"/>
    <w:rsid w:val="00FE4B16"/>
    <w:rsid w:val="00FE5067"/>
    <w:rsid w:val="00FE520F"/>
    <w:rsid w:val="00FE59AC"/>
    <w:rsid w:val="00FE5E95"/>
    <w:rsid w:val="00FE5F0F"/>
    <w:rsid w:val="00FE615C"/>
    <w:rsid w:val="00FE6315"/>
    <w:rsid w:val="00FE6758"/>
    <w:rsid w:val="00FE6886"/>
    <w:rsid w:val="00FE6BFC"/>
    <w:rsid w:val="00FE7326"/>
    <w:rsid w:val="00FE7343"/>
    <w:rsid w:val="00FE790D"/>
    <w:rsid w:val="00FE798C"/>
    <w:rsid w:val="00FE7B5A"/>
    <w:rsid w:val="00FE7C21"/>
    <w:rsid w:val="00FE7EFA"/>
    <w:rsid w:val="00FE7F3C"/>
    <w:rsid w:val="00FF09C9"/>
    <w:rsid w:val="00FF0AB4"/>
    <w:rsid w:val="00FF0ADF"/>
    <w:rsid w:val="00FF0B14"/>
    <w:rsid w:val="00FF0BBB"/>
    <w:rsid w:val="00FF0CD7"/>
    <w:rsid w:val="00FF0E0A"/>
    <w:rsid w:val="00FF0EE1"/>
    <w:rsid w:val="00FF10BF"/>
    <w:rsid w:val="00FF1425"/>
    <w:rsid w:val="00FF194F"/>
    <w:rsid w:val="00FF1CEF"/>
    <w:rsid w:val="00FF2313"/>
    <w:rsid w:val="00FF23DF"/>
    <w:rsid w:val="00FF249D"/>
    <w:rsid w:val="00FF267B"/>
    <w:rsid w:val="00FF2BFD"/>
    <w:rsid w:val="00FF2EB5"/>
    <w:rsid w:val="00FF3377"/>
    <w:rsid w:val="00FF39D4"/>
    <w:rsid w:val="00FF3C0A"/>
    <w:rsid w:val="00FF3DA6"/>
    <w:rsid w:val="00FF3E2D"/>
    <w:rsid w:val="00FF40FA"/>
    <w:rsid w:val="00FF41DC"/>
    <w:rsid w:val="00FF4642"/>
    <w:rsid w:val="00FF4AE8"/>
    <w:rsid w:val="00FF4DB1"/>
    <w:rsid w:val="00FF4F70"/>
    <w:rsid w:val="00FF5020"/>
    <w:rsid w:val="00FF5303"/>
    <w:rsid w:val="00FF59BB"/>
    <w:rsid w:val="00FF6030"/>
    <w:rsid w:val="00FF62C9"/>
    <w:rsid w:val="00FF6388"/>
    <w:rsid w:val="00FF63AC"/>
    <w:rsid w:val="00FF6734"/>
    <w:rsid w:val="00FF68B3"/>
    <w:rsid w:val="00FF6968"/>
    <w:rsid w:val="00FF6A00"/>
    <w:rsid w:val="00FF6BBB"/>
    <w:rsid w:val="00FF7037"/>
    <w:rsid w:val="00FF73FB"/>
    <w:rsid w:val="01927DCF"/>
    <w:rsid w:val="01B3097E"/>
    <w:rsid w:val="02300221"/>
    <w:rsid w:val="023C6028"/>
    <w:rsid w:val="02D2752A"/>
    <w:rsid w:val="02EE59E6"/>
    <w:rsid w:val="030A71D4"/>
    <w:rsid w:val="036C769A"/>
    <w:rsid w:val="063F6C84"/>
    <w:rsid w:val="078556F2"/>
    <w:rsid w:val="07BB67DE"/>
    <w:rsid w:val="085B1D6F"/>
    <w:rsid w:val="08F75D7F"/>
    <w:rsid w:val="08FF094D"/>
    <w:rsid w:val="09271C52"/>
    <w:rsid w:val="0927576B"/>
    <w:rsid w:val="092C7268"/>
    <w:rsid w:val="09A90D29"/>
    <w:rsid w:val="0AC7549A"/>
    <w:rsid w:val="0B27418B"/>
    <w:rsid w:val="0B7B087A"/>
    <w:rsid w:val="0BA77D0A"/>
    <w:rsid w:val="0C9C47B4"/>
    <w:rsid w:val="0CC840E9"/>
    <w:rsid w:val="0D087E60"/>
    <w:rsid w:val="0D444B80"/>
    <w:rsid w:val="0DBF68FD"/>
    <w:rsid w:val="0DD71E98"/>
    <w:rsid w:val="0E172E1A"/>
    <w:rsid w:val="0F56503F"/>
    <w:rsid w:val="11976650"/>
    <w:rsid w:val="12543AB7"/>
    <w:rsid w:val="1268521C"/>
    <w:rsid w:val="13791560"/>
    <w:rsid w:val="147B5659"/>
    <w:rsid w:val="148B0641"/>
    <w:rsid w:val="14F050B9"/>
    <w:rsid w:val="15597637"/>
    <w:rsid w:val="16225C7A"/>
    <w:rsid w:val="16361726"/>
    <w:rsid w:val="168B5B89"/>
    <w:rsid w:val="16D53429"/>
    <w:rsid w:val="17E75E45"/>
    <w:rsid w:val="18E365C9"/>
    <w:rsid w:val="196178B0"/>
    <w:rsid w:val="19E26C0C"/>
    <w:rsid w:val="19EA4D01"/>
    <w:rsid w:val="1AEF6A73"/>
    <w:rsid w:val="1B1C4531"/>
    <w:rsid w:val="1C265C1E"/>
    <w:rsid w:val="1C9706F7"/>
    <w:rsid w:val="1D1E3640"/>
    <w:rsid w:val="1DB573D4"/>
    <w:rsid w:val="1FBF278C"/>
    <w:rsid w:val="201900EE"/>
    <w:rsid w:val="20415C7A"/>
    <w:rsid w:val="20476A09"/>
    <w:rsid w:val="20AE4CDA"/>
    <w:rsid w:val="24B539B7"/>
    <w:rsid w:val="25A56D8C"/>
    <w:rsid w:val="25F0544D"/>
    <w:rsid w:val="260A23B5"/>
    <w:rsid w:val="269C23AC"/>
    <w:rsid w:val="26ED325F"/>
    <w:rsid w:val="27C60401"/>
    <w:rsid w:val="285717B4"/>
    <w:rsid w:val="29E452C9"/>
    <w:rsid w:val="2A876BF1"/>
    <w:rsid w:val="2B401585"/>
    <w:rsid w:val="2C244D24"/>
    <w:rsid w:val="2C3D33B6"/>
    <w:rsid w:val="2C5D1363"/>
    <w:rsid w:val="2CE850D0"/>
    <w:rsid w:val="2D085772"/>
    <w:rsid w:val="2DA52FC1"/>
    <w:rsid w:val="2DCA32B9"/>
    <w:rsid w:val="2DE020CC"/>
    <w:rsid w:val="2E103652"/>
    <w:rsid w:val="2EA95F0B"/>
    <w:rsid w:val="2EC61441"/>
    <w:rsid w:val="2EF22236"/>
    <w:rsid w:val="2F662726"/>
    <w:rsid w:val="2FE93C34"/>
    <w:rsid w:val="321547AE"/>
    <w:rsid w:val="328578F5"/>
    <w:rsid w:val="35167B50"/>
    <w:rsid w:val="36626AA0"/>
    <w:rsid w:val="3709636F"/>
    <w:rsid w:val="39461906"/>
    <w:rsid w:val="397E5606"/>
    <w:rsid w:val="39E80A65"/>
    <w:rsid w:val="39F23A32"/>
    <w:rsid w:val="3A173499"/>
    <w:rsid w:val="3A7022ED"/>
    <w:rsid w:val="3BF35840"/>
    <w:rsid w:val="3C074A8D"/>
    <w:rsid w:val="3C0D06AF"/>
    <w:rsid w:val="3C224794"/>
    <w:rsid w:val="3C5A766D"/>
    <w:rsid w:val="3CF11D7F"/>
    <w:rsid w:val="3D8F12CF"/>
    <w:rsid w:val="3F625608"/>
    <w:rsid w:val="3F8A29CF"/>
    <w:rsid w:val="40976291"/>
    <w:rsid w:val="40C8729B"/>
    <w:rsid w:val="41004C87"/>
    <w:rsid w:val="41031EBC"/>
    <w:rsid w:val="41210A94"/>
    <w:rsid w:val="42277FF1"/>
    <w:rsid w:val="42706FC0"/>
    <w:rsid w:val="432E4B88"/>
    <w:rsid w:val="43E97C54"/>
    <w:rsid w:val="44024872"/>
    <w:rsid w:val="44DF3D8B"/>
    <w:rsid w:val="44F92825"/>
    <w:rsid w:val="45482758"/>
    <w:rsid w:val="456F588F"/>
    <w:rsid w:val="46101A31"/>
    <w:rsid w:val="47953C4F"/>
    <w:rsid w:val="485366F4"/>
    <w:rsid w:val="490976C2"/>
    <w:rsid w:val="49FE7922"/>
    <w:rsid w:val="4AD625B4"/>
    <w:rsid w:val="4CE71BB7"/>
    <w:rsid w:val="4D4410A6"/>
    <w:rsid w:val="4D8807B9"/>
    <w:rsid w:val="4D903FAA"/>
    <w:rsid w:val="4F4E10E2"/>
    <w:rsid w:val="4FCD667C"/>
    <w:rsid w:val="50815D4C"/>
    <w:rsid w:val="50935EC0"/>
    <w:rsid w:val="50E25C3F"/>
    <w:rsid w:val="50F96FFC"/>
    <w:rsid w:val="51054EFA"/>
    <w:rsid w:val="51CD2F0F"/>
    <w:rsid w:val="52917F04"/>
    <w:rsid w:val="52DA30A5"/>
    <w:rsid w:val="52DB10B0"/>
    <w:rsid w:val="559351F5"/>
    <w:rsid w:val="55B003E1"/>
    <w:rsid w:val="55E34943"/>
    <w:rsid w:val="55E4027B"/>
    <w:rsid w:val="56D4209E"/>
    <w:rsid w:val="573C5E95"/>
    <w:rsid w:val="57B83084"/>
    <w:rsid w:val="5805272B"/>
    <w:rsid w:val="58447FC9"/>
    <w:rsid w:val="5A137C3A"/>
    <w:rsid w:val="5B6170B7"/>
    <w:rsid w:val="5B9718EC"/>
    <w:rsid w:val="5CE45005"/>
    <w:rsid w:val="5D8E1C38"/>
    <w:rsid w:val="5DC41AD2"/>
    <w:rsid w:val="5DD15589"/>
    <w:rsid w:val="5EB35D99"/>
    <w:rsid w:val="5EBA531B"/>
    <w:rsid w:val="5EC44B06"/>
    <w:rsid w:val="5EE2793A"/>
    <w:rsid w:val="5F6A348F"/>
    <w:rsid w:val="601E57B6"/>
    <w:rsid w:val="60694549"/>
    <w:rsid w:val="60AD17EC"/>
    <w:rsid w:val="60D94755"/>
    <w:rsid w:val="61241E74"/>
    <w:rsid w:val="6150639A"/>
    <w:rsid w:val="61F21F72"/>
    <w:rsid w:val="63A64DC2"/>
    <w:rsid w:val="64DA367B"/>
    <w:rsid w:val="651346D9"/>
    <w:rsid w:val="65652A5B"/>
    <w:rsid w:val="659A45F5"/>
    <w:rsid w:val="66CD6B09"/>
    <w:rsid w:val="678E732F"/>
    <w:rsid w:val="67957456"/>
    <w:rsid w:val="67BC1EF5"/>
    <w:rsid w:val="68460921"/>
    <w:rsid w:val="689A6281"/>
    <w:rsid w:val="69397BCC"/>
    <w:rsid w:val="6A3D47F3"/>
    <w:rsid w:val="6A802C0C"/>
    <w:rsid w:val="6B4F21E3"/>
    <w:rsid w:val="6C7F2654"/>
    <w:rsid w:val="6CED5810"/>
    <w:rsid w:val="6D1A412B"/>
    <w:rsid w:val="6D423B58"/>
    <w:rsid w:val="6DAC7479"/>
    <w:rsid w:val="6E855888"/>
    <w:rsid w:val="6F946586"/>
    <w:rsid w:val="714B27BD"/>
    <w:rsid w:val="723A2E7F"/>
    <w:rsid w:val="72E45193"/>
    <w:rsid w:val="72F773E8"/>
    <w:rsid w:val="740A6CA7"/>
    <w:rsid w:val="7419338E"/>
    <w:rsid w:val="742A2AE1"/>
    <w:rsid w:val="74326A04"/>
    <w:rsid w:val="7480340D"/>
    <w:rsid w:val="74E25E76"/>
    <w:rsid w:val="779D6084"/>
    <w:rsid w:val="77BEED9E"/>
    <w:rsid w:val="78414C61"/>
    <w:rsid w:val="7922542C"/>
    <w:rsid w:val="79711576"/>
    <w:rsid w:val="797649D1"/>
    <w:rsid w:val="7B081FCA"/>
    <w:rsid w:val="7B825CBD"/>
    <w:rsid w:val="7B8940DC"/>
    <w:rsid w:val="7BAE4875"/>
    <w:rsid w:val="7C013085"/>
    <w:rsid w:val="7C1062C3"/>
    <w:rsid w:val="7C1D1542"/>
    <w:rsid w:val="7CA32436"/>
    <w:rsid w:val="7CBB2F32"/>
    <w:rsid w:val="7D0C2749"/>
    <w:rsid w:val="7D480840"/>
    <w:rsid w:val="7DC51493"/>
    <w:rsid w:val="7DCD5A40"/>
    <w:rsid w:val="7E3D5ECB"/>
    <w:rsid w:val="7E6924EF"/>
    <w:rsid w:val="7E73175E"/>
    <w:rsid w:val="7E8B4A57"/>
    <w:rsid w:val="7F5524F8"/>
    <w:rsid w:val="7F840255"/>
    <w:rsid w:val="BFED73C8"/>
    <w:rsid w:val="FBB7A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ind w:firstLine="200" w:firstLineChars="200"/>
      <w:jc w:val="both"/>
    </w:pPr>
    <w:rPr>
      <w:rFonts w:ascii="Times New Roman" w:hAnsi="Times New Roman" w:eastAsia="仿宋_GB2312" w:cstheme="minorBidi"/>
      <w:kern w:val="2"/>
      <w:sz w:val="32"/>
      <w:szCs w:val="24"/>
      <w:lang w:val="en-US" w:eastAsia="zh-CN" w:bidi="ar-SA"/>
      <w14:ligatures w14:val="standardContextual"/>
    </w:rPr>
  </w:style>
  <w:style w:type="paragraph" w:styleId="2">
    <w:name w:val="heading 1"/>
    <w:basedOn w:val="1"/>
    <w:next w:val="1"/>
    <w:link w:val="30"/>
    <w:qFormat/>
    <w:uiPriority w:val="9"/>
    <w:pPr>
      <w:keepNext/>
      <w:keepLines/>
      <w:spacing w:before="120" w:after="120"/>
      <w:outlineLvl w:val="0"/>
    </w:pPr>
    <w:rPr>
      <w:rFonts w:eastAsia="黑体" w:cstheme="majorBidi"/>
      <w:b/>
      <w:color w:val="000000" w:themeColor="text1"/>
      <w:szCs w:val="48"/>
      <w14:textFill>
        <w14:solidFill>
          <w14:schemeClr w14:val="tx1"/>
        </w14:solidFill>
      </w14:textFill>
    </w:rPr>
  </w:style>
  <w:style w:type="paragraph" w:styleId="3">
    <w:name w:val="heading 2"/>
    <w:basedOn w:val="1"/>
    <w:next w:val="1"/>
    <w:link w:val="31"/>
    <w:unhideWhenUsed/>
    <w:qFormat/>
    <w:uiPriority w:val="9"/>
    <w:pPr>
      <w:keepNext/>
      <w:keepLines/>
      <w:spacing w:before="120" w:after="120"/>
      <w:outlineLvl w:val="1"/>
    </w:pPr>
    <w:rPr>
      <w:rFonts w:eastAsia="楷体_GB2312" w:cstheme="majorBidi"/>
      <w:b/>
      <w:szCs w:val="40"/>
    </w:rPr>
  </w:style>
  <w:style w:type="paragraph" w:styleId="4">
    <w:name w:val="heading 3"/>
    <w:basedOn w:val="1"/>
    <w:next w:val="1"/>
    <w:link w:val="32"/>
    <w:unhideWhenUsed/>
    <w:qFormat/>
    <w:uiPriority w:val="9"/>
    <w:pPr>
      <w:keepNext/>
      <w:keepLines/>
      <w:outlineLvl w:val="2"/>
    </w:pPr>
    <w:rPr>
      <w:rFonts w:cstheme="majorBidi"/>
      <w:b/>
      <w:szCs w:val="32"/>
    </w:rPr>
  </w:style>
  <w:style w:type="paragraph" w:styleId="5">
    <w:name w:val="heading 4"/>
    <w:basedOn w:val="1"/>
    <w:next w:val="1"/>
    <w:link w:val="33"/>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34"/>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35"/>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56"/>
    <w:unhideWhenUsed/>
    <w:qFormat/>
    <w:uiPriority w:val="99"/>
    <w:pPr>
      <w:jc w:val="left"/>
    </w:pPr>
  </w:style>
  <w:style w:type="paragraph" w:styleId="12">
    <w:name w:val="Body Text"/>
    <w:basedOn w:val="1"/>
    <w:qFormat/>
    <w:uiPriority w:val="0"/>
    <w:pPr>
      <w:widowControl/>
      <w:kinsoku w:val="0"/>
      <w:autoSpaceDE w:val="0"/>
      <w:autoSpaceDN w:val="0"/>
      <w:adjustRightInd w:val="0"/>
      <w:snapToGrid w:val="0"/>
      <w:spacing w:after="120" w:line="240" w:lineRule="auto"/>
      <w:textAlignment w:val="baseline"/>
    </w:pPr>
    <w:rPr>
      <w:rFonts w:ascii="仿宋_GB2312" w:hAnsi="仿宋_GB2312" w:eastAsia="仿宋_GB2312" w:cs="仿宋_GB2312"/>
      <w:snapToGrid w:val="0"/>
      <w:color w:val="000000"/>
      <w:kern w:val="0"/>
      <w:sz w:val="32"/>
      <w:szCs w:val="21"/>
      <w14:ligatures w14:val="none"/>
    </w:rPr>
  </w:style>
  <w:style w:type="paragraph" w:styleId="13">
    <w:name w:val="toc 3"/>
    <w:basedOn w:val="1"/>
    <w:next w:val="1"/>
    <w:unhideWhenUsed/>
    <w:qFormat/>
    <w:uiPriority w:val="39"/>
    <w:pPr>
      <w:ind w:left="840" w:leftChars="400"/>
    </w:pPr>
  </w:style>
  <w:style w:type="paragraph" w:styleId="14">
    <w:name w:val="footer"/>
    <w:basedOn w:val="1"/>
    <w:link w:val="49"/>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48"/>
    <w:unhideWhenUsed/>
    <w:qFormat/>
    <w:uiPriority w:val="99"/>
    <w:pP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pPr>
      <w:tabs>
        <w:tab w:val="right" w:leader="dot" w:pos="8296"/>
      </w:tabs>
      <w:ind w:firstLine="0" w:firstLineChars="0"/>
    </w:pPr>
    <w:rPr>
      <w:rFonts w:eastAsia="黑体" w:cs="Times New Roman"/>
      <w:b/>
      <w:bCs/>
    </w:rPr>
  </w:style>
  <w:style w:type="paragraph" w:styleId="17">
    <w:name w:val="Subtitle"/>
    <w:basedOn w:val="1"/>
    <w:next w:val="1"/>
    <w:link w:val="40"/>
    <w:qFormat/>
    <w:uiPriority w:val="11"/>
    <w:pPr>
      <w:ind w:firstLine="200" w:firstLineChars="20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8">
    <w:name w:val="footnote text"/>
    <w:basedOn w:val="1"/>
    <w:link w:val="53"/>
    <w:semiHidden/>
    <w:unhideWhenUsed/>
    <w:qFormat/>
    <w:uiPriority w:val="99"/>
    <w:pPr>
      <w:snapToGrid w:val="0"/>
      <w:spacing w:line="240" w:lineRule="auto"/>
      <w:ind w:firstLine="0" w:firstLineChars="0"/>
      <w:jc w:val="left"/>
    </w:pPr>
    <w:rPr>
      <w:rFonts w:ascii="宋体" w:hAnsi="宋体" w:eastAsia="宋体" w:cs="宋体"/>
      <w:kern w:val="0"/>
      <w:sz w:val="18"/>
      <w:szCs w:val="18"/>
      <w14:ligatures w14:val="none"/>
    </w:rPr>
  </w:style>
  <w:style w:type="paragraph" w:styleId="19">
    <w:name w:val="toc 2"/>
    <w:basedOn w:val="1"/>
    <w:next w:val="1"/>
    <w:unhideWhenUsed/>
    <w:qFormat/>
    <w:uiPriority w:val="39"/>
    <w:pPr>
      <w:tabs>
        <w:tab w:val="right" w:leader="dot" w:pos="8296"/>
      </w:tabs>
      <w:ind w:firstLine="640"/>
    </w:pPr>
    <w:rPr>
      <w:rFonts w:eastAsia="楷体" w:cs="Times New Roman"/>
    </w:rPr>
  </w:style>
  <w:style w:type="paragraph" w:styleId="2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1">
    <w:name w:val="Title"/>
    <w:basedOn w:val="1"/>
    <w:next w:val="1"/>
    <w:link w:val="39"/>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paragraph" w:styleId="22">
    <w:name w:val="annotation subject"/>
    <w:basedOn w:val="11"/>
    <w:next w:val="11"/>
    <w:link w:val="57"/>
    <w:semiHidden/>
    <w:unhideWhenUsed/>
    <w:qFormat/>
    <w:uiPriority w:val="99"/>
    <w:rPr>
      <w:b/>
      <w:bCs/>
    </w:rPr>
  </w:style>
  <w:style w:type="table" w:styleId="24">
    <w:name w:val="Table Grid"/>
    <w:basedOn w:val="23"/>
    <w:qFormat/>
    <w:uiPriority w:val="39"/>
    <w:pPr>
      <w:widowControl w:val="0"/>
      <w:spacing w:after="0" w:line="240" w:lineRule="auto"/>
      <w:jc w:val="both"/>
    </w:pPr>
    <w:rPr>
      <w:rFonts w:ascii="等线" w:hAnsi="等线" w:eastAsia="等线"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Hyperlink"/>
    <w:basedOn w:val="25"/>
    <w:unhideWhenUsed/>
    <w:qFormat/>
    <w:uiPriority w:val="99"/>
    <w:rPr>
      <w:color w:val="467886" w:themeColor="hyperlink"/>
      <w:u w:val="single"/>
      <w14:textFill>
        <w14:solidFill>
          <w14:schemeClr w14:val="hlink"/>
        </w14:solidFill>
      </w14:textFill>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character" w:customStyle="1" w:styleId="30">
    <w:name w:val="标题 1 字符"/>
    <w:basedOn w:val="25"/>
    <w:link w:val="2"/>
    <w:qFormat/>
    <w:uiPriority w:val="9"/>
    <w:rPr>
      <w:rFonts w:ascii="Times New Roman" w:hAnsi="Times New Roman" w:eastAsia="黑体" w:cstheme="majorBidi"/>
      <w:b/>
      <w:color w:val="000000" w:themeColor="text1"/>
      <w:sz w:val="30"/>
      <w:szCs w:val="48"/>
      <w14:textFill>
        <w14:solidFill>
          <w14:schemeClr w14:val="tx1"/>
        </w14:solidFill>
      </w14:textFill>
    </w:rPr>
  </w:style>
  <w:style w:type="character" w:customStyle="1" w:styleId="31">
    <w:name w:val="标题 2 字符"/>
    <w:basedOn w:val="25"/>
    <w:link w:val="3"/>
    <w:qFormat/>
    <w:uiPriority w:val="9"/>
    <w:rPr>
      <w:rFonts w:ascii="Times New Roman" w:hAnsi="Times New Roman" w:eastAsia="楷体_GB2312" w:cstheme="majorBidi"/>
      <w:b/>
      <w:sz w:val="32"/>
      <w:szCs w:val="40"/>
    </w:rPr>
  </w:style>
  <w:style w:type="character" w:customStyle="1" w:styleId="32">
    <w:name w:val="标题 3 字符"/>
    <w:basedOn w:val="25"/>
    <w:link w:val="4"/>
    <w:qFormat/>
    <w:uiPriority w:val="9"/>
    <w:rPr>
      <w:rFonts w:ascii="Times New Roman" w:hAnsi="Times New Roman" w:eastAsia="仿宋" w:cstheme="majorBidi"/>
      <w:b/>
      <w:sz w:val="30"/>
      <w:szCs w:val="32"/>
    </w:rPr>
  </w:style>
  <w:style w:type="character" w:customStyle="1" w:styleId="33">
    <w:name w:val="标题 4 字符"/>
    <w:basedOn w:val="25"/>
    <w:link w:val="5"/>
    <w:qFormat/>
    <w:uiPriority w:val="0"/>
    <w:rPr>
      <w:rFonts w:cstheme="majorBidi"/>
      <w:color w:val="104862" w:themeColor="accent1" w:themeShade="BF"/>
      <w:sz w:val="28"/>
      <w:szCs w:val="28"/>
    </w:rPr>
  </w:style>
  <w:style w:type="character" w:customStyle="1" w:styleId="34">
    <w:name w:val="标题 5 字符"/>
    <w:basedOn w:val="25"/>
    <w:link w:val="6"/>
    <w:semiHidden/>
    <w:qFormat/>
    <w:uiPriority w:val="9"/>
    <w:rPr>
      <w:rFonts w:cstheme="majorBidi"/>
      <w:color w:val="104862" w:themeColor="accent1" w:themeShade="BF"/>
      <w:sz w:val="24"/>
    </w:rPr>
  </w:style>
  <w:style w:type="character" w:customStyle="1" w:styleId="35">
    <w:name w:val="标题 6 字符"/>
    <w:basedOn w:val="25"/>
    <w:link w:val="7"/>
    <w:semiHidden/>
    <w:qFormat/>
    <w:uiPriority w:val="9"/>
    <w:rPr>
      <w:rFonts w:cstheme="majorBidi"/>
      <w:b/>
      <w:bCs/>
      <w:color w:val="104862" w:themeColor="accent1" w:themeShade="BF"/>
    </w:rPr>
  </w:style>
  <w:style w:type="character" w:customStyle="1" w:styleId="36">
    <w:name w:val="标题 7 字符"/>
    <w:basedOn w:val="25"/>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7">
    <w:name w:val="标题 8 字符"/>
    <w:basedOn w:val="25"/>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8">
    <w:name w:val="标题 9 字符"/>
    <w:basedOn w:val="25"/>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9">
    <w:name w:val="标题 字符"/>
    <w:basedOn w:val="25"/>
    <w:link w:val="21"/>
    <w:qFormat/>
    <w:uiPriority w:val="10"/>
    <w:rPr>
      <w:rFonts w:asciiTheme="majorHAnsi" w:hAnsiTheme="majorHAnsi" w:eastAsiaTheme="majorEastAsia" w:cstheme="majorBidi"/>
      <w:spacing w:val="-10"/>
      <w:kern w:val="28"/>
      <w:sz w:val="56"/>
      <w:szCs w:val="56"/>
    </w:rPr>
  </w:style>
  <w:style w:type="character" w:customStyle="1" w:styleId="40">
    <w:name w:val="副标题 字符"/>
    <w:basedOn w:val="25"/>
    <w:link w:val="17"/>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1">
    <w:name w:val="Quote"/>
    <w:basedOn w:val="1"/>
    <w:next w:val="1"/>
    <w:link w:val="4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42">
    <w:name w:val="引用 字符"/>
    <w:basedOn w:val="25"/>
    <w:link w:val="41"/>
    <w:qFormat/>
    <w:uiPriority w:val="29"/>
    <w:rPr>
      <w:i/>
      <w:iCs/>
      <w:color w:val="404040" w:themeColor="text1" w:themeTint="BF"/>
      <w14:textFill>
        <w14:solidFill>
          <w14:schemeClr w14:val="tx1">
            <w14:lumMod w14:val="75000"/>
            <w14:lumOff w14:val="25000"/>
          </w14:schemeClr>
        </w14:solidFill>
      </w14:textFill>
    </w:rPr>
  </w:style>
  <w:style w:type="paragraph" w:styleId="43">
    <w:name w:val="List Paragraph"/>
    <w:basedOn w:val="1"/>
    <w:qFormat/>
    <w:uiPriority w:val="34"/>
    <w:pPr>
      <w:ind w:left="720"/>
      <w:contextualSpacing/>
    </w:pPr>
  </w:style>
  <w:style w:type="character" w:customStyle="1" w:styleId="44">
    <w:name w:val="Intense Emphasis"/>
    <w:basedOn w:val="25"/>
    <w:qFormat/>
    <w:uiPriority w:val="21"/>
    <w:rPr>
      <w:i/>
      <w:iCs/>
      <w:color w:val="104862" w:themeColor="accent1" w:themeShade="BF"/>
    </w:rPr>
  </w:style>
  <w:style w:type="paragraph" w:styleId="45">
    <w:name w:val="Intense Quote"/>
    <w:basedOn w:val="1"/>
    <w:next w:val="1"/>
    <w:link w:val="4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6">
    <w:name w:val="明显引用 字符"/>
    <w:basedOn w:val="25"/>
    <w:link w:val="45"/>
    <w:qFormat/>
    <w:uiPriority w:val="30"/>
    <w:rPr>
      <w:i/>
      <w:iCs/>
      <w:color w:val="104862" w:themeColor="accent1" w:themeShade="BF"/>
    </w:rPr>
  </w:style>
  <w:style w:type="character" w:customStyle="1" w:styleId="47">
    <w:name w:val="Intense Reference"/>
    <w:basedOn w:val="25"/>
    <w:qFormat/>
    <w:uiPriority w:val="32"/>
    <w:rPr>
      <w:b/>
      <w:bCs/>
      <w:smallCaps/>
      <w:color w:val="104862" w:themeColor="accent1" w:themeShade="BF"/>
      <w:spacing w:val="5"/>
    </w:rPr>
  </w:style>
  <w:style w:type="character" w:customStyle="1" w:styleId="48">
    <w:name w:val="页眉 字符"/>
    <w:basedOn w:val="25"/>
    <w:link w:val="15"/>
    <w:qFormat/>
    <w:uiPriority w:val="99"/>
    <w:rPr>
      <w:sz w:val="18"/>
      <w:szCs w:val="18"/>
    </w:rPr>
  </w:style>
  <w:style w:type="character" w:customStyle="1" w:styleId="49">
    <w:name w:val="页脚 字符"/>
    <w:basedOn w:val="25"/>
    <w:link w:val="14"/>
    <w:qFormat/>
    <w:uiPriority w:val="99"/>
    <w:rPr>
      <w:sz w:val="18"/>
      <w:szCs w:val="18"/>
    </w:rPr>
  </w:style>
  <w:style w:type="paragraph" w:customStyle="1" w:styleId="50">
    <w:name w:val="Revision"/>
    <w:hidden/>
    <w:semiHidden/>
    <w:qFormat/>
    <w:uiPriority w:val="99"/>
    <w:pPr>
      <w:spacing w:after="0" w:line="240" w:lineRule="auto"/>
    </w:pPr>
    <w:rPr>
      <w:rFonts w:ascii="Times New Roman" w:hAnsi="Times New Roman" w:eastAsia="仿宋" w:cstheme="minorBidi"/>
      <w:kern w:val="2"/>
      <w:sz w:val="30"/>
      <w:szCs w:val="24"/>
      <w:lang w:val="en-US" w:eastAsia="zh-CN" w:bidi="ar-SA"/>
      <w14:ligatures w14:val="standardContextual"/>
    </w:rPr>
  </w:style>
  <w:style w:type="paragraph" w:customStyle="1" w:styleId="51">
    <w:name w:val="表标题"/>
    <w:basedOn w:val="1"/>
    <w:next w:val="1"/>
    <w:link w:val="52"/>
    <w:qFormat/>
    <w:uiPriority w:val="0"/>
    <w:pPr>
      <w:keepNext/>
      <w:spacing w:before="50" w:beforeLines="50"/>
      <w:ind w:firstLine="0" w:firstLineChars="0"/>
      <w:jc w:val="center"/>
      <w:outlineLvl w:val="3"/>
    </w:pPr>
    <w:rPr>
      <w:sz w:val="24"/>
    </w:rPr>
  </w:style>
  <w:style w:type="character" w:customStyle="1" w:styleId="52">
    <w:name w:val="表标题 字符"/>
    <w:basedOn w:val="25"/>
    <w:link w:val="51"/>
    <w:qFormat/>
    <w:uiPriority w:val="0"/>
    <w:rPr>
      <w:rFonts w:ascii="Times New Roman" w:hAnsi="Times New Roman" w:eastAsia="仿宋_GB2312"/>
      <w:sz w:val="24"/>
    </w:rPr>
  </w:style>
  <w:style w:type="character" w:customStyle="1" w:styleId="53">
    <w:name w:val="脚注文本 字符"/>
    <w:basedOn w:val="25"/>
    <w:link w:val="18"/>
    <w:semiHidden/>
    <w:qFormat/>
    <w:uiPriority w:val="99"/>
    <w:rPr>
      <w:rFonts w:ascii="宋体" w:hAnsi="宋体" w:eastAsia="宋体" w:cs="宋体"/>
      <w:kern w:val="0"/>
      <w:sz w:val="18"/>
      <w:szCs w:val="18"/>
      <w14:ligatures w14:val="none"/>
    </w:rPr>
  </w:style>
  <w:style w:type="paragraph" w:customStyle="1" w:styleId="54">
    <w:name w:val="图标题"/>
    <w:basedOn w:val="51"/>
    <w:next w:val="1"/>
    <w:link w:val="55"/>
    <w:qFormat/>
    <w:uiPriority w:val="0"/>
    <w:pPr>
      <w:spacing w:before="0" w:beforeLines="0" w:after="50" w:afterLines="50"/>
    </w:pPr>
    <w:rPr>
      <w:rFonts w:cs="Times New Roman"/>
    </w:rPr>
  </w:style>
  <w:style w:type="character" w:customStyle="1" w:styleId="55">
    <w:name w:val="图标题 字符"/>
    <w:basedOn w:val="52"/>
    <w:link w:val="54"/>
    <w:qFormat/>
    <w:uiPriority w:val="0"/>
    <w:rPr>
      <w:rFonts w:ascii="Times New Roman" w:hAnsi="Times New Roman" w:eastAsia="仿宋_GB2312" w:cs="Times New Roman"/>
      <w:sz w:val="24"/>
    </w:rPr>
  </w:style>
  <w:style w:type="character" w:customStyle="1" w:styleId="56">
    <w:name w:val="批注文字 字符"/>
    <w:basedOn w:val="25"/>
    <w:link w:val="11"/>
    <w:qFormat/>
    <w:uiPriority w:val="99"/>
    <w:rPr>
      <w:rFonts w:ascii="Times New Roman" w:hAnsi="Times New Roman" w:eastAsia="仿宋_GB2312"/>
      <w:sz w:val="30"/>
    </w:rPr>
  </w:style>
  <w:style w:type="character" w:customStyle="1" w:styleId="57">
    <w:name w:val="批注主题 字符"/>
    <w:basedOn w:val="56"/>
    <w:link w:val="22"/>
    <w:semiHidden/>
    <w:qFormat/>
    <w:uiPriority w:val="99"/>
    <w:rPr>
      <w:rFonts w:ascii="Times New Roman" w:hAnsi="Times New Roman" w:eastAsia="仿宋_GB2312"/>
      <w:b/>
      <w:bCs/>
      <w:sz w:val="30"/>
    </w:rPr>
  </w:style>
  <w:style w:type="paragraph" w:customStyle="1" w:styleId="58">
    <w:name w:val="图"/>
    <w:basedOn w:val="1"/>
    <w:link w:val="59"/>
    <w:qFormat/>
    <w:uiPriority w:val="0"/>
    <w:pPr>
      <w:keepNext/>
      <w:ind w:firstLine="0" w:firstLineChars="0"/>
    </w:pPr>
  </w:style>
  <w:style w:type="character" w:customStyle="1" w:styleId="59">
    <w:name w:val="图 字符"/>
    <w:basedOn w:val="25"/>
    <w:link w:val="58"/>
    <w:qFormat/>
    <w:uiPriority w:val="0"/>
    <w:rPr>
      <w:rFonts w:ascii="Times New Roman" w:hAnsi="Times New Roman" w:eastAsia="仿宋_GB2312"/>
      <w:sz w:val="30"/>
    </w:rPr>
  </w:style>
  <w:style w:type="paragraph" w:customStyle="1" w:styleId="60">
    <w:name w:val="标题4"/>
    <w:basedOn w:val="1"/>
    <w:next w:val="1"/>
    <w:link w:val="61"/>
    <w:qFormat/>
    <w:uiPriority w:val="0"/>
    <w:pPr>
      <w:keepNext/>
      <w:outlineLvl w:val="3"/>
    </w:pPr>
    <w:rPr>
      <w:rFonts w:cs="Times New Roman"/>
      <w:b/>
    </w:rPr>
  </w:style>
  <w:style w:type="character" w:customStyle="1" w:styleId="61">
    <w:name w:val="标题4 字符"/>
    <w:basedOn w:val="25"/>
    <w:link w:val="60"/>
    <w:qFormat/>
    <w:uiPriority w:val="0"/>
    <w:rPr>
      <w:rFonts w:ascii="Times New Roman" w:hAnsi="Times New Roman" w:eastAsia="仿宋_GB2312" w:cs="Times New Roman"/>
      <w:b/>
      <w:sz w:val="32"/>
    </w:rPr>
  </w:style>
  <w:style w:type="paragraph" w:customStyle="1" w:styleId="62">
    <w:name w:val="TOC 标题2"/>
    <w:basedOn w:val="2"/>
    <w:next w:val="1"/>
    <w:unhideWhenUsed/>
    <w:qFormat/>
    <w:uiPriority w:val="39"/>
    <w:pPr>
      <w:spacing w:before="240" w:after="0" w:line="259" w:lineRule="auto"/>
      <w:ind w:firstLine="0" w:firstLineChars="0"/>
      <w:jc w:val="left"/>
      <w:outlineLvl w:val="9"/>
    </w:pPr>
    <w:rPr>
      <w:rFonts w:asciiTheme="majorHAnsi" w:hAnsiTheme="majorHAnsi" w:eastAsiaTheme="majorEastAsia"/>
      <w:b w:val="0"/>
      <w:color w:val="104862" w:themeColor="accent1" w:themeShade="BF"/>
      <w:kern w:val="0"/>
      <w:szCs w:val="32"/>
      <w14:ligatures w14:val="none"/>
    </w:rPr>
  </w:style>
  <w:style w:type="character" w:customStyle="1" w:styleId="63">
    <w:name w:val="Unresolved Mention"/>
    <w:basedOn w:val="2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611</Words>
  <Characters>648</Characters>
  <Lines>303</Lines>
  <Paragraphs>85</Paragraphs>
  <TotalTime>109</TotalTime>
  <ScaleCrop>false</ScaleCrop>
  <LinksUpToDate>false</LinksUpToDate>
  <CharactersWithSpaces>687</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2025-04-22T04:06:00Z</dcterms:created>
  <dc:creator>Suzy Fan</dc:creator>
  <cp:lastModifiedBy>mhxc</cp:lastModifiedBy>
  <cp:lastPrinted>2025-09-25T05:06:00Z</cp:lastPrinted>
  <dcterms:modified xsi:type="dcterms:W3CDTF">2026-06-01T10:53:12Z</dcterms:modified>
  <cp:revision>15030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eyJoZGlkIjoiMDVjYmRkYWE5N2Y3MzAxNzc0M2U1MjNkOWEzMDdkOTQiLCJ1c2VySWQiOiI1NTQ4NzAxODYifQ==</vt:lpwstr>
  </property>
  <property fmtid="{D5CDD505-2E9C-101B-9397-08002B2CF9AE}" pid="3" name="KSOProductBuildVer">
    <vt:lpwstr>2052-11.8.2.10953</vt:lpwstr>
  </property>
  <property fmtid="{D5CDD505-2E9C-101B-9397-08002B2CF9AE}" pid="4" name="ICV">
    <vt:lpwstr>923004074BC043879FE0A2B630BBC6DC_13</vt:lpwstr>
  </property>
</Properties>
</file>