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23E9">
      <w:pPr>
        <w:pStyle w:val="17"/>
        <w:widowControl/>
      </w:pPr>
      <mc:AlternateContent>
        <mc:Choice Requires="wpsCustomData">
          <wpsCustomData:docfieldStart id="0" docfieldname="标题_1" hidden="0" print="1" readonly="0" index="4"/>
        </mc:Choice>
      </mc:AlternateContent>
      <w:r>
        <w:t>《关于协同打造上海市商业航天“火箭星城”行动方案（征求意见稿）》</w:t>
      </w:r>
      <w:r>
        <w:br w:type="textWrapping"/>
      </w:r>
      <w:r>
        <w:t>草案解读</w:t>
      </w:r>
      <mc:AlternateContent>
        <mc:Choice Requires="wpsCustomData">
          <wpsCustomData:docfieldEnd id="0"/>
        </mc:Choice>
      </mc:AlternateContent>
    </w:p>
    <w:p w14:paraId="0E0D676E">
      <w:pPr>
        <w:pStyle w:val="12"/>
        <w:bidi w:val="0"/>
        <w:spacing w:beforeAutospacing="0" w:afterAutospacing="0" w:line="300" w:lineRule="exact"/>
      </w:pPr>
    </w:p>
    <w:p w14:paraId="069F2B45">
      <w:pPr>
        <w:pStyle w:val="12"/>
        <w:widowControl/>
        <w:rPr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根据《</w:t>
      </w:r>
      <w:r>
        <w:rPr>
          <w:rFonts w:ascii="仿宋_GB2312" w:hAnsi="仿宋_GB2312" w:eastAsia="仿宋_GB2312" w:cs="仿宋_GB2312"/>
          <w:sz w:val="32"/>
          <w:szCs w:val="32"/>
        </w:rPr>
        <w:t>上海市关于加快培育商业航天先进制造业集群的若干措施》总体部署，上海市经济和信息化委员会联合闵行区人民政府、上海航天技术研究院、中国商业火箭公司，聚焦商业航天赛道，联合打造上海市商业航天“火箭星城”。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区经委牵头研究制订了《关于协同打造上海市商业航天“火箭星城”行动方案（征求意见稿）》（以下简称“</w:t>
      </w:r>
      <w:r>
        <w:rPr>
          <w:rFonts w:ascii="仿宋_GB2312" w:hAnsi="仿宋_GB2312" w:eastAsia="仿宋_GB2312" w:cs="仿宋_GB2312"/>
          <w:b w:val="0"/>
          <w:sz w:val="32"/>
          <w:szCs w:val="32"/>
          <w:highlight w:val="none"/>
        </w:rPr>
        <w:t>《行动方案》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highlight w:val="none"/>
        </w:rPr>
        <w:t>”）。</w:t>
      </w:r>
    </w:p>
    <w:p w14:paraId="47E75542">
      <w:pPr>
        <w:pStyle w:val="12"/>
        <w:widowControl/>
        <w:rPr>
          <w:rFonts w:ascii="仿宋_GB2312" w:hAnsi="仿宋_GB2312" w:eastAsia="仿宋_GB2312" w:cs="仿宋_GB2312"/>
          <w:b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sz w:val="32"/>
          <w:szCs w:val="32"/>
          <w:highlight w:val="none"/>
        </w:rPr>
        <w:t>现就《行动方案》作如下解读：</w:t>
      </w:r>
    </w:p>
    <w:p w14:paraId="72F5F0FB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“火箭星城”的总体战略定位和核心目标是什么？</w:t>
      </w:r>
    </w:p>
    <w:p w14:paraId="21EF5EA5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战略定位为建设国家级商业航天产业创新示范区、全球商业航天技术策源地。核心目标是：到2030年，具备150发商业火箭发射服务能力和年产500颗商业卫星制造能力，商业航天产业规模不低于380亿元，航天产业整体规模不低于1000亿元；集聚国际竞争力龙头企业，打造“技术创新策源地、科技成果转化地、高端制造集聚地”。</w:t>
      </w:r>
    </w:p>
    <w:p w14:paraId="15D5E8FA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方案重点布局哪些核心发展领域？各领域的关键方向是什么？</w:t>
      </w:r>
    </w:p>
    <w:p w14:paraId="1DEE69E6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重点布局四大核心领域，具体方向如下：</w:t>
      </w:r>
    </w:p>
    <w:p w14:paraId="3595991F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25"/>
        </w:rPr>
        <w:t>商业火箭</w:t>
      </w:r>
      <w:r>
        <w:rPr>
          <w:rFonts w:ascii="仿宋_GB2312" w:hAnsi="仿宋_GB2312" w:eastAsia="仿宋_GB2312" w:cs="仿宋_GB2312"/>
          <w:sz w:val="32"/>
          <w:szCs w:val="32"/>
        </w:rPr>
        <w:t>：突破可重复使用火箭关键技术（液氧甲烷／煤油发动机、返回控制系统等），形成系列化重复使用产品；推进4.37米直径液氧煤油单芯级火箭首飞，2026年实现火箭入轨回收复飞技术验证。</w:t>
      </w:r>
    </w:p>
    <w:p w14:paraId="3AD99D3A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25"/>
        </w:rPr>
        <w:t>商业卫星</w:t>
      </w:r>
      <w:r>
        <w:rPr>
          <w:rFonts w:ascii="仿宋_GB2312" w:hAnsi="仿宋_GB2312" w:eastAsia="仿宋_GB2312" w:cs="仿宋_GB2312"/>
          <w:sz w:val="32"/>
          <w:szCs w:val="32"/>
        </w:rPr>
        <w:t>：突破卫星平台及载荷技术（星载相控阵天线、星间激光通信终端等），研制手机直连卫星；布局天基算力，探索星上智能处理与在轨计算能力。</w:t>
      </w:r>
    </w:p>
    <w:p w14:paraId="594142C8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智能终端：攻关卫星终端产业化技术，发展多频段终端模组，研制通导融合终端、手机直连终端等系列化产品；形成“通导遥＋物联”融合的智能终端体系。</w:t>
      </w:r>
    </w:p>
    <w:p w14:paraId="35225676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应用服务：实现智能驾驶、城市治理等6大领域规模应用，推动飞机、邮轮等4大领域国内率先示范；构建卫星数据服务平台，形成“数据－算力－工具－应用”完整产业体系。</w:t>
      </w:r>
    </w:p>
    <w:p w14:paraId="06122AF1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“火箭星城”的空间布局如何规划？“一核一廊”具体指什么？</w:t>
      </w:r>
    </w:p>
    <w:p w14:paraId="703A8739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空间布局构建“一核一廊”协同发展新格局：</w:t>
      </w:r>
    </w:p>
    <w:p w14:paraId="0E18D656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25"/>
        </w:rPr>
        <w:t>“一核”驱动</w:t>
      </w:r>
      <w:r>
        <w:rPr>
          <w:rFonts w:ascii="仿宋_GB2312" w:hAnsi="仿宋_GB2312" w:eastAsia="仿宋_GB2312" w:cs="仿宋_GB2312"/>
          <w:b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以“上海市商业航天火箭星城”为核心，按“创新策源区—产业核心区—产业拓展区”三区联动布局： 创新策源区（约1平方公里）：依托航天八院、高校等，提供人才、科研、技术孵化支撑。产业核心区（约8.3平方公里）：位于莘庄工业区，是产业主要承载地，建设特色园区及联合创新中心、技术服务中心等六大中心。产业拓展区（约6平方公里）：结合江川路街道、浦江镇等存量用地，引进骨干企业及配套企业，布局火箭制造、卫星研发等产业。</w:t>
      </w:r>
    </w:p>
    <w:p w14:paraId="6074D6DD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25"/>
        </w:rPr>
        <w:t>“一廊”联动</w:t>
      </w:r>
      <w:r>
        <w:rPr>
          <w:rFonts w:ascii="仿宋_GB2312" w:hAnsi="仿宋_GB2312" w:eastAsia="仿宋_GB2312" w:cs="仿宋_GB2312"/>
          <w:sz w:val="32"/>
          <w:szCs w:val="32"/>
        </w:rPr>
        <w:t>：打造“华宁路航天产业走廊”，串联“北翼—南翼—一港”： 北翼：聚焦火箭总体设计、核心部组件研发，打造研发试验与核心产品产业园。南翼：依托航天设备总厂等，定位火箭、卫星总装总测与大型结构件制造基地。一港：依托临沧路黄浦江码头，提供箭体存放、运输等“江海联动”保障。</w:t>
      </w:r>
    </w:p>
    <w:p w14:paraId="1C13EF58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为实现目标，方案提出了哪些重点推进措施？</w:t>
      </w:r>
    </w:p>
    <w:p w14:paraId="787F8DFF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重点措施包括三大方面：</w:t>
      </w:r>
    </w:p>
    <w:p w14:paraId="00559159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22"/>
          <w:rFonts w:ascii="仿宋_GB2312" w:hAnsi="仿宋_GB2312" w:eastAsia="仿宋_GB2312" w:cs="仿宋_GB2312"/>
          <w:sz w:val="32"/>
          <w:szCs w:val="32"/>
        </w:rPr>
        <w:t>总装测试能力</w:t>
      </w:r>
      <w:r>
        <w:rPr>
          <w:rFonts w:ascii="仿宋_GB2312" w:hAnsi="仿宋_GB2312" w:eastAsia="仿宋_GB2312" w:cs="仿宋_GB2312"/>
          <w:sz w:val="32"/>
          <w:szCs w:val="32"/>
        </w:rPr>
        <w:t>：建设智能制造生产线，打造装测发一体化体系，支撑火箭全生命周期产业链。</w:t>
      </w:r>
    </w:p>
    <w:p w14:paraId="5FA67E5A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22"/>
          <w:rFonts w:ascii="仿宋_GB2312" w:hAnsi="仿宋_GB2312" w:eastAsia="仿宋_GB2312" w:cs="仿宋_GB2312"/>
          <w:sz w:val="32"/>
          <w:szCs w:val="32"/>
        </w:rPr>
        <w:t>海上发射能力</w:t>
      </w:r>
      <w:r>
        <w:rPr>
          <w:rFonts w:ascii="仿宋_GB2312" w:hAnsi="仿宋_GB2312" w:eastAsia="仿宋_GB2312" w:cs="仿宋_GB2312"/>
          <w:sz w:val="32"/>
          <w:szCs w:val="32"/>
        </w:rPr>
        <w:t>：构建移动式发射能力，突破内陆发射限制，提供标准化、一站式商业发射服务。</w:t>
      </w:r>
    </w:p>
    <w:p w14:paraId="0165E73F">
      <w:pPr>
        <w:pStyle w:val="12"/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22"/>
          <w:rFonts w:ascii="仿宋_GB2312" w:hAnsi="仿宋_GB2312" w:eastAsia="仿宋_GB2312" w:cs="仿宋_GB2312"/>
          <w:sz w:val="32"/>
          <w:szCs w:val="32"/>
        </w:rPr>
        <w:t>回收复用能力</w:t>
      </w:r>
      <w:r>
        <w:rPr>
          <w:rFonts w:ascii="仿宋_GB2312" w:hAnsi="仿宋_GB2312" w:eastAsia="仿宋_GB2312" w:cs="仿宋_GB2312"/>
          <w:sz w:val="32"/>
          <w:szCs w:val="32"/>
        </w:rPr>
        <w:t>：开展海上垂直起降、高精度导航等技术验证，实现“发射－回收－检测－复用”闭环，降低航天运输成本。</w:t>
      </w:r>
    </w:p>
    <w:p w14:paraId="6AA9298E">
      <w:pPr>
        <w:pStyle w:val="12"/>
        <w:widowControl/>
        <w:numPr>
          <w:ilvl w:val="0"/>
          <w:numId w:val="1"/>
        </w:numPr>
        <w:ind w:left="0" w:leftChars="0" w:firstLine="616" w:firstLineChars="0"/>
        <w:rPr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20"/>
          <w:rFonts w:ascii="仿宋_GB2312" w:hAnsi="仿宋_GB2312" w:eastAsia="仿宋_GB2312" w:cs="仿宋_GB2312"/>
          <w:sz w:val="32"/>
          <w:szCs w:val="32"/>
        </w:rPr>
        <w:t>打造科技创新与成果转化赋能平台</w:t>
      </w:r>
      <w:r>
        <w:rPr>
          <w:rFonts w:ascii="仿宋_GB2312" w:hAnsi="仿宋_GB2312" w:eastAsia="仿宋_GB2312" w:cs="仿宋_GB2312"/>
          <w:sz w:val="32"/>
          <w:szCs w:val="32"/>
        </w:rPr>
        <w:t>：建设联合创新中心（聚焦可重复使用火箭、高性能卫星等四大方向）、技术服务中心（提供设计仿真、中试试制等一站式服务）、成果孵化中心（构建“苗圃＋孵化器＋加速器”全链条孵化体系）。</w:t>
      </w:r>
    </w:p>
    <w:p w14:paraId="0615E7BA">
      <w:pPr>
        <w:pStyle w:val="12"/>
        <w:widowControl/>
        <w:numPr>
          <w:ilvl w:val="0"/>
          <w:numId w:val="1"/>
        </w:numPr>
        <w:ind w:left="0" w:leftChars="0" w:firstLine="616" w:firstLineChars="0"/>
        <w:rPr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20"/>
          <w:rFonts w:ascii="仿宋_GB2312" w:hAnsi="仿宋_GB2312" w:eastAsia="仿宋_GB2312" w:cs="仿宋_GB2312"/>
          <w:sz w:val="32"/>
          <w:szCs w:val="32"/>
        </w:rPr>
        <w:t>构建商业航天综合服务生态圈</w:t>
      </w:r>
      <w:r>
        <w:rPr>
          <w:rFonts w:ascii="仿宋_GB2312" w:hAnsi="仿宋_GB2312" w:eastAsia="仿宋_GB2312" w:cs="仿宋_GB2312"/>
          <w:sz w:val="32"/>
          <w:szCs w:val="32"/>
        </w:rPr>
        <w:t>：建设信息交流中心（举办峰会、路演等）、综合服务中心（提供行政办事、第三方专业服务）、人才培训中心（“理论—实训—实战”三阶培养）、科普文旅中心（打造沉浸式航天主题科普基地及特色文旅设施）。</w:t>
      </w:r>
    </w:p>
    <w:p w14:paraId="23A69D46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方案从哪些方面保障“火箭星城”建设落地？</w:t>
      </w:r>
    </w:p>
    <w:p w14:paraId="6AF97946">
      <w:pPr>
        <w:pStyle w:val="12"/>
        <w:widowControl/>
        <w:numPr>
          <w:ilvl w:val="0"/>
          <w:numId w:val="1"/>
        </w:numPr>
        <w:ind w:left="0" w:leftChars="0" w:firstLine="616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建立市、区相关部门及高校院所组成的工作协调机制，莘庄工业区管委会履行实施主体责任，市区联动推进。采用“政府引导企业运作、多方主体参与协作”模式，闵行区统筹管理，组建市场化产业平台公司负责核心平台运营。将项目纳入市、区“十五五”规划及央地合作框架；修订商业航天专项政策，支持天基算力等应用；优先落地重大项目，争取超长期国债及产业基金；探索人才落户特殊通道及科研成果转化激励模式；统筹医疗、教育等资源提升人才服务能力。</w:t>
      </w:r>
    </w:p>
    <w:p w14:paraId="33B51E9B"/>
    <w:p w14:paraId="5DED6165">
      <w:pPr>
        <w:pStyle w:val="12"/>
        <w:bidi w:val="0"/>
      </w:pPr>
    </w:p>
    <w:p w14:paraId="71660179">
      <w:pPr>
        <w:pStyle w:val="12"/>
        <w:bidi w:val="0"/>
      </w:pPr>
    </w:p>
    <w:p w14:paraId="7E81B1BC">
      <w:pPr>
        <w:pStyle w:val="12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B22A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10F42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3D10F42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3FB8D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6E5A3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F16E5A3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1FAC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003DA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C9A75"/>
    <w:multiLevelType w:val="singleLevel"/>
    <w:tmpl w:val="8A2C9A75"/>
    <w:lvl w:ilvl="0" w:tentative="0">
      <w:start w:val="1"/>
      <w:numFmt w:val="decimal"/>
      <w:suff w:val="space"/>
      <w:lvlText w:val=""/>
      <w:lvlJc w:val="left"/>
      <w:pPr>
        <w:ind w:left="0" w:firstLine="6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M2Y1N2M5NmVlNjhlYzVlMzNiMmUzZDJiNzMxOGUifQ=="/>
  </w:docVars>
  <w:rsids>
    <w:rsidRoot w:val="432D5FC0"/>
    <w:rsid w:val="432D5FC0"/>
    <w:rsid w:val="B3FDF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qFormat/>
    <w:uiPriority w:val="0"/>
    <w:pPr>
      <w:widowControl w:val="0"/>
      <w:spacing w:line="480" w:lineRule="auto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22">
    <w:name w:val="标题 2 Char"/>
    <w:qFormat/>
    <w:uiPriority w:val="0"/>
    <w:rPr>
      <w:rFonts w:ascii="楷体_GB2312" w:hAnsi="楷体_GB2312" w:eastAsia="楷体_GB2312" w:cs="楷体_GB2312"/>
      <w:sz w:val="32"/>
      <w:szCs w:val="32"/>
    </w:rPr>
  </w:style>
  <w:style w:type="character" w:customStyle="1" w:styleId="23">
    <w:name w:val="标题 1 Char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24">
    <w:name w:val="标题 1 Char1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25">
    <w:name w:val="标题 2 Char1"/>
    <w:link w:val="4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2026-06-02T15:22:00Z</dcterms:created>
  <dc:creator>葛洵炜</dc:creator>
  <cp:lastModifiedBy>mhxc</cp:lastModifiedBy>
  <dcterms:modified xsi:type="dcterms:W3CDTF">2026-06-03T09:28:53Z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322CD83312814840A45472C12F2C2F23_11</vt:lpwstr>
  </property>
  <property fmtid="{D5CDD505-2E9C-101B-9397-08002B2CF9AE}" pid="4" name="KSOTemplateDocerSaveRecord">
    <vt:lpwstr>eyJoZGlkIjoiN2MxNGE5MTcwNWI3MWE4MTY0N2E0Mzg4ZGEyZGQwNGQiLCJ1c2VySWQiOiIzMzU0NTQxNjEifQ==</vt:lpwstr>
  </property>
</Properties>
</file>