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F130" w14:textId="77777777" w:rsidR="00C14579" w:rsidRDefault="00C14579" w:rsidP="00C14579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08687A75" w14:textId="77777777" w:rsidR="00C14579" w:rsidRDefault="00C14579" w:rsidP="00C14579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2B2EA0F0" w14:textId="77777777" w:rsidR="00C14579" w:rsidRDefault="00C14579" w:rsidP="00C14579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36E0E723" w14:textId="384500E2" w:rsidR="00C14579" w:rsidRDefault="00C14579" w:rsidP="00C14579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 w:rsidR="0041707D">
        <w:rPr>
          <w:rFonts w:ascii="仿宋" w:eastAsia="仿宋" w:hAnsi="仿宋"/>
          <w:sz w:val="32"/>
        </w:rPr>
        <w:t>1</w:t>
      </w:r>
      <w:r w:rsidR="000D6DBE">
        <w:rPr>
          <w:rFonts w:ascii="仿宋" w:eastAsia="仿宋" w:hAnsi="仿宋" w:hint="eastAsia"/>
          <w:sz w:val="32"/>
        </w:rPr>
        <w:t>2</w:t>
      </w:r>
      <w:r>
        <w:rPr>
          <w:rFonts w:ascii="仿宋" w:eastAsia="仿宋" w:hAnsi="仿宋" w:hint="eastAsia"/>
          <w:sz w:val="32"/>
        </w:rPr>
        <w:t>号</w:t>
      </w:r>
    </w:p>
    <w:p w14:paraId="6D0FFC49" w14:textId="77777777" w:rsidR="00C14579" w:rsidRDefault="00C14579" w:rsidP="00C14579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194E5CCE" w14:textId="76777685" w:rsidR="00C14579" w:rsidRDefault="00C14579" w:rsidP="00C14579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 w:rsidR="0041707D" w:rsidRPr="0041707D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爱博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6E4B0E0B" w14:textId="77777777" w:rsidR="00C14579" w:rsidRDefault="00C14579" w:rsidP="00C14579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5066B993" w14:textId="2BEAAE1F" w:rsidR="00C14579" w:rsidRDefault="00C14579" w:rsidP="00C14579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41707D" w:rsidRPr="0041707D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爱博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0FEA26BB" w14:textId="6C04B7BA" w:rsidR="00C14579" w:rsidRDefault="00C14579" w:rsidP="00C14579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41707D" w:rsidRPr="0041707D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爱博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24DC7DBF" w14:textId="77777777" w:rsidR="00C14579" w:rsidRDefault="00C14579" w:rsidP="00C14579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39D0C980" w14:textId="3E85DEA8" w:rsidR="00C14579" w:rsidRDefault="00C14579" w:rsidP="00C14579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41707D" w:rsidRPr="0041707D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爱博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19CF076C" w14:textId="77777777" w:rsidR="00C14579" w:rsidRPr="00AD5969" w:rsidRDefault="00C14579" w:rsidP="00C14579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365C7E7F" w14:textId="77777777" w:rsidR="00C14579" w:rsidRDefault="00C14579" w:rsidP="00C14579">
      <w:pPr>
        <w:pStyle w:val="ab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27CCB648" w14:textId="57732909" w:rsidR="00C14579" w:rsidRDefault="00C14579" w:rsidP="00C14579">
      <w:pPr>
        <w:pStyle w:val="ab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29068E27" w14:textId="77777777" w:rsidR="0041707D" w:rsidRDefault="0041707D" w:rsidP="00C14579">
      <w:pPr>
        <w:spacing w:after="80" w:line="500" w:lineRule="exact"/>
        <w:ind w:firstLineChars="100" w:firstLine="280"/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</w:pPr>
    </w:p>
    <w:p w14:paraId="7379BD92" w14:textId="30BBA06F" w:rsidR="00C14579" w:rsidRDefault="00C14579" w:rsidP="00C14579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DB6A17D" wp14:editId="725E1000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5A1FB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206A8CF1" w14:textId="54FFAC4F" w:rsidR="00C14579" w:rsidRDefault="00C14579" w:rsidP="00C14579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抄送：闵行区人民政府办公室、新虹街道、上海市闵行区教育局</w:t>
      </w:r>
    </w:p>
    <w:p w14:paraId="32ADB99E" w14:textId="5427B18E" w:rsidR="00C14579" w:rsidRDefault="00C14579" w:rsidP="00C14579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D98B6CE" wp14:editId="06A9B868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31556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81430C5" wp14:editId="799FB7E0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8DEEA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              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6120B8B1" w14:textId="77777777" w:rsidR="00C14579" w:rsidRPr="00C14579" w:rsidRDefault="00C14579" w:rsidP="00C14579">
      <w:pPr>
        <w:widowControl/>
        <w:spacing w:line="360" w:lineRule="auto"/>
        <w:jc w:val="left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2"/>
          <w:szCs w:val="32"/>
        </w:rPr>
      </w:pPr>
      <w:r w:rsidRPr="00C14579"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2"/>
          <w:szCs w:val="32"/>
        </w:rPr>
        <w:lastRenderedPageBreak/>
        <w:t>附件</w:t>
      </w:r>
    </w:p>
    <w:p w14:paraId="78585BC4" w14:textId="6F63C245" w:rsidR="003B1F02" w:rsidRDefault="008E449C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上海市闵行区爱博幼儿园</w:t>
      </w:r>
      <w:r>
        <w:rPr>
          <w:rFonts w:ascii="仿宋" w:eastAsia="仿宋" w:hAnsi="仿宋" w:hint="eastAsia"/>
          <w:b/>
          <w:bCs/>
          <w:color w:val="000000" w:themeColor="text1"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水平（2021—2026）</w:t>
      </w:r>
    </w:p>
    <w:p w14:paraId="1B938C04" w14:textId="77777777" w:rsidR="003B1F02" w:rsidRDefault="008E449C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综合督导意见书</w:t>
      </w:r>
    </w:p>
    <w:p w14:paraId="62E848CA" w14:textId="77777777" w:rsidR="003B1F02" w:rsidRDefault="008E449C">
      <w:pPr>
        <w:widowControl/>
        <w:ind w:firstLineChars="200" w:firstLine="560"/>
        <w:jc w:val="lef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教育部《幼儿园办园行为督导评估办法》和</w:t>
      </w:r>
      <w:r>
        <w:rPr>
          <w:rFonts w:ascii="仿宋" w:eastAsia="仿宋" w:hAnsi="仿宋" w:cs="仿宋"/>
          <w:color w:val="000000" w:themeColor="text1"/>
          <w:kern w:val="0"/>
          <w:sz w:val="28"/>
          <w:szCs w:val="28"/>
          <w:lang w:bidi="ar"/>
        </w:rPr>
        <w:t>《上海市教育督导条例》，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闵行区人民政府教育督导室于2026年5月12日对上海市爱博幼儿园办园水平（2021-2026）进行了实地督导评估。实地督导前，督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导组审核幼儿园提交的材料；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对园内51名教职工以及231位家长进行问卷调查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。实地督导期间，督导组通过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听取毛奕园长自评汇报，察看园容园貌、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现场查阅资料、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观摩一日活动各个环节，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园长、中层干部、教研组长、教师以及三大员共32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人次。</w:t>
      </w:r>
    </w:p>
    <w:p w14:paraId="223FCDB1" w14:textId="77777777" w:rsidR="003B1F02" w:rsidRDefault="008E449C">
      <w:pPr>
        <w:spacing w:line="360" w:lineRule="auto"/>
        <w:ind w:firstLineChars="200" w:firstLine="562"/>
        <w:rPr>
          <w:rStyle w:val="a8"/>
          <w:rFonts w:ascii="仿宋" w:eastAsia="仿宋" w:hAnsi="仿宋" w:cs="仿宋_GB2312" w:hint="eastAsia"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/>
          <w:b/>
          <w:bCs/>
          <w:color w:val="000000" w:themeColor="text1"/>
          <w:sz w:val="28"/>
          <w:szCs w:val="28"/>
          <w:lang w:val="zh-TW" w:eastAsia="zh-TW"/>
        </w:rPr>
        <w:t>综合分析各类信息，督导组认为：</w:t>
      </w:r>
      <w:r>
        <w:rPr>
          <w:rStyle w:val="a8"/>
          <w:rFonts w:ascii="仿宋" w:eastAsia="仿宋" w:hAnsi="仿宋" w:cs="仿宋_GB2312" w:hint="eastAsia"/>
          <w:color w:val="000000" w:themeColor="text1"/>
          <w:sz w:val="28"/>
          <w:szCs w:val="28"/>
          <w:lang w:val="zh-TW"/>
        </w:rPr>
        <w:t>爱博幼儿园坚持党建引领，办园理念正确；师资配置达标，师德师风端正；课程特色鲜明，幼儿发展良好；资源配置达标、安全教育落实；保健人员专业，食堂管理优质；挖掘社区资源，推进家园共育。但是，在规划目标与弱势匹配、课程体系表述、教研科研效能、骨干教师培养、保教实施质量提升、监控机制完善、硬件设施隐患、膳食管理、特殊幼儿照护精细化等方面仍有进一步提升的空间。</w:t>
      </w:r>
    </w:p>
    <w:p w14:paraId="474D3BB6" w14:textId="77777777" w:rsidR="003B1F02" w:rsidRDefault="008E449C">
      <w:pPr>
        <w:widowControl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3B1F02" w:rsidRDefault="008E449C">
      <w:pPr>
        <w:widowControl/>
        <w:ind w:firstLineChars="200" w:firstLine="562"/>
        <w:jc w:val="left"/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一、主要做法与成效</w:t>
      </w:r>
    </w:p>
    <w:p w14:paraId="38EBA937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（一）党建领航强根基，理念铸魂明方向</w:t>
      </w:r>
    </w:p>
    <w:p w14:paraId="7F64E032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 xml:space="preserve">  幼儿园严格落实党组织领导下的园长负责制，健全议事规则与“三重一大”决策机制，构建决策、执行、监督闭环管理，确保办园方向正确、运行有序、管理规范。坚持政治引领，严肃组织生活，强化党员教育管理与思想动态监测，在人员调整、办园转型关键时期稳定队伍、凝聚共识。深化党建带群建，持续加强师德师风建设，弘扬教育家精神，筑牢师德底线，营造和谐向善、风清气正的育人氛围。推动党建工作与保教、课程、家园共育、安全管理相融合，以党建赋能内涵建设与质量提升。办园理念内涵丰富、价值引领鲜明，确立“友爱悦纳，创行博识”核心理念，传承“爱与和”校园文化，凝聚团队共识、稳定发展局面。理念贯穿园所管理、教师成长、课程建设、家园共育全过程，推动园所管理走向民主规范、人文温暖，促进教师以德为先、专业精进、自主成长，引领课程向“博视野”转型、体现全域育人格局，带动家园社协同共育、形成开放包容育人生态，有效破解发展瓶颈，支撑幼儿园内涵提质与高质量可持续发展。</w:t>
      </w:r>
    </w:p>
    <w:p w14:paraId="1820716F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（二）师资配置较均衡，师德建设有举措</w:t>
      </w:r>
    </w:p>
    <w:p w14:paraId="08C76185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全园教职员工51名，在编33人、非编18人，持证率100%；专任教师32人，本科学历占比100%，一级教师占比63%、二级教师31%、高级教师6%，区级及园级骨干教师占比12.5%，职称结构合理。“三大员”队伍配置充足，保健员均具备一级教师职称，高级保育员占比75%、高级营养员占比50%，69%的教职工持有育婴师证书，专业资质过硬、后勤队伍稳定且专业。幼儿园构建了“制度约束、警示教育、多维评价”的师德管理体系，签订师德承诺书、建立个人师德档案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实行师德“一票否决制”，实现师德零投诉、零失范；常态化开展榜样分享、初心故事、师德读书等活动，弘扬教育家精神，凝聚立德树人共识，营造敬业奉献、潜心育人的良好氛围。幼儿园打造“骨干引领、成熟中坚、青年跟进”阶梯式培养模式，通过外出研修、同课异构、跟岗学习、专题培训等多元方式，促进骨干教师提升辐射引领力、成熟教师增强教学创新力、青年教师加快专业成长。重视后勤队伍专业发展，以赛促练、以学促升，推动保育员、营养员从经验型向专业型转型。</w:t>
      </w:r>
    </w:p>
    <w:p w14:paraId="57B284D2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（三）家园同心聚合力，社校联动拓空间</w:t>
      </w:r>
    </w:p>
    <w:p w14:paraId="341B107C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构建园、年级、班级三级家委会，设立保教、保育、园务专项小组，职责清晰、分工协作，推动家长深度参与园所管理、课程实施、活动策划、安全监督等关键环节，家园关系从单向沟通转向协同共治、共建共享。立足不同年龄段、不同家庭的育儿需求，系统开设幼小衔接、习惯培养、亲子沟通、情绪管理等家长课程，线上线下结合开展专题讲座、开放观摩、亲子活动、一对一指导，兼顾普惠性与个性化，有效提升家长科学育儿能力，家长参与度、满意度持续提升。深度挖掘周边社区优质资源，与多家单位建立长期共建关系，构建“15分钟社区教育资源圈”；依托“博视野”课程开展“玩转家门口、行走大虹桥、放眼看中国”系列社会实践活动，让幼儿走进社区、亲近社会、开阔视野，丰富生活体验、培育家国情怀，推动社区资源与园本课程有机融合，探索常态化、课程化合作模式，促进资源从单次活动走向长效育人，形成家园社同向发力、协同赋能的良好育人格局。</w:t>
      </w:r>
    </w:p>
    <w:p w14:paraId="78F6CD42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（四）课程建设提质效，保教实施促发展</w:t>
      </w:r>
    </w:p>
    <w:p w14:paraId="0B4D8D3F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课程方案要素齐全、结构清晰，涵盖课程背景、目标、内容、实施、评价、管理等核心模块，形成“共同性课程+特色活动”稳定架构。打造“博视野”特色课程，以社区、区域、国家为梯度，设计生活化、体验化、探究化活动，促进幼儿开阔视野、自信表达、乐于探究。课程实施坚持理念先行、儿童为本，推动共同性课程与特色活动双向融合、相互赋能，共同性课程在主题延伸、项目生成中融入“博视野”理念，特色活动反哺共同性课程、丰富学习经验，实现课程内涵提质、实施路径创新。建立“监控—分析—指导—复盘—优化”闭环管理机制，园长、保教主任、教研组长构成常态化指导团队，通过半日调研、一日三巡、预约听课、环境督查等方式，高频督导、精准反馈、持续改进。教研工作主题明确、层层递进，近两年聚焦户外区域运动、博视野课程实施等关键问题，采用案例分析、头脑风暴、AI辅助、专题研讨等多元形式，直面教学痛点、破解实践难题。重视教研过程管理与成果梳理，通过问卷反馈、现场反思、经验提炼等方式，沉淀可复制、可推广的园本经验，促进教师专业能力持续提升。各类保教计划比较完备，作息安排合理，保障上午连续90分钟户外活动，设置大块面时段减少频繁转换，预留班本化弹性空间，让一日生活节奏适宜、动静结合。活动组织尊重儿童天性，运动环节充分利用场地与器械，兼顾安全与挑战；游戏活动突出幼儿自主，投放丰富低结构材料，支持探索、想象与创造；集体教学逻辑清晰、重难点明确，注重师幼互动、生生互动，引导幼儿主动参与、动手操作、合作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探究。幼儿在园情绪愉悦、安全感充足，乐于交往、礼貌友善，自理能力、运动能力、语言表达、探究意识发展良好；具备自主选择、合作协商、尝试试错、解决问题的能力，展现健康活泼、好奇乐群、友善合群、博闻广见的良好风貌，成长品质全面彰显。</w:t>
      </w:r>
    </w:p>
    <w:p w14:paraId="7F23BECA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（五）资源保障筑底线，卫生安全护成长</w:t>
      </w:r>
    </w:p>
    <w:p w14:paraId="789D97CA" w14:textId="77777777" w:rsidR="003B1F02" w:rsidRDefault="008E449C">
      <w:pPr>
        <w:widowControl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幼儿园园舍建筑、户外场地、绿化面积、生均指标均符合国家标准。创设凸显园本特色的棋类环境与专用活动室，课桌椅、照明、图书等设施设备配置规范，生均图书充足、复本合理，满足保教活动与幼儿发展需求。功能用房齐全，保健室、隔离室、厨房、熟食间、保育员操作室、传染病专消间等布局合理、设施达标，为保教工作开展提供坚实硬件保障。食品安全管理规范，组建膳食监督家长委员会，常态化家长陪餐、入园检查，食材采购、加工、留样全程规范、安全可控，幼儿园食堂获评“上海市百千示范性食堂”。校园安全坚持全覆盖、无死角，升级监控设备、新增摄像头，实现教室、活动室、午睡室、走廊等关键区域全覆盖；建立安全隐患台账、定期排查、及时整改，完善防台防汛、防暴恐、传染病、消防疏散等应急预案，常态化开展应急演练，筑牢校园安全防线。幼儿园打造资质齐全、专业过硬的保健团队，严格执行晨午检、全日观察、因病缺勤追踪、传染病报告处置等制度，实现健康管理全覆盖。消毒防病标准严格，创新二维码可视化操作，规范环境、物品、餐具消杀流程，健全传染病“早发现、早报告、早隔离、早处置”闭环机制，有效降低传染病风险。膳食营养科学合理，坚持带量食谱、营养核算、动态调整，确保营养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均衡、数据稳定；深化家园膳食共治，开放食堂监管，提升膳食质量与家长认可度。特殊幼儿照护精准暖心，全面摸排过敏、肥胖、发育迟缓、特殊体质幼儿，建立“一人一档”，制定个性化照护方案，动态监测、精准干预、家园协同。</w:t>
      </w:r>
    </w:p>
    <w:p w14:paraId="4858D322" w14:textId="77777777" w:rsidR="003B1F02" w:rsidRDefault="008E449C">
      <w:pPr>
        <w:widowControl/>
        <w:ind w:firstLineChars="200" w:firstLine="562"/>
        <w:jc w:val="left"/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 xml:space="preserve"> 二、</w:t>
      </w: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  <w:lang w:val="zh-TW" w:eastAsia="zh-TW"/>
        </w:rPr>
        <w:t>存在的主要问题与改进建议</w:t>
      </w:r>
    </w:p>
    <w:p w14:paraId="5E07A412" w14:textId="77777777" w:rsidR="003B1F02" w:rsidRDefault="008E449C">
      <w:pPr>
        <w:pStyle w:val="aa"/>
        <w:widowControl/>
        <w:numPr>
          <w:ilvl w:val="0"/>
          <w:numId w:val="1"/>
        </w:numPr>
        <w:spacing w:line="360" w:lineRule="auto"/>
        <w:ind w:firstLine="56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规划目标与弱项匹配需进一步精准</w:t>
      </w:r>
    </w:p>
    <w:p w14:paraId="66299FDD" w14:textId="77777777" w:rsidR="003B1F02" w:rsidRDefault="008E449C">
      <w:pPr>
        <w:pStyle w:val="aa"/>
        <w:spacing w:line="360" w:lineRule="auto"/>
        <w:ind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五年规划对管理、师资、保教、家园等弱势分析到位，但年度目标与短板不匹配，未形成“短板—目标—举措”对应链条；目标空泛、举措虚化，重创建、轻整改，规划落地性不强、问题整改不彻底，对中层不稳、年龄断层、非专比例高等核心痛点回应不足。</w:t>
      </w:r>
    </w:p>
    <w:p w14:paraId="5B8EEFB0" w14:textId="77777777" w:rsidR="003B1F02" w:rsidRDefault="008E449C">
      <w:pPr>
        <w:pStyle w:val="aa"/>
        <w:spacing w:line="360" w:lineRule="auto"/>
        <w:ind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全面复盘五年规划，以弱势清单逐条倒推年度目标、实施路径与考核指标；将六大核心短板转化为可落地、可验收、可问责的专项攻坚目标；建立闭环整改机制，明确整改时限、责任人和验收标准，推动规划从“文本完善”转向“问题破解”。</w:t>
      </w:r>
    </w:p>
    <w:p w14:paraId="7E6EC00A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（二）课程体系与教研科研效能需进一步提升</w:t>
      </w:r>
    </w:p>
    <w:p w14:paraId="3A5C1F1A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课程方案表述不够清晰，部分概念混淆，共同性课程、特色活动、“博视野”课程边界不清、落地路径不明；教研成果单薄，特色课程研究碎片化；课题研究龙头缺失、成果转化弱，教师科研参与度不高、畏难情绪明显，科研对实践反哺不足。</w:t>
      </w:r>
    </w:p>
    <w:p w14:paraId="30E2FDD9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统一课程表述为“共同性课程+特色活动”，明确“博视野”为课程实施原则与育人导向，细化双向融合路径；设立“博视野”专项课程组，聚焦一个教研主题，提炼关键经验、形成推广成果；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确立1—2项区级龙头课题，组建科研核心组、专家全程指导；推行“微课题、真问题”行动研究，简化流程、强化培训、完善激励，构建“问题—研究—实践”闭环。</w:t>
      </w:r>
    </w:p>
    <w:p w14:paraId="227AE4E4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（三）师资梯队与分层培养需进一步思考</w:t>
      </w:r>
    </w:p>
    <w:p w14:paraId="32565C62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骨干教师流失严重、梯队断层，超编问题影响队伍稳定；教师年龄结构老化、非专业占比高、职业倦怠明显；分层培养针对性不足，个性化支持弱，教师自主发展内驱力不强。</w:t>
      </w:r>
    </w:p>
    <w:p w14:paraId="48F952AA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健全骨干留存激励机制，在职称晋升、外出研修、评优评先上倾斜，赋予课题领衔、课程研发权责；完善教师个性化成长档案，分层定制培养方案，骨干重辐射、成熟重创新、青年重帮扶；加大非专业教师转型培训，开展倦怠干预；优化考核激励，将成长成果、教研贡献纳入考核，激发队伍活力。</w:t>
      </w:r>
    </w:p>
    <w:p w14:paraId="3D316867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（四）保教质量与监控机制需进一步闭环</w:t>
      </w:r>
    </w:p>
    <w:p w14:paraId="2AED4825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集体教学重难点定位不准、突破策略不足，有效性待提升；游戏材料角色类偏多、探究类单一，分享形式简单、思维碰撞不足；课程质量监控整改深度不够，无明确时限与反馈机制；教师过度依赖管理层，自主反思与改进能力弱、主体性不足。</w:t>
      </w:r>
    </w:p>
    <w:p w14:paraId="2086C514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深化幼儿发展研究，精准定位教学重难点，多采用动手操作、小组讨论等互动式教学；优化游戏材料结构，减少成品、增加低结构与探究类材料；丰富分享形式，增设小组、问题式、辩论式分享；建立“问题—优化—反馈”长效监控机制，明确整改时限、跟进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流程与验收标准；推行同伴观摩互评、家长参与评价，激发教师主体性，提升专业能力。</w:t>
      </w:r>
    </w:p>
    <w:p w14:paraId="45054078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（五）设施运维与保健管理需进一步关注</w:t>
      </w:r>
    </w:p>
    <w:p w14:paraId="4B7F526F" w14:textId="77777777" w:rsidR="003B1F02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硬件设施存在安全隐患，外墙大面积脱落、屋顶渗水、盥洗台盆开裂、音响设备故障，影响保教开展；膳食营养配比不精、月度营养素达标波动，营养管理闭环未落实；特殊幼儿干预方案针对性不足、家园协同薄弱，肥胖、发育迟缓幼儿干预成效不佳。</w:t>
      </w:r>
    </w:p>
    <w:p w14:paraId="146E309A" w14:textId="0DF1C98C" w:rsidR="003B1F02" w:rsidRPr="0041707D" w:rsidRDefault="008E449C">
      <w:pPr>
        <w:pStyle w:val="aa"/>
        <w:widowControl/>
        <w:spacing w:line="360" w:lineRule="auto"/>
        <w:ind w:firstLineChars="0" w:firstLine="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完善维修申请材料、再次上报专项维修，统筹公用经费设置临时防护；立即更换开裂台盆、检修或更换故障音响，建立设施日常巡检台账；建立膳食营养核算、调整、复盘闭环，细化管控标准、稳定达标率；落实特殊幼儿“一人一策”，定期监测调整方案；强化一对一精准指导，同步家园管护措施，提升干预实效。</w:t>
      </w:r>
    </w:p>
    <w:p w14:paraId="430385FB" w14:textId="56D9CE5D" w:rsidR="003B1F02" w:rsidRPr="0041707D" w:rsidRDefault="0041707D" w:rsidP="0041707D">
      <w:pPr>
        <w:pStyle w:val="aa"/>
        <w:widowControl/>
        <w:spacing w:line="360" w:lineRule="auto"/>
        <w:ind w:firstLineChars="0" w:firstLine="0"/>
        <w:jc w:val="right"/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 xml:space="preserve">                            </w:t>
      </w:r>
    </w:p>
    <w:sectPr w:rsidR="003B1F02" w:rsidRPr="0041707D">
      <w:footerReference w:type="default" r:id="rId7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CF10" w14:textId="77777777" w:rsidR="00A00D22" w:rsidRDefault="00A00D22" w:rsidP="00C14579">
      <w:r>
        <w:separator/>
      </w:r>
    </w:p>
  </w:endnote>
  <w:endnote w:type="continuationSeparator" w:id="0">
    <w:p w14:paraId="268551CE" w14:textId="77777777" w:rsidR="00A00D22" w:rsidRDefault="00A00D22" w:rsidP="00C1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6029292"/>
      <w:docPartObj>
        <w:docPartGallery w:val="Page Numbers (Bottom of Page)"/>
        <w:docPartUnique/>
      </w:docPartObj>
    </w:sdtPr>
    <w:sdtContent>
      <w:p w14:paraId="1C05DAF3" w14:textId="35704626" w:rsidR="00ED6CD3" w:rsidRDefault="00ED6C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6CD3">
          <w:rPr>
            <w:noProof/>
            <w:lang w:val="zh-CN"/>
          </w:rPr>
          <w:t>1</w:t>
        </w:r>
        <w:r>
          <w:fldChar w:fldCharType="end"/>
        </w:r>
      </w:p>
    </w:sdtContent>
  </w:sdt>
  <w:p w14:paraId="5822FDE3" w14:textId="77777777" w:rsidR="00ED6CD3" w:rsidRDefault="00ED6C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44D1D" w14:textId="77777777" w:rsidR="00A00D22" w:rsidRDefault="00A00D22" w:rsidP="00C14579">
      <w:r>
        <w:separator/>
      </w:r>
    </w:p>
  </w:footnote>
  <w:footnote w:type="continuationSeparator" w:id="0">
    <w:p w14:paraId="7076477A" w14:textId="77777777" w:rsidR="00A00D22" w:rsidRDefault="00A00D22" w:rsidP="00C14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DE13F9"/>
    <w:multiLevelType w:val="singleLevel"/>
    <w:tmpl w:val="FFDE13F9"/>
    <w:lvl w:ilvl="0">
      <w:start w:val="1"/>
      <w:numFmt w:val="chineseCounting"/>
      <w:suff w:val="nothing"/>
      <w:lvlText w:val="（%1）"/>
      <w:lvlJc w:val="left"/>
      <w:pPr>
        <w:ind w:left="562" w:firstLine="0"/>
      </w:pPr>
      <w:rPr>
        <w:rFonts w:hint="eastAsia"/>
      </w:rPr>
    </w:lvl>
  </w:abstractNum>
  <w:num w:numId="1" w16cid:durableId="112284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947FD"/>
    <w:rsid w:val="000B1526"/>
    <w:rsid w:val="000D6DBE"/>
    <w:rsid w:val="000E250B"/>
    <w:rsid w:val="00182F06"/>
    <w:rsid w:val="00270CE7"/>
    <w:rsid w:val="002C58F9"/>
    <w:rsid w:val="003153D3"/>
    <w:rsid w:val="00344518"/>
    <w:rsid w:val="003B1F02"/>
    <w:rsid w:val="004000B1"/>
    <w:rsid w:val="0041707D"/>
    <w:rsid w:val="00487740"/>
    <w:rsid w:val="00516B76"/>
    <w:rsid w:val="0055315C"/>
    <w:rsid w:val="005B3E17"/>
    <w:rsid w:val="005C5C15"/>
    <w:rsid w:val="0060515B"/>
    <w:rsid w:val="006C3B76"/>
    <w:rsid w:val="006E785C"/>
    <w:rsid w:val="007A10CE"/>
    <w:rsid w:val="008250A1"/>
    <w:rsid w:val="008410C1"/>
    <w:rsid w:val="008E449C"/>
    <w:rsid w:val="00970B27"/>
    <w:rsid w:val="009D67B1"/>
    <w:rsid w:val="009E71B5"/>
    <w:rsid w:val="00A00D22"/>
    <w:rsid w:val="00A16601"/>
    <w:rsid w:val="00A2244A"/>
    <w:rsid w:val="00A42BB4"/>
    <w:rsid w:val="00AF2E47"/>
    <w:rsid w:val="00B37EA6"/>
    <w:rsid w:val="00BC3458"/>
    <w:rsid w:val="00C14579"/>
    <w:rsid w:val="00C4011A"/>
    <w:rsid w:val="00C4368A"/>
    <w:rsid w:val="00D203A2"/>
    <w:rsid w:val="00D205AE"/>
    <w:rsid w:val="00E00598"/>
    <w:rsid w:val="00E4660B"/>
    <w:rsid w:val="00ED6CD3"/>
    <w:rsid w:val="00FA39F6"/>
    <w:rsid w:val="00FA5550"/>
    <w:rsid w:val="05E70E81"/>
    <w:rsid w:val="0D892CAF"/>
    <w:rsid w:val="119037DE"/>
    <w:rsid w:val="14787805"/>
    <w:rsid w:val="16F96264"/>
    <w:rsid w:val="17056755"/>
    <w:rsid w:val="17C1733A"/>
    <w:rsid w:val="1EB62E3F"/>
    <w:rsid w:val="1FF93F57"/>
    <w:rsid w:val="200D55DA"/>
    <w:rsid w:val="248B5FE5"/>
    <w:rsid w:val="252E4298"/>
    <w:rsid w:val="28327CDA"/>
    <w:rsid w:val="2AB40F49"/>
    <w:rsid w:val="340D4DC7"/>
    <w:rsid w:val="367E46B2"/>
    <w:rsid w:val="39A50CEE"/>
    <w:rsid w:val="42F9198D"/>
    <w:rsid w:val="4957740E"/>
    <w:rsid w:val="4D743F58"/>
    <w:rsid w:val="4FE17A31"/>
    <w:rsid w:val="55AE1942"/>
    <w:rsid w:val="5BFF27E9"/>
    <w:rsid w:val="5FFED8FE"/>
    <w:rsid w:val="60B4103C"/>
    <w:rsid w:val="617A3DBC"/>
    <w:rsid w:val="624B38A6"/>
    <w:rsid w:val="65E06FDC"/>
    <w:rsid w:val="68853C13"/>
    <w:rsid w:val="6CFFF6C7"/>
    <w:rsid w:val="72F07194"/>
    <w:rsid w:val="75D36A11"/>
    <w:rsid w:val="77BF21E1"/>
    <w:rsid w:val="77C83101"/>
    <w:rsid w:val="77FA7033"/>
    <w:rsid w:val="78D85EC6"/>
    <w:rsid w:val="7AA716F4"/>
    <w:rsid w:val="7D14372F"/>
    <w:rsid w:val="7DF24F0C"/>
    <w:rsid w:val="EBBE46D2"/>
    <w:rsid w:val="FFFFC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30F"/>
  <w15:docId w15:val="{71E2829D-0E8B-4B92-81FC-40CBBE28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9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b">
    <w:name w:val="Normal (Web)"/>
    <w:basedOn w:val="a"/>
    <w:uiPriority w:val="99"/>
    <w:qFormat/>
    <w:rsid w:val="00C1457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743</Words>
  <Characters>4239</Characters>
  <Application>Microsoft Office Word</Application>
  <DocSecurity>0</DocSecurity>
  <Lines>35</Lines>
  <Paragraphs>9</Paragraphs>
  <ScaleCrop>false</ScaleCrop>
  <Company>微软中国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6</cp:revision>
  <dcterms:created xsi:type="dcterms:W3CDTF">2021-09-18T17:15:00Z</dcterms:created>
  <dcterms:modified xsi:type="dcterms:W3CDTF">2026-08-17T05:28:00Z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DCD0AECCC686E9C72D8B1F6A16BBAD1D_43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