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64A08">
      <w:pPr>
        <w:adjustRightInd w:val="0"/>
        <w:snapToGrid w:val="0"/>
        <w:jc w:val="center"/>
        <w:rPr>
          <w:rFonts w:ascii="方正小标宋简体" w:hAnsi="Times New Roman" w:eastAsia="方正小标宋简体" w:cs="Times New Roman"/>
          <w:spacing w:val="-8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闵行区</w:t>
      </w:r>
      <w:r>
        <w:rPr>
          <w:rFonts w:ascii="方正小标宋简体" w:hAnsi="Times New Roman" w:eastAsia="方正小标宋简体" w:cs="Times New Roman"/>
          <w:spacing w:val="-8"/>
          <w:sz w:val="44"/>
          <w:szCs w:val="44"/>
        </w:rPr>
        <w:t>水系统治理</w:t>
      </w:r>
      <w:r>
        <w:rPr>
          <w:rFonts w:hint="eastAsia" w:ascii="仿宋_GB2312" w:hAnsi="Times New Roman" w:eastAsia="仿宋_GB2312" w:cs="Times New Roman"/>
          <w:spacing w:val="-8"/>
          <w:sz w:val="44"/>
          <w:szCs w:val="44"/>
        </w:rPr>
        <w:t>“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十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  <w:lang w:val="en-US" w:eastAsia="zh-CN"/>
        </w:rPr>
        <w:t>五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五</w:t>
      </w:r>
      <w:r>
        <w:rPr>
          <w:rFonts w:hint="eastAsia" w:ascii="仿宋_GB2312" w:hAnsi="Times New Roman" w:eastAsia="仿宋_GB2312" w:cs="Times New Roman"/>
          <w:spacing w:val="-8"/>
          <w:sz w:val="44"/>
          <w:szCs w:val="44"/>
        </w:rPr>
        <w:t>”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规划</w:t>
      </w:r>
      <w:r>
        <w:rPr>
          <w:rFonts w:ascii="方正小标宋简体" w:hAnsi="Times New Roman" w:eastAsia="方正小标宋简体" w:cs="Times New Roman"/>
          <w:spacing w:val="-8"/>
          <w:sz w:val="44"/>
          <w:szCs w:val="44"/>
        </w:rPr>
        <w:t>编制说明</w:t>
      </w:r>
    </w:p>
    <w:p w14:paraId="01998EAA">
      <w:pPr>
        <w:adjustRightInd w:val="0"/>
        <w:snapToGrid w:val="0"/>
        <w:jc w:val="center"/>
        <w:rPr>
          <w:rFonts w:ascii="方正小标宋简体" w:hAnsi="Times New Roman" w:eastAsia="方正小标宋简体" w:cs="Times New Roman"/>
          <w:spacing w:val="-8"/>
          <w:sz w:val="44"/>
          <w:szCs w:val="44"/>
        </w:rPr>
      </w:pPr>
      <w:r>
        <w:rPr>
          <w:rFonts w:ascii="方正小标宋简体" w:hAnsi="Times New Roman" w:eastAsia="方正小标宋简体" w:cs="Times New Roman"/>
          <w:spacing w:val="-8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年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  <w:lang w:val="en-US" w:eastAsia="zh-CN"/>
        </w:rPr>
        <w:t>5</w:t>
      </w:r>
      <w:r>
        <w:rPr>
          <w:rFonts w:hint="eastAsia" w:ascii="方正小标宋简体" w:hAnsi="Times New Roman" w:eastAsia="方正小标宋简体" w:cs="Times New Roman"/>
          <w:spacing w:val="-8"/>
          <w:sz w:val="44"/>
          <w:szCs w:val="44"/>
        </w:rPr>
        <w:t>月</w:t>
      </w:r>
    </w:p>
    <w:p w14:paraId="2574914A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5E0FE6D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“十五五”时期是闵行区经济社会稳步发展，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高质量建设创新开放、生态人文、宜居安居现代化主城区和新质生产力主阵地</w:t>
      </w:r>
      <w:r>
        <w:rPr>
          <w:rFonts w:hint="eastAsia" w:ascii="仿宋_GB2312" w:hAnsi="Times New Roman" w:eastAsia="仿宋_GB2312" w:cs="Times New Roman"/>
          <w:sz w:val="32"/>
          <w:szCs w:val="32"/>
        </w:rPr>
        <w:t>的关键时期，也是闵行水务进一步完善水系统治理体系，提升水系统现代化治理水平的重要五年。为更好地支撑闵行高质量发展、高品质生活、高能效治理，提升城区能级和核心竞争力，指导闵行水务未来五年的各项工作，根据《上海市闵行区国民经济和社会发展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第十五个五年规划</w:t>
      </w:r>
      <w:r>
        <w:rPr>
          <w:rFonts w:hint="eastAsia" w:ascii="仿宋_GB2312" w:hAnsi="Times New Roman" w:eastAsia="仿宋_GB2312" w:cs="Times New Roman"/>
          <w:sz w:val="32"/>
          <w:szCs w:val="32"/>
        </w:rPr>
        <w:t>纲要》，编制《闵行区水系统治理“十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五”规划》（以下简称《规划》）。</w:t>
      </w:r>
    </w:p>
    <w:p w14:paraId="021FD70D">
      <w:pPr>
        <w:adjustRightInd w:val="0"/>
        <w:snapToGrid w:val="0"/>
        <w:spacing w:line="360" w:lineRule="auto"/>
        <w:ind w:firstLine="640" w:firstLineChars="200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一</w:t>
      </w:r>
      <w:r>
        <w:rPr>
          <w:rFonts w:ascii="黑体" w:hAnsi="Times New Roman" w:eastAsia="黑体" w:cs="Times New Roman"/>
          <w:sz w:val="32"/>
          <w:szCs w:val="32"/>
        </w:rPr>
        <w:t>、</w:t>
      </w:r>
      <w:r>
        <w:rPr>
          <w:rFonts w:hint="eastAsia" w:ascii="黑体" w:hAnsi="Times New Roman" w:eastAsia="黑体" w:cs="Times New Roman"/>
          <w:sz w:val="32"/>
          <w:szCs w:val="32"/>
        </w:rPr>
        <w:t>规划</w:t>
      </w:r>
      <w:r>
        <w:rPr>
          <w:rFonts w:ascii="黑体" w:hAnsi="Times New Roman" w:eastAsia="黑体" w:cs="Times New Roman"/>
          <w:sz w:val="32"/>
          <w:szCs w:val="32"/>
        </w:rPr>
        <w:t>编制过程</w:t>
      </w:r>
    </w:p>
    <w:p w14:paraId="50359BD5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为</w:t>
      </w:r>
      <w:r>
        <w:rPr>
          <w:rFonts w:ascii="仿宋_GB2312" w:hAnsi="Times New Roman" w:eastAsia="仿宋_GB2312" w:cs="Times New Roman"/>
          <w:sz w:val="32"/>
          <w:szCs w:val="32"/>
        </w:rPr>
        <w:t>做好《</w:t>
      </w:r>
      <w:r>
        <w:rPr>
          <w:rFonts w:hint="eastAsia" w:ascii="仿宋_GB2312" w:hAnsi="Times New Roman" w:eastAsia="仿宋_GB2312" w:cs="Times New Roman"/>
          <w:sz w:val="32"/>
          <w:szCs w:val="32"/>
        </w:rPr>
        <w:t>规划</w:t>
      </w:r>
      <w:r>
        <w:rPr>
          <w:rFonts w:ascii="仿宋_GB2312" w:hAnsi="Times New Roman" w:eastAsia="仿宋_GB2312" w:cs="Times New Roman"/>
          <w:sz w:val="32"/>
          <w:szCs w:val="32"/>
        </w:rPr>
        <w:t>》</w:t>
      </w:r>
      <w:r>
        <w:rPr>
          <w:rFonts w:hint="eastAsia" w:ascii="仿宋_GB2312" w:hAnsi="Times New Roman" w:eastAsia="仿宋_GB2312" w:cs="Times New Roman"/>
          <w:sz w:val="32"/>
          <w:szCs w:val="32"/>
        </w:rPr>
        <w:t>编制工作</w:t>
      </w:r>
      <w:r>
        <w:rPr>
          <w:rFonts w:ascii="仿宋_GB2312" w:hAnsi="Times New Roman" w:eastAsia="仿宋_GB2312" w:cs="Times New Roman"/>
          <w:sz w:val="32"/>
          <w:szCs w:val="32"/>
        </w:rPr>
        <w:t>，根据区“</w:t>
      </w:r>
      <w:r>
        <w:rPr>
          <w:rFonts w:hint="eastAsia" w:ascii="仿宋_GB2312" w:hAnsi="Times New Roman" w:eastAsia="仿宋_GB2312" w:cs="Times New Roman"/>
          <w:sz w:val="32"/>
          <w:szCs w:val="32"/>
        </w:rPr>
        <w:t>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</w:t>
      </w:r>
      <w:r>
        <w:rPr>
          <w:rFonts w:ascii="仿宋_GB2312" w:hAnsi="Times New Roman" w:eastAsia="仿宋_GB2312" w:cs="Times New Roman"/>
          <w:sz w:val="32"/>
          <w:szCs w:val="32"/>
        </w:rPr>
        <w:t>”</w:t>
      </w:r>
      <w:r>
        <w:rPr>
          <w:rFonts w:hint="eastAsia" w:ascii="仿宋_GB2312" w:hAnsi="Times New Roman" w:eastAsia="仿宋_GB2312" w:cs="Times New Roman"/>
          <w:sz w:val="32"/>
          <w:szCs w:val="32"/>
        </w:rPr>
        <w:t>规划编制</w:t>
      </w:r>
      <w:r>
        <w:rPr>
          <w:rFonts w:ascii="仿宋_GB2312" w:hAnsi="Times New Roman" w:eastAsia="仿宋_GB2312" w:cs="Times New Roman"/>
          <w:sz w:val="32"/>
          <w:szCs w:val="32"/>
        </w:rPr>
        <w:t>工作要求，区水务局成立了规划编制领导小组</w:t>
      </w:r>
      <w:r>
        <w:rPr>
          <w:rFonts w:hint="eastAsia" w:ascii="仿宋_GB2312" w:hAnsi="Times New Roman" w:eastAsia="仿宋_GB2312" w:cs="Times New Roman"/>
          <w:sz w:val="32"/>
          <w:szCs w:val="32"/>
        </w:rPr>
        <w:t>和</w:t>
      </w:r>
      <w:r>
        <w:rPr>
          <w:rFonts w:ascii="仿宋_GB2312" w:hAnsi="Times New Roman" w:eastAsia="仿宋_GB2312" w:cs="Times New Roman"/>
          <w:sz w:val="32"/>
          <w:szCs w:val="32"/>
        </w:rPr>
        <w:t>工作小组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ascii="仿宋_GB2312" w:hAnsi="Times New Roman" w:eastAsia="仿宋_GB2312" w:cs="Times New Roman"/>
          <w:sz w:val="32"/>
          <w:szCs w:val="32"/>
        </w:rPr>
        <w:t>明确了时间节点和具体</w:t>
      </w:r>
      <w:r>
        <w:rPr>
          <w:rFonts w:hint="eastAsia" w:ascii="仿宋_GB2312" w:hAnsi="Times New Roman" w:eastAsia="仿宋_GB2312" w:cs="Times New Roman"/>
          <w:sz w:val="32"/>
          <w:szCs w:val="32"/>
        </w:rPr>
        <w:t>编制</w:t>
      </w:r>
      <w:r>
        <w:rPr>
          <w:rFonts w:ascii="仿宋_GB2312" w:hAnsi="Times New Roman" w:eastAsia="仿宋_GB2312" w:cs="Times New Roman"/>
          <w:sz w:val="32"/>
          <w:szCs w:val="32"/>
        </w:rPr>
        <w:t>要求。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规划</w:t>
      </w:r>
      <w:r>
        <w:rPr>
          <w:rFonts w:ascii="仿宋_GB2312" w:hAnsi="Times New Roman" w:eastAsia="仿宋_GB2312" w:cs="Times New Roman"/>
          <w:sz w:val="32"/>
          <w:szCs w:val="32"/>
        </w:rPr>
        <w:t>编制的进展分为三个阶段。</w:t>
      </w:r>
    </w:p>
    <w:p w14:paraId="61C75F52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思路</w:t>
      </w:r>
      <w:r>
        <w:rPr>
          <w:rFonts w:ascii="仿宋_GB2312" w:hAnsi="Times New Roman" w:eastAsia="仿宋_GB2312" w:cs="Times New Roman"/>
          <w:sz w:val="32"/>
          <w:szCs w:val="32"/>
        </w:rPr>
        <w:t>研究阶段（</w:t>
      </w:r>
      <w:r>
        <w:rPr>
          <w:rFonts w:hint="eastAsia" w:ascii="仿宋_GB2312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月至20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sz w:val="32"/>
          <w:szCs w:val="32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。根据市、</w:t>
      </w:r>
      <w:r>
        <w:rPr>
          <w:rFonts w:ascii="仿宋_GB2312" w:hAnsi="Times New Roman" w:eastAsia="仿宋_GB2312" w:cs="Times New Roman"/>
          <w:sz w:val="32"/>
          <w:szCs w:val="32"/>
        </w:rPr>
        <w:t>区相关要求，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确定水务“十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五”发展主线和宏观方向，委托技术支撑单位开展研究，广泛调研，充分听取人大代表、政协委员、各街镇工业区和相关单位的意见和建议，形成“十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五”基本思路。</w:t>
      </w:r>
    </w:p>
    <w:p w14:paraId="13452BA4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规划编制阶段（20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月至202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月）。开展“十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后评估，梳理规划执行中暴露的问题和短板。客观研判形势和大局，把握规划战略性和可操作性，分行业研究规划目标和重大举措，从水安全、水资源、管理等方面分别研究提出规划总目标、主要指标、主要任务和重要举措。期间在征询区相关委办局和街镇意见的同时，开展规划大讨论，2次听取人大代表、政协委员意见建议，7次征集各部门各街镇意见，1次专家研讨会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并于202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月向区发改委报送《规划》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衔接</w:t>
      </w:r>
      <w:r>
        <w:rPr>
          <w:rFonts w:hint="eastAsia" w:ascii="仿宋_GB2312" w:hAnsi="Times New Roman" w:eastAsia="仿宋_GB2312" w:cs="Times New Roman"/>
          <w:sz w:val="32"/>
          <w:szCs w:val="32"/>
        </w:rPr>
        <w:t>稿。</w:t>
      </w:r>
    </w:p>
    <w:p w14:paraId="1BE70C8E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衔接完善阶段（202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月至今）。根据区发改委对区级专项规划编制、衔接、报批和发布工作的要求，《规划》经与国家相关“十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五”规划、全市和闵行区“十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五”规划纲要以及市水系统治理“十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五”规划对接，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于202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月再次书面征询14个街镇和8个区级委办局意见，对反馈意见逐一认真梳理，对主要工作任务、具体工作举措、相关保障措施、规划指标数据等逐一进行核对、修改，进一步完善报告。</w:t>
      </w:r>
    </w:p>
    <w:p w14:paraId="3972FAE4">
      <w:pPr>
        <w:adjustRightInd w:val="0"/>
        <w:snapToGrid w:val="0"/>
        <w:spacing w:line="360" w:lineRule="auto"/>
        <w:ind w:firstLine="640" w:firstLineChars="200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二</w:t>
      </w:r>
      <w:r>
        <w:rPr>
          <w:rFonts w:ascii="黑体" w:hAnsi="Times New Roman" w:eastAsia="黑体" w:cs="Times New Roman"/>
          <w:sz w:val="32"/>
          <w:szCs w:val="32"/>
        </w:rPr>
        <w:t>、规划主要特点</w:t>
      </w:r>
    </w:p>
    <w:p w14:paraId="29DAC52B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与“十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五”相比，《规划》体现以下特点：</w:t>
      </w:r>
    </w:p>
    <w:p w14:paraId="37C9E09F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一是呼应国家和城市总规治水新要求，坚持统筹水务发展和防汛安全。更加注重现代水网建设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持续推进骨干河道和中小河流整治。更加注重防洪能力提升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配合推进黄浦江防洪能力提升二期工程、专用段堤防达标建设和支河泵闸防洪能力提升。突出“一南一北”战略区水务基础设施保障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持续推进城镇雨水排水系统提标。加注重外围泵闸实施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推进淀南片俞塘、北横泾南等6座泵闸规划建设。</w:t>
      </w:r>
    </w:p>
    <w:p w14:paraId="271AFC49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更加注重</w:t>
      </w:r>
      <w:r>
        <w:rPr>
          <w:rFonts w:hint="eastAsia" w:ascii="仿宋_GB2312" w:hAnsi="Times New Roman" w:eastAsia="仿宋_GB2312" w:cs="Times New Roman"/>
          <w:sz w:val="32"/>
          <w:szCs w:val="32"/>
        </w:rPr>
        <w:t>水环境改善品质和水系统高质量发展。持续推进雨污混接改造，河湖水体清澈度提升、水生态人工修复和自然恢复，推进全域美丽幸福河湖建设。把造福人民作为闵行水系统治理的根本价值取向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加强水资源节约集约和优质利用，不断推进二次供水改造，进一步提高水龙头水质，不断增强市民群众获得感、幸福感和安全感。</w:t>
      </w:r>
    </w:p>
    <w:p w14:paraId="3C7271C5">
      <w:pPr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三是更加突出人工智能应用、数字孪生水利建设，大力发展水务新质生产力，不断提高水系统治理效能、提升智慧水务管理水平。</w:t>
      </w:r>
    </w:p>
    <w:p w14:paraId="636E7567">
      <w:pPr>
        <w:adjustRightInd w:val="0"/>
        <w:snapToGrid w:val="0"/>
        <w:spacing w:line="360" w:lineRule="auto"/>
        <w:ind w:firstLine="640" w:firstLineChars="200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三</w:t>
      </w:r>
      <w:r>
        <w:rPr>
          <w:rFonts w:ascii="黑体" w:hAnsi="Times New Roman" w:eastAsia="黑体" w:cs="Times New Roman"/>
          <w:sz w:val="32"/>
          <w:szCs w:val="32"/>
        </w:rPr>
        <w:t>、规划主要内容</w:t>
      </w:r>
    </w:p>
    <w:p w14:paraId="1399F837">
      <w:pPr>
        <w:adjustRightInd w:val="0"/>
        <w:snapToGrid w:val="0"/>
        <w:spacing w:line="360" w:lineRule="auto"/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（一）总体考虑</w:t>
      </w:r>
    </w:p>
    <w:p w14:paraId="2C812FA9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将立足“人民城市”理念，以“生态优先、安全为本、系统治理、智慧赋能”为导向，统筹水资源、水环境、水生态、水安全多维目标。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突</w:t>
      </w:r>
      <w:r>
        <w:rPr>
          <w:rFonts w:hint="eastAsia" w:ascii="仿宋_GB2312" w:hAnsi="Times New Roman" w:eastAsia="仿宋_GB2312" w:cs="Times New Roman"/>
          <w:sz w:val="32"/>
          <w:szCs w:val="32"/>
        </w:rPr>
        <w:t>出</w:t>
      </w:r>
      <w:r>
        <w:rPr>
          <w:rFonts w:ascii="仿宋_GB2312" w:hAnsi="Times New Roman" w:eastAsia="仿宋_GB2312" w:cs="Times New Roman"/>
          <w:sz w:val="32"/>
          <w:szCs w:val="32"/>
        </w:rPr>
        <w:t>系统治水、制度管水，提升管理和服务水平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同时</w:t>
      </w:r>
      <w:r>
        <w:rPr>
          <w:rFonts w:hint="eastAsia" w:ascii="仿宋_GB2312" w:hAnsi="Times New Roman" w:eastAsia="仿宋_GB2312" w:cs="Times New Roman"/>
          <w:sz w:val="32"/>
          <w:szCs w:val="32"/>
        </w:rPr>
        <w:t>持续深化水系统与城市发展的协同性，紧密衔接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国家、全市</w:t>
      </w:r>
      <w:r>
        <w:rPr>
          <w:rFonts w:hint="eastAsia" w:ascii="仿宋_GB2312" w:hAnsi="Times New Roman" w:eastAsia="仿宋_GB2312" w:cs="Times New Roman"/>
          <w:sz w:val="32"/>
          <w:szCs w:val="32"/>
        </w:rPr>
        <w:t>“十五五”战略部署，强化水务基础设施韧性，为闵行区建成与“国际开放枢纽门户、科技创新策源湾区、新质链群聚集高地、人民城市示范标杆”相适应的现代水务保障体系。</w:t>
      </w:r>
    </w:p>
    <w:p w14:paraId="280852E9">
      <w:pPr>
        <w:adjustRightInd w:val="0"/>
        <w:snapToGrid w:val="0"/>
        <w:spacing w:line="360" w:lineRule="auto"/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（二）主要内容</w:t>
      </w:r>
    </w:p>
    <w:p w14:paraId="24F53DE2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五”期间</w:t>
      </w:r>
      <w:r>
        <w:rPr>
          <w:rFonts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水务</w:t>
      </w:r>
      <w:r>
        <w:rPr>
          <w:rFonts w:ascii="仿宋_GB2312" w:hAnsi="Times New Roman" w:eastAsia="仿宋_GB2312" w:cs="Times New Roman"/>
          <w:sz w:val="32"/>
          <w:szCs w:val="32"/>
        </w:rPr>
        <w:t>按照</w:t>
      </w:r>
      <w:r>
        <w:rPr>
          <w:rFonts w:hint="eastAsia" w:ascii="仿宋_GB2312" w:hAnsi="Times New Roman" w:eastAsia="仿宋_GB2312" w:cs="Times New Roman"/>
          <w:sz w:val="32"/>
          <w:szCs w:val="32"/>
        </w:rPr>
        <w:t>1条主线</w:t>
      </w:r>
      <w:r>
        <w:rPr>
          <w:rFonts w:ascii="仿宋_GB2312" w:hAnsi="Times New Roman" w:eastAsia="仿宋_GB2312" w:cs="Times New Roman"/>
          <w:sz w:val="32"/>
          <w:szCs w:val="32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3个</w:t>
      </w:r>
      <w:r>
        <w:rPr>
          <w:rFonts w:ascii="仿宋_GB2312" w:hAnsi="Times New Roman" w:eastAsia="仿宋_GB2312" w:cs="Times New Roman"/>
          <w:sz w:val="32"/>
          <w:szCs w:val="32"/>
        </w:rPr>
        <w:t>发展重点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项指标</w:t>
      </w:r>
      <w:r>
        <w:rPr>
          <w:rFonts w:ascii="仿宋_GB2312" w:hAnsi="Times New Roman" w:eastAsia="仿宋_GB2312" w:cs="Times New Roman"/>
          <w:sz w:val="32"/>
          <w:szCs w:val="32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个方面主要任务</w:t>
      </w:r>
      <w:r>
        <w:rPr>
          <w:rFonts w:ascii="仿宋_GB2312" w:hAnsi="Times New Roman" w:eastAsia="仿宋_GB2312" w:cs="Times New Roman"/>
          <w:sz w:val="32"/>
          <w:szCs w:val="32"/>
        </w:rPr>
        <w:t>进行规划。</w:t>
      </w:r>
    </w:p>
    <w:p w14:paraId="77BE0AE2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．1条主线</w:t>
      </w:r>
    </w:p>
    <w:p w14:paraId="0C991BB2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至2030年，持续完善以持久水安全、优质水资源、宜居水环境、健康水生态、先进水文化、高效水管理为内涵的现代水系统治理体系，基本实现“水旱灾害防御韧性不断增强、</w:t>
      </w:r>
      <w:bookmarkStart w:id="0" w:name="_Hlk169531499"/>
      <w:r>
        <w:rPr>
          <w:rFonts w:hint="eastAsia" w:ascii="仿宋_GB2312" w:hAnsi="Times New Roman" w:eastAsia="仿宋_GB2312" w:cs="Times New Roman"/>
          <w:sz w:val="32"/>
          <w:szCs w:val="32"/>
        </w:rPr>
        <w:t>河湖水系生态环境持续改善</w:t>
      </w:r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t>、</w:t>
      </w:r>
      <w:bookmarkStart w:id="1" w:name="_Hlk169532114"/>
      <w:r>
        <w:rPr>
          <w:rFonts w:hint="eastAsia" w:ascii="仿宋_GB2312" w:hAnsi="Times New Roman" w:eastAsia="仿宋_GB2312" w:cs="Times New Roman"/>
          <w:sz w:val="32"/>
          <w:szCs w:val="32"/>
        </w:rPr>
        <w:t>供水保障水平和饮用水品质</w:t>
      </w:r>
      <w:bookmarkEnd w:id="1"/>
      <w:r>
        <w:rPr>
          <w:rFonts w:hint="eastAsia" w:ascii="仿宋_GB2312" w:hAnsi="Times New Roman" w:eastAsia="仿宋_GB2312" w:cs="Times New Roman"/>
          <w:sz w:val="32"/>
          <w:szCs w:val="32"/>
        </w:rPr>
        <w:t>显著提升、水系统治理能力与效能明显提高”的目标，高效支撑全区经济社会高质量发展和人民幸福生活，建成与“创新开放、生态人文、宜居安居现代化主城区和新质生产力主阵地”相适应的现代水务保障体系。</w:t>
      </w:r>
    </w:p>
    <w:p w14:paraId="4437414F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2．3个</w:t>
      </w:r>
      <w:r>
        <w:rPr>
          <w:rFonts w:ascii="仿宋_GB2312" w:hAnsi="Times New Roman" w:eastAsia="仿宋_GB2312" w:cs="Times New Roman"/>
          <w:sz w:val="32"/>
          <w:szCs w:val="32"/>
        </w:rPr>
        <w:t>发展重点</w:t>
      </w:r>
    </w:p>
    <w:p w14:paraId="30F52C94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一是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着力提升防汛安全韧性保障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。进一步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加强现代水网建设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持续推进堤防防洪能力提升、雨水系统提标和道路积水点整治和外围除涝泵闸建设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 w14:paraId="4C0AAF93">
      <w:pPr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二是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全域推进美丽幸福河湖建设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持续推进生态清洁小流域建设，加快滨水空间贯通开放与共享，持续推进雨污混接改造，开展河道水体清澈度试点建设，进一步加强水文化设施建设。</w:t>
      </w:r>
    </w:p>
    <w:p w14:paraId="387EC96B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三是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逐步加强水务新质生产力应用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加强水务新质生产力研发，开展淀南片数字孪生水网试点，进一步完善水文水质站点建设，逐步开展智能感知、远程控制、数智水务等多场景应用，重点建设闵行区水利工程数字孪生试点；新增水闸运行调度管理模块。</w:t>
      </w:r>
    </w:p>
    <w:p w14:paraId="4E60C74B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仿宋_GB2312" w:hAnsi="Times New Roman" w:eastAsia="仿宋_GB2312" w:cs="Times New Roman"/>
          <w:sz w:val="32"/>
          <w:szCs w:val="32"/>
        </w:rPr>
        <w:t>项指标</w:t>
      </w:r>
    </w:p>
    <w:p w14:paraId="7E01FF00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防汛</w:t>
      </w:r>
      <w:r>
        <w:rPr>
          <w:rFonts w:hint="eastAsia" w:ascii="仿宋_GB2312" w:hAnsi="Times New Roman" w:eastAsia="仿宋_GB2312" w:cs="Times New Roman"/>
          <w:sz w:val="32"/>
          <w:szCs w:val="32"/>
        </w:rPr>
        <w:t>安全指标重在推动落实雨水排水规划和防洪除涝规划，设定新增河湖面积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防洪堤防达标率、水利片外围除涝泵站实施率、中心城城镇雨水排水能力达标面积占比等。</w:t>
      </w:r>
    </w:p>
    <w:p w14:paraId="4DD1A098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环境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品质指标立足高质量发展要求及新阶段治水目标任务，设定河湖高品质公共开放滨水空间长度、美丽幸福河湖建成率。</w:t>
      </w:r>
    </w:p>
    <w:p w14:paraId="3A829A05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资源指标紧扣最严格水资源管理的贯彻落实，设定用水总量、万元工业增加值用水量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和供水水质综合合格率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。</w:t>
      </w:r>
    </w:p>
    <w:p w14:paraId="40AFD14B">
      <w:pPr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这些指标是综合考量闵行城市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新阶段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发展实际提出的，注重发挥牵引标杆作用。</w:t>
      </w:r>
    </w:p>
    <w:p w14:paraId="7E1FE5AA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．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</w:rPr>
        <w:t>方面任务</w:t>
      </w:r>
    </w:p>
    <w:p w14:paraId="2217E506">
      <w:pPr>
        <w:adjustRightInd w:val="0"/>
        <w:snapToGrid w:val="0"/>
        <w:spacing w:line="355" w:lineRule="auto"/>
        <w:ind w:firstLine="643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一是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防汛除涝安全韧性提升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具体包括：（1）开展千里江堤薄弱段的加固改造，继续实施黄浦江、苏州河堤防专项维修工程。（2）配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合黄浦江二期防洪能力提升工程，对32座一线水闸进行防洪能力达标建设。（3）推进水利片5座外围泵闸设施建设。（4）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推进姚家浜、三鲁河、春申塘等骨干河道综合整治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。（5）</w:t>
      </w: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t>推进浦南雨水系统建设，深化繁兴、景川、华江等3个强排系统雨水泵站及总管工程方案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，适时启动建设。（6）推进程家桥路（延安西路-金汇路）、星东路（漕宝路-星北路）、报春路（外环-沪闵路）等3项道路积水改善工程。</w:t>
      </w:r>
    </w:p>
    <w:p w14:paraId="7CF254E1">
      <w:pPr>
        <w:adjustRightInd w:val="0"/>
        <w:snapToGrid w:val="0"/>
        <w:spacing w:line="355" w:lineRule="auto"/>
        <w:ind w:firstLine="643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二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是供水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安全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保障方面。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具体包括：（1）优化区域供水系统，配合市相关部门完成原水西环线南段工程建设。（2）配合推进新建地区供水管网建设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sz w:val="32"/>
          <w:szCs w:val="32"/>
        </w:rPr>
        <w:t>老旧供水管网更新改造和二次供水设施接管工程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（3）深入推进节水宣传、继续推进节水载体创建。</w:t>
      </w:r>
    </w:p>
    <w:p w14:paraId="09B9CEB5">
      <w:pPr>
        <w:adjustRightInd w:val="0"/>
        <w:snapToGrid w:val="0"/>
        <w:spacing w:line="355" w:lineRule="auto"/>
        <w:ind w:firstLine="643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是水环境治理方面。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具体包括：（1）结合城市开发进程，持续推进城市污水管网系统建设。（2）持续推进通沟污泥处理，避免管道污泥的二次污染。（3）推进初雨治理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eastAsia" w:ascii="仿宋_GB2312" w:hAnsi="Times New Roman" w:eastAsia="仿宋_GB2312" w:cs="Times New Roman"/>
          <w:sz w:val="32"/>
          <w:szCs w:val="32"/>
        </w:rPr>
        <w:t>农村生活污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水治理。（5）全力建设美丽幸福河湖，建成率达到50%以上。（6）推进虹桥前湾、吴泾紫竹、浦江召稼楼三个水环规划建设，推动新家弄村水系实施。（7）开展河道清澈度提升试点建设。</w:t>
      </w:r>
    </w:p>
    <w:p w14:paraId="383B99B8">
      <w:pPr>
        <w:adjustRightInd w:val="0"/>
        <w:snapToGrid w:val="0"/>
        <w:spacing w:line="355" w:lineRule="auto"/>
        <w:ind w:firstLine="643" w:firstLineChars="200"/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是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水文化建设与激活水岸空间活力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持续推进黄浦江生态堤防、内河生态护岸建设。（2）统筹推进黄浦江、吴淞江、大治河等滨水空间建设。（3）选取基础好的河湖水域，进一步实施水环境、水生态、水景观提升行动。（4）建成召稼楼古镇江南村落水环境提升试点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5）建设河湖水文化宣传点不少于30个。</w:t>
      </w:r>
    </w:p>
    <w:p w14:paraId="47B25BD5">
      <w:pPr>
        <w:adjustRightInd w:val="0"/>
        <w:snapToGrid w:val="0"/>
        <w:spacing w:line="355" w:lineRule="auto"/>
        <w:ind w:firstLine="643" w:firstLineChars="200"/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五是数字信息化建设方面。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具体包括：（1）建设紫竹水文测站、虹桥枢纽水文测站。（2）对于防汛重点区域升级相关感知监测设备。（3）完善污水井液位监控，实现雨水泵站截流泵工况全监控。（4）升级改造河道水质在线监测站点。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完善闵行水务行业基础数据、监测数据和业务数据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</w:rPr>
        <w:t>建设闵行区水利工程数字孪生试点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。</w:t>
      </w:r>
    </w:p>
    <w:p w14:paraId="0327A1BB">
      <w:pPr>
        <w:adjustRightInd w:val="0"/>
        <w:snapToGrid w:val="0"/>
        <w:spacing w:line="355" w:lineRule="auto"/>
        <w:ind w:firstLine="643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六是水务管理方面。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具体包括：（1）严格落实工程建设质量终身责任制。（2）全面强化河湖长制，健全河湖长制责任体系。（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）完善行政审批制度，提升水务公共服务能力。</w:t>
      </w:r>
    </w:p>
    <w:p w14:paraId="10E799FE">
      <w:pPr>
        <w:adjustRightInd w:val="0"/>
        <w:snapToGrid w:val="0"/>
        <w:spacing w:line="360" w:lineRule="auto"/>
        <w:ind w:firstLine="640" w:firstLineChars="200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四</w:t>
      </w:r>
      <w:r>
        <w:rPr>
          <w:rFonts w:ascii="黑体" w:hAnsi="Times New Roman" w:eastAsia="黑体" w:cs="Times New Roman"/>
          <w:sz w:val="32"/>
          <w:szCs w:val="32"/>
        </w:rPr>
        <w:t>、征求意见和规划评审情况</w:t>
      </w:r>
    </w:p>
    <w:p w14:paraId="65E2FC61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为做好规划对接，我局分别于2025年9月书面开展征求意见工作，充分听取人大代表、政协委员、各街镇（工业区）和部分涉水单位的意见和建议，并于2026年3月组织了专家评审。评审意见认为，《规划》对“十五五”的形势分析切合国家、本市以及行业发展方向，目标设定科学合理、指标体系量化可行、重点项目布局精准，</w:t>
      </w:r>
      <w:r>
        <w:rPr>
          <w:rFonts w:hint="eastAsia" w:ascii="仿宋_GB2312" w:hAnsi="Times New Roman" w:eastAsia="仿宋_GB2312" w:cs="Times New Roman"/>
          <w:sz w:val="32"/>
          <w:szCs w:val="32"/>
        </w:rPr>
        <w:t>主要任务能较好地支撑“十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五”期间闵行区水务发展。</w:t>
      </w:r>
    </w:p>
    <w:p w14:paraId="2CCCDE6D">
      <w:pPr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今年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月，就修改完善后的文本再次征询区财政局、区发改委、区房管局、区规资局、区建管委、区交通委、各街镇（工业区）意见</w:t>
      </w: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4月完成发改委规划衔接。</w:t>
      </w:r>
      <w:r>
        <w:rPr>
          <w:rFonts w:hint="eastAsia" w:ascii="仿宋_GB2312" w:hAnsi="Times New Roman" w:eastAsia="仿宋_GB2312" w:cs="Times New Roman"/>
          <w:sz w:val="32"/>
          <w:szCs w:val="32"/>
        </w:rPr>
        <w:t>针对这些意见和建议，对照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市水系统治理“十五五”规划</w:t>
      </w:r>
      <w:r>
        <w:rPr>
          <w:rFonts w:hint="eastAsia" w:ascii="仿宋_GB2312" w:hAnsi="Times New Roman" w:eastAsia="仿宋_GB2312" w:cs="Times New Roman"/>
          <w:sz w:val="32"/>
          <w:szCs w:val="32"/>
        </w:rPr>
        <w:t>和市、区“十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仿宋_GB2312" w:hAnsi="Times New Roman" w:eastAsia="仿宋_GB2312" w:cs="Times New Roman"/>
          <w:sz w:val="32"/>
          <w:szCs w:val="32"/>
        </w:rPr>
        <w:t>五”规划纲要，经仔细研究，对规划文本中相应内容予以修改和完善。共收到相关委办局及街镇意见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</w:rPr>
        <w:t>1条，其中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hint="eastAsia" w:ascii="仿宋_GB2312" w:hAnsi="Times New Roman" w:eastAsia="仿宋_GB2312" w:cs="Times New Roman"/>
          <w:sz w:val="32"/>
          <w:szCs w:val="32"/>
        </w:rPr>
        <w:t>条全部采纳或基本采纳，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</w:rPr>
        <w:t>条进一步研究。</w:t>
      </w:r>
    </w:p>
    <w:p w14:paraId="35E36874">
      <w:pPr>
        <w:spacing w:line="360" w:lineRule="auto"/>
        <w:ind w:firstLine="560" w:firstLineChars="200"/>
        <w:rPr>
          <w:rFonts w:ascii="仿宋" w:hAnsi="仿宋" w:eastAsia="仿宋"/>
          <w:sz w:val="28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AE2F69-E827-426C-9DD0-0F0F4BDBF1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415D197-25FD-486A-AD8D-0F488FC0BF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9EF030B-A32D-4343-818E-CC49789A276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08DB13B-DD6C-42A6-ABA2-E63BFA687F1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261CA88-BC46-4BBF-8329-EB000D773E8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3BF"/>
    <w:rsid w:val="00007BF8"/>
    <w:rsid w:val="00026B6E"/>
    <w:rsid w:val="00050B6A"/>
    <w:rsid w:val="0007479C"/>
    <w:rsid w:val="00092029"/>
    <w:rsid w:val="000A4FAF"/>
    <w:rsid w:val="000B1787"/>
    <w:rsid w:val="000C7EA0"/>
    <w:rsid w:val="000E254B"/>
    <w:rsid w:val="000F1787"/>
    <w:rsid w:val="000F703A"/>
    <w:rsid w:val="0010002F"/>
    <w:rsid w:val="0019346E"/>
    <w:rsid w:val="001A0FAF"/>
    <w:rsid w:val="001B1AEC"/>
    <w:rsid w:val="001C6641"/>
    <w:rsid w:val="002169C1"/>
    <w:rsid w:val="0023092A"/>
    <w:rsid w:val="002333A1"/>
    <w:rsid w:val="00276C5B"/>
    <w:rsid w:val="002E1CF4"/>
    <w:rsid w:val="002F4E5B"/>
    <w:rsid w:val="003175F5"/>
    <w:rsid w:val="003640F2"/>
    <w:rsid w:val="00366476"/>
    <w:rsid w:val="003A0569"/>
    <w:rsid w:val="003A481E"/>
    <w:rsid w:val="003B7192"/>
    <w:rsid w:val="003D10F7"/>
    <w:rsid w:val="004627AC"/>
    <w:rsid w:val="00493C37"/>
    <w:rsid w:val="004C76DE"/>
    <w:rsid w:val="004D3A2A"/>
    <w:rsid w:val="004F1037"/>
    <w:rsid w:val="004F1D5F"/>
    <w:rsid w:val="005445F4"/>
    <w:rsid w:val="00584BD3"/>
    <w:rsid w:val="005A2EB1"/>
    <w:rsid w:val="005C2F2D"/>
    <w:rsid w:val="005C54F4"/>
    <w:rsid w:val="00611401"/>
    <w:rsid w:val="00613B98"/>
    <w:rsid w:val="006572C7"/>
    <w:rsid w:val="00660175"/>
    <w:rsid w:val="006638AC"/>
    <w:rsid w:val="00683B5B"/>
    <w:rsid w:val="00686B31"/>
    <w:rsid w:val="006B2871"/>
    <w:rsid w:val="006C2F28"/>
    <w:rsid w:val="006D35F3"/>
    <w:rsid w:val="006E46E0"/>
    <w:rsid w:val="006F2121"/>
    <w:rsid w:val="0074443D"/>
    <w:rsid w:val="00771694"/>
    <w:rsid w:val="00783AB9"/>
    <w:rsid w:val="007F0DD3"/>
    <w:rsid w:val="0083311F"/>
    <w:rsid w:val="00856C30"/>
    <w:rsid w:val="00863777"/>
    <w:rsid w:val="00864F38"/>
    <w:rsid w:val="00895A8F"/>
    <w:rsid w:val="009428EE"/>
    <w:rsid w:val="00945A0B"/>
    <w:rsid w:val="0097110B"/>
    <w:rsid w:val="009833BF"/>
    <w:rsid w:val="009C2A8F"/>
    <w:rsid w:val="00A92361"/>
    <w:rsid w:val="00BA14F4"/>
    <w:rsid w:val="00BA1717"/>
    <w:rsid w:val="00BA1C0F"/>
    <w:rsid w:val="00BD053C"/>
    <w:rsid w:val="00BD22C4"/>
    <w:rsid w:val="00BD5767"/>
    <w:rsid w:val="00C122C8"/>
    <w:rsid w:val="00C9398A"/>
    <w:rsid w:val="00CC3B21"/>
    <w:rsid w:val="00D641BE"/>
    <w:rsid w:val="00D6421A"/>
    <w:rsid w:val="00E067DE"/>
    <w:rsid w:val="00E07995"/>
    <w:rsid w:val="00E401D5"/>
    <w:rsid w:val="00E42ACC"/>
    <w:rsid w:val="00E60033"/>
    <w:rsid w:val="00EE7C5D"/>
    <w:rsid w:val="00F74D92"/>
    <w:rsid w:val="00F90E6E"/>
    <w:rsid w:val="02785C71"/>
    <w:rsid w:val="061E24D5"/>
    <w:rsid w:val="10F84805"/>
    <w:rsid w:val="12EA441C"/>
    <w:rsid w:val="194420C9"/>
    <w:rsid w:val="19D42B02"/>
    <w:rsid w:val="2C157ACA"/>
    <w:rsid w:val="42185F02"/>
    <w:rsid w:val="43416302"/>
    <w:rsid w:val="48284B20"/>
    <w:rsid w:val="49311755"/>
    <w:rsid w:val="4E630603"/>
    <w:rsid w:val="59625CD5"/>
    <w:rsid w:val="5B417443"/>
    <w:rsid w:val="5DB965F8"/>
    <w:rsid w:val="6618187B"/>
    <w:rsid w:val="7D9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2"/>
    <w:semiHidden/>
    <w:qFormat/>
    <w:uiPriority w:val="99"/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4637</Words>
  <Characters>4703</Characters>
  <Lines>33</Lines>
  <Paragraphs>9</Paragraphs>
  <TotalTime>11</TotalTime>
  <ScaleCrop>false</ScaleCrop>
  <LinksUpToDate>false</LinksUpToDate>
  <CharactersWithSpaces>4706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2021-05-11T06:33:00Z</dcterms:created>
  <dc:creator>ghk</dc:creator>
  <cp:lastModifiedBy>albatross</cp:lastModifiedBy>
  <dcterms:modified xsi:type="dcterms:W3CDTF">2026-06-23T09:00:32Z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eyJoZGlkIjoiYjBkZGMxOGY1MTU2NzJmZTk1NTE3NmU2YjU0NDhjYTgiLCJ1c2VySWQiOiIxMjQ0NzA0MjY0In0=</vt:lpwstr>
  </property>
  <property fmtid="{D5CDD505-2E9C-101B-9397-08002B2CF9AE}" pid="3" name="KSOProductBuildVer">
    <vt:lpwstr>2052-12.1.0.26895</vt:lpwstr>
  </property>
  <property fmtid="{D5CDD505-2E9C-101B-9397-08002B2CF9AE}" pid="4" name="ICV">
    <vt:lpwstr>DB87B5EE2FCB404D88BEB74BE83BFCF0_13</vt:lpwstr>
  </property>
</Properties>
</file>