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80" w:lineRule="auto"/>
        <w:jc w:val="center"/>
        <w:rPr>
          <w:rFonts w:hint="eastAsia" w:ascii="仿宋" w:hAnsi="仿宋" w:eastAsia="仿宋" w:cs="仿宋"/>
          <w:b/>
          <w:bCs w:val="0"/>
          <w:color w:val="000000"/>
          <w:kern w:val="0"/>
          <w:sz w:val="36"/>
          <w:szCs w:val="36"/>
        </w:rPr>
      </w:pPr>
      <w:r>
        <w:rPr>
          <w:rFonts w:hint="eastAsia" w:ascii="仿宋" w:hAnsi="仿宋" w:eastAsia="仿宋" w:cs="仿宋"/>
          <w:b/>
          <w:bCs w:val="0"/>
          <w:color w:val="000000"/>
          <w:kern w:val="0"/>
          <w:sz w:val="36"/>
          <w:szCs w:val="36"/>
        </w:rPr>
        <w:t>江川路街道 “谁执法谁普法”普法责任</w:t>
      </w:r>
      <w:bookmarkStart w:id="0" w:name="_GoBack"/>
      <w:bookmarkEnd w:id="0"/>
      <w:r>
        <w:rPr>
          <w:rFonts w:hint="eastAsia" w:ascii="仿宋" w:hAnsi="仿宋" w:eastAsia="仿宋" w:cs="仿宋"/>
          <w:b/>
          <w:bCs w:val="0"/>
          <w:color w:val="000000"/>
          <w:kern w:val="0"/>
          <w:sz w:val="36"/>
          <w:szCs w:val="36"/>
        </w:rPr>
        <w:t>清单</w:t>
      </w:r>
    </w:p>
    <w:p>
      <w:pPr>
        <w:widowControl/>
        <w:shd w:val="clear" w:color="auto" w:fill="FFFFFF"/>
        <w:spacing w:line="560" w:lineRule="exact"/>
        <w:ind w:firstLine="602" w:firstLineChars="20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一</w:t>
      </w:r>
      <w:r>
        <w:rPr>
          <w:rFonts w:hint="eastAsia" w:ascii="仿宋" w:hAnsi="仿宋" w:eastAsia="仿宋" w:cs="宋体"/>
          <w:b/>
          <w:color w:val="000000"/>
          <w:kern w:val="0"/>
          <w:sz w:val="30"/>
          <w:szCs w:val="30"/>
          <w:lang w:eastAsia="zh-CN"/>
        </w:rPr>
        <w:t>、</w:t>
      </w:r>
      <w:r>
        <w:rPr>
          <w:rFonts w:hint="eastAsia" w:ascii="仿宋" w:hAnsi="仿宋" w:eastAsia="仿宋" w:cs="宋体"/>
          <w:b/>
          <w:color w:val="000000"/>
          <w:kern w:val="0"/>
          <w:sz w:val="30"/>
          <w:szCs w:val="30"/>
        </w:rPr>
        <w:t>行政执法部门重点宣传本部门执掌的行政法律法规，包括实体法和程序法。</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560"/>
        <w:gridCol w:w="8079"/>
        <w:gridCol w:w="2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序号</w:t>
            </w:r>
          </w:p>
        </w:tc>
        <w:tc>
          <w:tcPr>
            <w:tcW w:w="1560"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部门</w:t>
            </w:r>
          </w:p>
        </w:tc>
        <w:tc>
          <w:tcPr>
            <w:tcW w:w="8079" w:type="dxa"/>
            <w:tcBorders>
              <w:tl2br w:val="nil"/>
              <w:tr2bl w:val="nil"/>
            </w:tcBorders>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普法重点宣传的法律法规</w:t>
            </w:r>
          </w:p>
        </w:tc>
        <w:tc>
          <w:tcPr>
            <w:tcW w:w="2726"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普法方式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62"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w:t>
            </w:r>
          </w:p>
        </w:tc>
        <w:tc>
          <w:tcPr>
            <w:tcW w:w="1560"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公安派出所</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《中华人民共和国刑法》</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治安管理处罚法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枪支管理法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出境入境管理法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集会游行示威法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等法律法规的宣传普及工作。</w:t>
            </w:r>
          </w:p>
        </w:tc>
        <w:tc>
          <w:tcPr>
            <w:tcW w:w="2726" w:type="dxa"/>
            <w:vMerge w:val="continue"/>
            <w:tcBorders>
              <w:tl2br w:val="nil"/>
              <w:tr2bl w:val="nil"/>
            </w:tcBorders>
            <w:vAlign w:val="center"/>
          </w:tcPr>
          <w:p>
            <w:pPr>
              <w:jc w:val="both"/>
              <w:rPr>
                <w:rFonts w:ascii="仿宋" w:hAnsi="仿宋" w:eastAsia="仿宋" w:cs="宋体"/>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762"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w:t>
            </w:r>
          </w:p>
        </w:tc>
        <w:tc>
          <w:tcPr>
            <w:tcW w:w="1560"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交警五大队</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负责道路交通安全法等法律法规的宣传普及工作。</w:t>
            </w:r>
          </w:p>
        </w:tc>
        <w:tc>
          <w:tcPr>
            <w:tcW w:w="2726"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62"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w:t>
            </w:r>
          </w:p>
        </w:tc>
        <w:tc>
          <w:tcPr>
            <w:tcW w:w="1560"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市场监督</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商标法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民法典</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合同编</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消费者权益保护法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反不正当竞争法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广告法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《食品经营许可和备案管理办法》</w:t>
            </w:r>
            <w:r>
              <w:rPr>
                <w:rFonts w:hint="eastAsia" w:ascii="仿宋" w:hAnsi="仿宋" w:eastAsia="仿宋"/>
                <w:color w:val="000000" w:themeColor="text1"/>
                <w:sz w:val="24"/>
                <w:szCs w:val="24"/>
                <w14:textFill>
                  <w14:solidFill>
                    <w14:schemeClr w14:val="tx1"/>
                  </w14:solidFill>
                </w14:textFill>
              </w:rPr>
              <w:t>等法律法规的宣传普及工作。</w:t>
            </w:r>
          </w:p>
        </w:tc>
        <w:tc>
          <w:tcPr>
            <w:tcW w:w="2726"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62"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w:t>
            </w:r>
          </w:p>
        </w:tc>
        <w:tc>
          <w:tcPr>
            <w:tcW w:w="1560"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城运（</w:t>
            </w:r>
            <w:r>
              <w:rPr>
                <w:rFonts w:hint="eastAsia" w:ascii="仿宋" w:hAnsi="仿宋" w:eastAsia="仿宋"/>
                <w:color w:val="000000" w:themeColor="text1"/>
                <w:sz w:val="24"/>
                <w:szCs w:val="24"/>
                <w14:textFill>
                  <w14:solidFill>
                    <w14:schemeClr w14:val="tx1"/>
                  </w14:solidFill>
                </w14:textFill>
              </w:rPr>
              <w:t>安监</w:t>
            </w:r>
            <w:r>
              <w:rPr>
                <w:rFonts w:hint="eastAsia" w:ascii="仿宋" w:hAnsi="仿宋" w:eastAsia="仿宋"/>
                <w:color w:val="000000" w:themeColor="text1"/>
                <w:sz w:val="24"/>
                <w:szCs w:val="24"/>
                <w:lang w:eastAsia="zh-CN"/>
                <w14:textFill>
                  <w14:solidFill>
                    <w14:schemeClr w14:val="tx1"/>
                  </w14:solidFill>
                </w14:textFill>
              </w:rPr>
              <w:t>）</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安全生产法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《上海市安全生产条例》、《</w:t>
            </w:r>
            <w:r>
              <w:rPr>
                <w:rFonts w:hint="eastAsia" w:ascii="仿宋" w:hAnsi="仿宋" w:eastAsia="仿宋"/>
                <w:color w:val="000000" w:themeColor="text1"/>
                <w:sz w:val="24"/>
                <w:szCs w:val="24"/>
                <w14:textFill>
                  <w14:solidFill>
                    <w14:schemeClr w14:val="tx1"/>
                  </w14:solidFill>
                </w14:textFill>
              </w:rPr>
              <w:t>危险化学品安全管理条例</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烟花爆竹安全管理条例</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消防条例</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生产安全事故报告和调查处理条例</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等法律法规的宣传普及工作。</w:t>
            </w:r>
          </w:p>
        </w:tc>
        <w:tc>
          <w:tcPr>
            <w:tcW w:w="2726"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762"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5</w:t>
            </w:r>
          </w:p>
        </w:tc>
        <w:tc>
          <w:tcPr>
            <w:tcW w:w="1560"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综合行政执法队</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中华人民共和国行政处罚法》、《中华人民共和国行政诉讼法》、《中华人民共和国行政复议法》、《中华人民共和国行政强制法》、《上海市绿化条例》、《上海市市容环境卫生管理条例》、《上海市建筑垃圾和工程渣土处置管理规定》、《上海市餐厨垃圾处理管理办法》、《上海市餐厨废弃油脂处理管理办法》、《上海市户外广告设施管理办法》、《上海市城市道路管理条例》、《中华人民共和国固体废物污染环境防治法》、《中华人民共和国大气污染防治法》、《上海市河道管理条例》、《中华人民共和国城乡规划法》、《上海市城乡规划条例》、《上海市无障碍设施建设和使用管理办法》、《上海市住宅物业管理规定》、《上海市空调设备安装使用管理规定》等法律法规相关法条的宣传普及工作。</w:t>
            </w:r>
          </w:p>
        </w:tc>
        <w:tc>
          <w:tcPr>
            <w:tcW w:w="2726"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762"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6</w:t>
            </w:r>
          </w:p>
        </w:tc>
        <w:tc>
          <w:tcPr>
            <w:tcW w:w="1560"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税务</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负责税收征收管理法、企业所得税法、发票管理办法、增值税暂行条例、消费税暂行条例等法律法规的宣传普及工作。</w:t>
            </w:r>
          </w:p>
        </w:tc>
        <w:tc>
          <w:tcPr>
            <w:tcW w:w="2726" w:type="dxa"/>
            <w:vMerge w:val="continue"/>
            <w:tcBorders>
              <w:tl2br w:val="nil"/>
              <w:tr2bl w:val="nil"/>
            </w:tcBorders>
            <w:vAlign w:val="center"/>
          </w:tcPr>
          <w:p>
            <w:pPr>
              <w:jc w:val="both"/>
              <w:rPr>
                <w:rFonts w:ascii="仿宋" w:hAnsi="仿宋" w:eastAsia="仿宋" w:cs="宋体"/>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62"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7</w:t>
            </w:r>
          </w:p>
        </w:tc>
        <w:tc>
          <w:tcPr>
            <w:tcW w:w="1560"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水务</w:t>
            </w:r>
          </w:p>
        </w:tc>
        <w:tc>
          <w:tcPr>
            <w:tcW w:w="807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26"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62"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1560"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8079" w:type="dxa"/>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水法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防洪法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水土保持法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取水许可和水资源费征收管理条例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上海市排水管理条例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上海市河道管理条例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等法律法规的宣传普及工作。</w:t>
            </w:r>
          </w:p>
        </w:tc>
        <w:tc>
          <w:tcPr>
            <w:tcW w:w="2726" w:type="dxa"/>
            <w:vMerge w:val="continue"/>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p>
        </w:tc>
      </w:tr>
    </w:tbl>
    <w:p>
      <w:pPr>
        <w:widowControl/>
        <w:shd w:val="clear" w:color="auto" w:fill="FFFFFF"/>
        <w:spacing w:line="560" w:lineRule="exact"/>
        <w:jc w:val="left"/>
        <w:rPr>
          <w:rFonts w:ascii="仿宋" w:hAnsi="仿宋" w:eastAsia="仿宋" w:cs="宋体"/>
          <w:b/>
          <w:color w:val="000000"/>
          <w:kern w:val="0"/>
          <w:sz w:val="30"/>
          <w:szCs w:val="30"/>
        </w:rPr>
      </w:pPr>
    </w:p>
    <w:p>
      <w:pPr>
        <w:widowControl/>
        <w:shd w:val="clear" w:color="auto" w:fill="FFFFFF"/>
        <w:spacing w:line="560" w:lineRule="exact"/>
        <w:ind w:firstLine="602" w:firstLineChars="20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二</w:t>
      </w:r>
      <w:r>
        <w:rPr>
          <w:rFonts w:hint="eastAsia" w:ascii="仿宋" w:hAnsi="仿宋" w:eastAsia="仿宋" w:cs="宋体"/>
          <w:b/>
          <w:color w:val="000000"/>
          <w:kern w:val="0"/>
          <w:sz w:val="30"/>
          <w:szCs w:val="30"/>
          <w:lang w:eastAsia="zh-CN"/>
        </w:rPr>
        <w:t>、</w:t>
      </w:r>
      <w:r>
        <w:rPr>
          <w:rFonts w:hint="eastAsia" w:ascii="仿宋" w:hAnsi="仿宋" w:eastAsia="仿宋" w:cs="宋体"/>
          <w:b/>
          <w:color w:val="000000"/>
          <w:kern w:val="0"/>
          <w:sz w:val="30"/>
          <w:szCs w:val="30"/>
        </w:rPr>
        <w:t>街道机关各职能部门重点宣传与本部门职能工作相匹配的法律法规。</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3414"/>
        <w:gridCol w:w="6239"/>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序号</w:t>
            </w:r>
          </w:p>
        </w:tc>
        <w:tc>
          <w:tcPr>
            <w:tcW w:w="3414"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部门</w:t>
            </w:r>
          </w:p>
        </w:tc>
        <w:tc>
          <w:tcPr>
            <w:tcW w:w="6239" w:type="dxa"/>
            <w:tcBorders>
              <w:tl2br w:val="nil"/>
              <w:tr2bl w:val="nil"/>
            </w:tcBorders>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普法重点宣传的法律法规</w:t>
            </w:r>
          </w:p>
        </w:tc>
        <w:tc>
          <w:tcPr>
            <w:tcW w:w="2708" w:type="dxa"/>
            <w:tcBorders>
              <w:tl2br w:val="nil"/>
              <w:tr2bl w:val="nil"/>
            </w:tcBorders>
          </w:tcPr>
          <w:p>
            <w:pPr>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普法方式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w:t>
            </w:r>
            <w:r>
              <w:rPr>
                <w:rFonts w:hint="eastAsia" w:ascii="仿宋" w:hAnsi="仿宋" w:eastAsia="仿宋"/>
                <w:color w:val="000000" w:themeColor="text1"/>
                <w:sz w:val="24"/>
                <w:szCs w:val="24"/>
                <w:lang w:eastAsia="zh-CN"/>
                <w14:textFill>
                  <w14:solidFill>
                    <w14:schemeClr w14:val="tx1"/>
                  </w14:solidFill>
                </w14:textFill>
              </w:rPr>
              <w:t>服务</w:t>
            </w:r>
            <w:r>
              <w:rPr>
                <w:rFonts w:hint="eastAsia" w:ascii="仿宋" w:hAnsi="仿宋" w:eastAsia="仿宋"/>
                <w:color w:val="000000" w:themeColor="text1"/>
                <w:sz w:val="24"/>
                <w:szCs w:val="24"/>
                <w14:textFill>
                  <w14:solidFill>
                    <w14:schemeClr w14:val="tx1"/>
                  </w14:solidFill>
                </w14:textFill>
              </w:rPr>
              <w:t>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人口与计划生育法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传染病防治法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精神卫生法</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流动人口计划生育工作条例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计划生育技术服务管理条例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艾滋病防治条例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医疗废物管理条例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等法律法规的宣传普及工作。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街道社区平安办公室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keepNext w:val="0"/>
              <w:keepLines w:val="0"/>
              <w:widowControl/>
              <w:suppressLineNumbers w:val="0"/>
              <w:jc w:val="both"/>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负责《中华人民共和国禁毒法》、</w:t>
            </w:r>
            <w:r>
              <w:rPr>
                <w:rFonts w:hint="eastAsia" w:ascii="仿宋" w:hAnsi="仿宋" w:eastAsia="仿宋"/>
                <w:color w:val="000000" w:themeColor="text1"/>
                <w:sz w:val="24"/>
                <w:szCs w:val="24"/>
                <w:lang w:val="en-US" w:eastAsia="zh-CN"/>
                <w14:textFill>
                  <w14:solidFill>
                    <w14:schemeClr w14:val="tx1"/>
                  </w14:solidFill>
                </w14:textFill>
              </w:rPr>
              <w:t>《中华人民共和国反电信网络诈骗法》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《中华人民共和国反有组织犯罪法》</w:t>
            </w:r>
          </w:p>
          <w:p>
            <w:pPr>
              <w:keepNext w:val="0"/>
              <w:keepLines w:val="0"/>
              <w:widowControl/>
              <w:suppressLineNumbers w:val="0"/>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、《中华人民共和国国家安全法》、《上海市禁毒条例》</w:t>
            </w:r>
            <w:r>
              <w:rPr>
                <w:rFonts w:hint="eastAsia" w:ascii="仿宋" w:hAnsi="仿宋" w:eastAsia="仿宋" w:cs="宋体"/>
                <w:color w:val="000000" w:themeColor="text1"/>
                <w:kern w:val="0"/>
                <w:sz w:val="24"/>
                <w:szCs w:val="24"/>
                <w14:textFill>
                  <w14:solidFill>
                    <w14:schemeClr w14:val="tx1"/>
                  </w14:solidFill>
                </w14:textFill>
              </w:rPr>
              <w:t>等法律法规的宣传普及工作。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社会工作</w:t>
            </w:r>
            <w:r>
              <w:rPr>
                <w:rFonts w:hint="eastAsia" w:ascii="仿宋" w:hAnsi="仿宋" w:eastAsia="仿宋"/>
                <w:color w:val="000000" w:themeColor="text1"/>
                <w:sz w:val="24"/>
                <w:szCs w:val="24"/>
                <w14:textFill>
                  <w14:solidFill>
                    <w14:schemeClr w14:val="tx1"/>
                  </w14:solidFill>
                </w14:textFill>
              </w:rPr>
              <w:t>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《中华人民共和国民法典》、《上海市居民委员会工作条例》</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《上海市</w:t>
            </w:r>
            <w:r>
              <w:rPr>
                <w:rFonts w:hint="eastAsia" w:ascii="仿宋" w:hAnsi="仿宋" w:eastAsia="仿宋"/>
                <w:color w:val="000000" w:themeColor="text1"/>
                <w:sz w:val="24"/>
                <w:szCs w:val="24"/>
                <w14:textFill>
                  <w14:solidFill>
                    <w14:schemeClr w14:val="tx1"/>
                  </w14:solidFill>
                </w14:textFill>
              </w:rPr>
              <w:t>居民自治条例</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民法典</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侵权责任编</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物业管理方面法律法规、</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上海市住宅物业管理规定</w:t>
            </w:r>
            <w:r>
              <w:rPr>
                <w:rFonts w:hint="eastAsia" w:ascii="仿宋" w:hAnsi="仿宋" w:eastAsia="仿宋" w:cs="宋体"/>
                <w:color w:val="000000" w:themeColor="text1"/>
                <w:kern w:val="0"/>
                <w:sz w:val="24"/>
                <w:szCs w:val="24"/>
                <w:lang w:eastAsia="zh-CN"/>
                <w14:textFill>
                  <w14:solidFill>
                    <w14:schemeClr w14:val="tx1"/>
                  </w14:solidFill>
                </w14:textFill>
              </w:rPr>
              <w:t>》、《上海市住房租赁条例》、《上海市居住房屋租赁管理办法》、《住宅专项维修资金管理办法》</w:t>
            </w:r>
            <w:r>
              <w:rPr>
                <w:rFonts w:hint="eastAsia" w:ascii="仿宋" w:hAnsi="仿宋" w:eastAsia="仿宋" w:cs="宋体"/>
                <w:color w:val="000000" w:themeColor="text1"/>
                <w:kern w:val="0"/>
                <w:sz w:val="24"/>
                <w:szCs w:val="24"/>
                <w14:textFill>
                  <w14:solidFill>
                    <w14:schemeClr w14:val="tx1"/>
                  </w14:solidFill>
                </w14:textFill>
              </w:rPr>
              <w:t>法律法规的宣传普及工作。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4</w:t>
            </w:r>
          </w:p>
        </w:tc>
        <w:tc>
          <w:tcPr>
            <w:tcW w:w="3414" w:type="dxa"/>
            <w:vMerge w:val="restart"/>
            <w:tcBorders>
              <w:tl2br w:val="nil"/>
              <w:tr2bl w:val="nil"/>
            </w:tcBorders>
            <w:vAlign w:val="center"/>
          </w:tcPr>
          <w:p>
            <w:pPr>
              <w:jc w:val="center"/>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街道营商办</w:t>
            </w:r>
          </w:p>
        </w:tc>
        <w:tc>
          <w:tcPr>
            <w:tcW w:w="6239" w:type="dxa"/>
            <w:tcBorders>
              <w:tl2br w:val="nil"/>
              <w:tr2bl w:val="nil"/>
            </w:tcBorders>
          </w:tcPr>
          <w:p>
            <w:pPr>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hint="eastAsia"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28" w:type="dxa"/>
            <w:vMerge w:val="continue"/>
            <w:tcBorders>
              <w:tl2br w:val="nil"/>
              <w:tr2bl w:val="nil"/>
            </w:tcBorders>
            <w:vAlign w:val="center"/>
          </w:tcPr>
          <w:p/>
        </w:tc>
        <w:tc>
          <w:tcPr>
            <w:tcW w:w="3414" w:type="dxa"/>
            <w:vMerge w:val="continue"/>
            <w:tcBorders>
              <w:tl2br w:val="nil"/>
              <w:tr2bl w:val="nil"/>
            </w:tcBorders>
            <w:vAlign w:val="center"/>
          </w:tcPr>
          <w:p/>
        </w:tc>
        <w:tc>
          <w:tcPr>
            <w:tcW w:w="6239" w:type="dxa"/>
            <w:tcBorders>
              <w:tl2br w:val="nil"/>
              <w:tr2bl w:val="nil"/>
            </w:tcBorders>
          </w:tcPr>
          <w:p>
            <w:pPr>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负责《中华人民共和国统计法》</w:t>
            </w:r>
            <w:r>
              <w:rPr>
                <w:rFonts w:hint="eastAsia" w:ascii="仿宋" w:hAnsi="仿宋" w:eastAsia="仿宋"/>
                <w:color w:val="000000" w:themeColor="text1"/>
                <w:sz w:val="24"/>
                <w:szCs w:val="24"/>
                <w:lang w:val="en-US" w:eastAsia="zh-CN"/>
                <w14:textFill>
                  <w14:solidFill>
                    <w14:schemeClr w14:val="tx1"/>
                  </w14:solidFill>
                </w14:textFill>
              </w:rPr>
              <w:t>、《中华人民共和国统计法实施条例》、《全国经济普查条例》、《上海市统计条例》等法律法规的宣传普及工作。</w:t>
            </w:r>
          </w:p>
        </w:tc>
        <w:tc>
          <w:tcPr>
            <w:tcW w:w="2708" w:type="dxa"/>
            <w:vMerge w:val="continue"/>
            <w:tcBorders>
              <w:tl2br w:val="nil"/>
              <w:tr2bl w:val="nil"/>
            </w:tcBorders>
            <w:vAlign w:val="center"/>
          </w:tcPr>
          <w:p>
            <w:pPr>
              <w:rPr>
                <w:rFonts w:hint="eastAsia"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5</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w:t>
            </w:r>
            <w:r>
              <w:rPr>
                <w:rFonts w:hint="eastAsia" w:ascii="仿宋" w:hAnsi="仿宋" w:eastAsia="仿宋"/>
                <w:color w:val="000000" w:themeColor="text1"/>
                <w:sz w:val="24"/>
                <w:szCs w:val="24"/>
                <w:lang w:eastAsia="zh-CN"/>
                <w14:textFill>
                  <w14:solidFill>
                    <w14:schemeClr w14:val="tx1"/>
                  </w14:solidFill>
                </w14:textFill>
              </w:rPr>
              <w:t>管理</w:t>
            </w:r>
            <w:r>
              <w:rPr>
                <w:rFonts w:hint="eastAsia" w:ascii="仿宋" w:hAnsi="仿宋" w:eastAsia="仿宋"/>
                <w:color w:val="000000" w:themeColor="text1"/>
                <w:sz w:val="24"/>
                <w:szCs w:val="24"/>
                <w14:textFill>
                  <w14:solidFill>
                    <w14:schemeClr w14:val="tx1"/>
                  </w14:solidFill>
                </w14:textFill>
              </w:rPr>
              <w:t>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城乡规划法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建设工程安全生产条例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建设工程质量管理条例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等法律法规普及。</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6</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街道社区党建办公室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负责组织法、选举法等法律法规的宣传普及工作。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7</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街道社区党政办公室</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保密法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olor w:val="000000" w:themeColor="text1"/>
                <w:sz w:val="24"/>
                <w:szCs w:val="24"/>
                <w14:textFill>
                  <w14:solidFill>
                    <w14:schemeClr w14:val="tx1"/>
                  </w14:solidFill>
                </w14:textFill>
              </w:rPr>
              <w:t>档案法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、依法行政、信息公开</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预算法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、政府采购管理、</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"https://www.baidu.com/s?wd=%E5%9B%BD%E6%9C%89%E8%B5%84%E4%BA%A7%E7%AE%A1%E7%90%86&amp;tn=44039180_cpr&amp;fenlei=mv6quAkxTZn0IZRqIHckPjm4nH00T1Y4uH7Wnj0kuWIhrH9-nvw-0ZwV5Hcvrjm3rH6sPfKWUMw85HfYnjn4nH6sgvPsT6KdThsqpZwYTjCEQLGCpyw9Uz4Bmy-bIi4WUvYETgN-TLwGUv3En1T1njD1P16L" \t "_blank" </w:instrText>
            </w:r>
            <w:r>
              <w:rPr>
                <w:color w:val="000000" w:themeColor="text1"/>
                <w14:textFill>
                  <w14:solidFill>
                    <w14:schemeClr w14:val="tx1"/>
                  </w14:solidFill>
                </w14:textFill>
              </w:rPr>
              <w:fldChar w:fldCharType="separate"/>
            </w:r>
            <w:r>
              <w:rPr>
                <w:rFonts w:hint="eastAsia" w:ascii="仿宋" w:hAnsi="仿宋" w:eastAsia="仿宋" w:cs="宋体"/>
                <w:color w:val="000000" w:themeColor="text1"/>
                <w:kern w:val="0"/>
                <w:sz w:val="24"/>
                <w:szCs w:val="24"/>
                <w14:textFill>
                  <w14:solidFill>
                    <w14:schemeClr w14:val="tx1"/>
                  </w14:solidFill>
                </w14:textFill>
              </w:rPr>
              <w:t>国有资产管理</w:t>
            </w:r>
            <w:r>
              <w:rPr>
                <w:rFonts w:hint="eastAsia" w:ascii="仿宋" w:hAnsi="仿宋" w:eastAsia="仿宋" w:cs="宋体"/>
                <w:color w:val="000000" w:themeColor="text1"/>
                <w:kern w:val="0"/>
                <w:sz w:val="24"/>
                <w:szCs w:val="24"/>
                <w14:textFill>
                  <w14:solidFill>
                    <w14:schemeClr w14:val="tx1"/>
                  </w14:solidFill>
                </w14:textFill>
              </w:rPr>
              <w:fldChar w:fldCharType="end"/>
            </w:r>
            <w:r>
              <w:rPr>
                <w:rFonts w:hint="eastAsia" w:ascii="仿宋" w:hAnsi="仿宋" w:eastAsia="仿宋" w:cs="宋体"/>
                <w:color w:val="000000" w:themeColor="text1"/>
                <w:kern w:val="0"/>
                <w:sz w:val="24"/>
                <w:szCs w:val="24"/>
                <w14:textFill>
                  <w14:solidFill>
                    <w14:schemeClr w14:val="tx1"/>
                  </w14:solidFill>
                </w14:textFill>
              </w:rPr>
              <w:t>、财政监督</w:t>
            </w:r>
            <w:r>
              <w:rPr>
                <w:rFonts w:hint="eastAsia" w:ascii="仿宋" w:hAnsi="仿宋" w:eastAsia="仿宋"/>
                <w:color w:val="000000" w:themeColor="text1"/>
                <w:sz w:val="24"/>
                <w:szCs w:val="24"/>
                <w14:textFill>
                  <w14:solidFill>
                    <w14:schemeClr w14:val="tx1"/>
                  </w14:solidFill>
                </w14:textFill>
              </w:rPr>
              <w:t>等法律法规的普及宣传工作。</w:t>
            </w:r>
          </w:p>
        </w:tc>
        <w:tc>
          <w:tcPr>
            <w:tcW w:w="2708" w:type="dxa"/>
            <w:vMerge w:val="continue"/>
            <w:tcBorders>
              <w:tl2br w:val="nil"/>
              <w:tr2bl w:val="nil"/>
            </w:tcBorders>
          </w:tcPr>
          <w:p>
            <w:pPr>
              <w:jc w:val="left"/>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8</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街道武装部</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负责《中华人民共和国国防法》、《中华人民共和国国防动员法》、《中华人民共和国兵役法》、《中华人民共和国国防教育法》、《中华人民共和国预备人员法》、《征兵工作条例》</w:t>
            </w:r>
            <w:r>
              <w:rPr>
                <w:rFonts w:hint="eastAsia" w:ascii="仿宋" w:hAnsi="仿宋" w:eastAsia="仿宋"/>
                <w:color w:val="000000" w:themeColor="text1"/>
                <w:sz w:val="24"/>
                <w:szCs w:val="24"/>
                <w14:textFill>
                  <w14:solidFill>
                    <w14:schemeClr w14:val="tx1"/>
                  </w14:solidFill>
                </w14:textFill>
              </w:rPr>
              <w:t>等法律法规的普及宣传工作。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9</w:t>
            </w:r>
          </w:p>
        </w:tc>
        <w:tc>
          <w:tcPr>
            <w:tcW w:w="3414"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街道监察</w:t>
            </w:r>
            <w:r>
              <w:rPr>
                <w:rFonts w:hint="eastAsia" w:ascii="仿宋" w:hAnsi="仿宋" w:eastAsia="仿宋"/>
                <w:color w:val="000000" w:themeColor="text1"/>
                <w:sz w:val="24"/>
                <w:szCs w:val="24"/>
                <w:lang w:eastAsia="zh-CN"/>
                <w14:textFill>
                  <w14:solidFill>
                    <w14:schemeClr w14:val="tx1"/>
                  </w14:solidFill>
                </w14:textFill>
              </w:rPr>
              <w:t>办</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olor w:val="000000" w:themeColor="text1"/>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行政监察法</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、《中华人民共和国监察法实施条例》、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lang w:val="en-US" w:eastAsia="zh-CN"/>
                <w14:textFill>
                  <w14:solidFill>
                    <w14:schemeClr w14:val="tx1"/>
                  </w14:solidFill>
                </w14:textFill>
              </w:rPr>
              <w:t>中华人民共和国公职人员政务处分法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w:t>
            </w:r>
            <w:r>
              <w:rPr>
                <w:rFonts w:hint="eastAsia" w:ascii="仿宋" w:hAnsi="仿宋" w:eastAsia="仿宋"/>
                <w:color w:val="000000" w:themeColor="text1"/>
                <w:sz w:val="24"/>
                <w:szCs w:val="24"/>
                <w14:textFill>
                  <w14:solidFill>
                    <w14:schemeClr w14:val="tx1"/>
                  </w14:solidFill>
                </w14:textFill>
              </w:rPr>
              <w:t>的普及宣传工作。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10</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街道信访办</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s="宋体"/>
                <w:color w:val="000000" w:themeColor="text1"/>
                <w:kern w:val="0"/>
                <w:sz w:val="24"/>
                <w:szCs w:val="24"/>
                <w:lang w:eastAsia="zh-CN"/>
                <w14:textFill>
                  <w14:solidFill>
                    <w14:schemeClr w14:val="tx1"/>
                  </w14:solidFill>
                </w14:textFill>
              </w:rPr>
              <w:t>《上海市</w:t>
            </w:r>
            <w:r>
              <w:rPr>
                <w:rFonts w:hint="eastAsia" w:ascii="仿宋" w:hAnsi="仿宋" w:eastAsia="仿宋" w:cs="宋体"/>
                <w:color w:val="000000" w:themeColor="text1"/>
                <w:kern w:val="0"/>
                <w:sz w:val="24"/>
                <w:szCs w:val="24"/>
                <w14:textFill>
                  <w14:solidFill>
                    <w14:schemeClr w14:val="tx1"/>
                  </w14:solidFill>
                </w14:textFill>
              </w:rPr>
              <w:t>信访条例</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《上海市人民建议征集若干规定》、《</w:t>
            </w:r>
            <w:r>
              <w:rPr>
                <w:rFonts w:ascii="仿宋" w:hAnsi="仿宋" w:eastAsia="仿宋" w:cs="宋体"/>
                <w:color w:val="000000" w:themeColor="text1"/>
                <w:kern w:val="0"/>
                <w:sz w:val="24"/>
                <w:szCs w:val="24"/>
                <w14:textFill>
                  <w14:solidFill>
                    <w14:schemeClr w14:val="tx1"/>
                  </w14:solidFill>
                </w14:textFill>
              </w:rPr>
              <w:t>信访工作责任制实施办法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等法律法规的普及宣传工作。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restart"/>
            <w:tcBorders>
              <w:tl2br w:val="nil"/>
              <w:tr2bl w:val="nil"/>
            </w:tcBorders>
            <w:vAlign w:val="center"/>
          </w:tcPr>
          <w:p>
            <w:pPr>
              <w:jc w:val="center"/>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11</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街道司法所</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宪法</w:t>
            </w:r>
            <w:r>
              <w:rPr>
                <w:rFonts w:hint="eastAsia" w:ascii="仿宋" w:hAnsi="仿宋" w:eastAsia="仿宋"/>
                <w:color w:val="000000" w:themeColor="text1"/>
                <w:sz w:val="24"/>
                <w:szCs w:val="24"/>
                <w:lang w:val="en-US"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w:t>
            </w:r>
            <w:r>
              <w:rPr>
                <w:rFonts w:hint="eastAsia" w:ascii="仿宋" w:hAnsi="仿宋" w:eastAsia="仿宋" w:cs="宋体"/>
                <w:color w:val="000000" w:themeColor="text1"/>
                <w:kern w:val="0"/>
                <w:sz w:val="24"/>
                <w:szCs w:val="24"/>
                <w14:textFill>
                  <w14:solidFill>
                    <w14:schemeClr w14:val="tx1"/>
                  </w14:solidFill>
                </w14:textFill>
              </w:rPr>
              <w:t>宪法</w:t>
            </w:r>
            <w:r>
              <w:rPr>
                <w:rFonts w:hint="eastAsia" w:ascii="仿宋" w:hAnsi="仿宋" w:eastAsia="仿宋" w:cs="宋体"/>
                <w:color w:val="000000" w:themeColor="text1"/>
                <w:kern w:val="0"/>
                <w:sz w:val="24"/>
                <w:szCs w:val="24"/>
                <w:lang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s="宋体"/>
                <w:color w:val="000000" w:themeColor="text1"/>
                <w:kern w:val="0"/>
                <w:sz w:val="24"/>
                <w:szCs w:val="24"/>
                <w:lang w:eastAsia="zh-CN"/>
                <w14:textFill>
                  <w14:solidFill>
                    <w14:schemeClr w14:val="tx1"/>
                  </w14:solidFill>
                </w14:textFill>
              </w:rPr>
              <w:t>《中华人民共和国民法典》、《中华人民共和国社区矫正法》、《中华人民共和国人民调解法》、《中华人民共和国法律援助法》、</w:t>
            </w:r>
            <w:r>
              <w:rPr>
                <w:rFonts w:hint="eastAsia" w:ascii="仿宋" w:hAnsi="仿宋" w:eastAsia="仿宋" w:cs="宋体"/>
                <w:color w:val="000000" w:themeColor="text1"/>
                <w:kern w:val="0"/>
                <w:sz w:val="24"/>
                <w:szCs w:val="24"/>
                <w:lang w:val="en-US" w:eastAsia="zh-CN"/>
                <w14:textFill>
                  <w14:solidFill>
                    <w14:schemeClr w14:val="tx1"/>
                  </w14:solidFill>
                </w14:textFill>
              </w:rPr>
              <w:t>《上海市安置帮教工作规定》、《中华人民共和国</w:t>
            </w:r>
            <w:r>
              <w:rPr>
                <w:rFonts w:hint="eastAsia" w:ascii="仿宋" w:hAnsi="仿宋" w:eastAsia="仿宋" w:cs="宋体"/>
                <w:color w:val="000000" w:themeColor="text1"/>
                <w:kern w:val="0"/>
                <w:sz w:val="24"/>
                <w:szCs w:val="24"/>
                <w:lang w:eastAsia="zh-CN"/>
                <w14:textFill>
                  <w14:solidFill>
                    <w14:schemeClr w14:val="tx1"/>
                  </w14:solidFill>
                </w14:textFill>
              </w:rPr>
              <w:t>法治宣传教育法</w:t>
            </w:r>
            <w:r>
              <w:rPr>
                <w:rFonts w:hint="eastAsia" w:ascii="仿宋" w:hAnsi="仿宋" w:eastAsia="仿宋" w:cs="宋体"/>
                <w:color w:val="000000" w:themeColor="text1"/>
                <w:kern w:val="0"/>
                <w:sz w:val="24"/>
                <w:szCs w:val="24"/>
                <w:lang w:val="en-US" w:eastAsia="zh-CN"/>
                <w14:textFill>
                  <w14:solidFill>
                    <w14:schemeClr w14:val="tx1"/>
                  </w14:solidFill>
                </w14:textFill>
              </w:rPr>
              <w:t>》</w:t>
            </w:r>
            <w:r>
              <w:rPr>
                <w:rFonts w:hint="eastAsia" w:ascii="仿宋" w:hAnsi="仿宋" w:eastAsia="仿宋" w:cs="宋体"/>
                <w:color w:val="000000" w:themeColor="text1"/>
                <w:kern w:val="0"/>
                <w:sz w:val="24"/>
                <w:szCs w:val="24"/>
                <w14:textFill>
                  <w14:solidFill>
                    <w14:schemeClr w14:val="tx1"/>
                  </w14:solidFill>
                </w14:textFill>
              </w:rPr>
              <w:t>等法律法规</w:t>
            </w:r>
            <w:r>
              <w:rPr>
                <w:rFonts w:hint="eastAsia" w:ascii="仿宋" w:hAnsi="仿宋" w:eastAsia="仿宋"/>
                <w:color w:val="000000" w:themeColor="text1"/>
                <w:sz w:val="24"/>
                <w:szCs w:val="24"/>
                <w14:textFill>
                  <w14:solidFill>
                    <w14:schemeClr w14:val="tx1"/>
                  </w14:solidFill>
                </w14:textFill>
              </w:rPr>
              <w:t>的普及宣传工作</w:t>
            </w:r>
            <w:r>
              <w:rPr>
                <w:rFonts w:hint="eastAsia" w:ascii="仿宋" w:hAnsi="仿宋" w:eastAsia="仿宋" w:cs="宋体"/>
                <w:color w:val="000000" w:themeColor="text1"/>
                <w:kern w:val="0"/>
                <w:sz w:val="24"/>
                <w:szCs w:val="24"/>
                <w14:textFill>
                  <w14:solidFill>
                    <w14:schemeClr w14:val="tx1"/>
                  </w14:solidFill>
                </w14:textFill>
              </w:rPr>
              <w:t>。</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12</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街道城市</w:t>
            </w:r>
            <w:r>
              <w:rPr>
                <w:rFonts w:hint="eastAsia" w:ascii="仿宋" w:hAnsi="仿宋" w:eastAsia="仿宋"/>
                <w:color w:val="000000" w:themeColor="text1"/>
                <w:sz w:val="24"/>
                <w:szCs w:val="24"/>
                <w:lang w:eastAsia="zh-CN"/>
                <w14:textFill>
                  <w14:solidFill>
                    <w14:schemeClr w14:val="tx1"/>
                  </w14:solidFill>
                </w14:textFill>
              </w:rPr>
              <w:t>运行</w:t>
            </w:r>
            <w:r>
              <w:rPr>
                <w:rFonts w:hint="eastAsia" w:ascii="仿宋" w:hAnsi="仿宋" w:eastAsia="仿宋"/>
                <w:color w:val="000000" w:themeColor="text1"/>
                <w:sz w:val="24"/>
                <w:szCs w:val="24"/>
                <w14:textFill>
                  <w14:solidFill>
                    <w14:schemeClr w14:val="tx1"/>
                  </w14:solidFill>
                </w14:textFill>
              </w:rPr>
              <w:t>管理中心</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在服务管理工作中，配合相关执法部门普及宣传有关法律法规。</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restart"/>
            <w:tcBorders>
              <w:tl2br w:val="nil"/>
              <w:tr2bl w:val="nil"/>
            </w:tcBorders>
            <w:vAlign w:val="center"/>
          </w:tcPr>
          <w:p>
            <w:pPr>
              <w:jc w:val="center"/>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13</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街道社区事务受理服务中心</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负责《中华人民共和国劳动合同法》、《上海市工伤保险实施办法》、《上海市企业工资支付办法》、《中华人民共和国慈善法》、《社会救助暂行办法》、《上海市社会救助条例》《中华人民共和国就业促进法》、《中华人民共和国劳动争议调解仲裁法》等法律法规相关法条的宣传普及工作。</w:t>
            </w:r>
          </w:p>
        </w:tc>
        <w:tc>
          <w:tcPr>
            <w:tcW w:w="2708" w:type="dxa"/>
            <w:vMerge w:val="continue"/>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restart"/>
            <w:tcBorders>
              <w:tl2br w:val="nil"/>
              <w:tr2bl w:val="nil"/>
            </w:tcBorders>
            <w:vAlign w:val="center"/>
          </w:tcPr>
          <w:p>
            <w:pPr>
              <w:jc w:val="center"/>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14</w:t>
            </w:r>
          </w:p>
        </w:tc>
        <w:tc>
          <w:tcPr>
            <w:tcW w:w="3414" w:type="dxa"/>
            <w:vMerge w:val="restart"/>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街道社区党</w:t>
            </w:r>
            <w:r>
              <w:rPr>
                <w:rFonts w:hint="eastAsia" w:ascii="仿宋" w:hAnsi="仿宋" w:eastAsia="仿宋"/>
                <w:color w:val="000000" w:themeColor="text1"/>
                <w:sz w:val="24"/>
                <w:szCs w:val="24"/>
                <w:lang w:eastAsia="zh-CN"/>
                <w14:textFill>
                  <w14:solidFill>
                    <w14:schemeClr w14:val="tx1"/>
                  </w14:solidFill>
                </w14:textFill>
              </w:rPr>
              <w:t>群</w:t>
            </w:r>
            <w:r>
              <w:rPr>
                <w:rFonts w:hint="eastAsia" w:ascii="仿宋" w:hAnsi="仿宋" w:eastAsia="仿宋"/>
                <w:color w:val="000000" w:themeColor="text1"/>
                <w:sz w:val="24"/>
                <w:szCs w:val="24"/>
                <w14:textFill>
                  <w14:solidFill>
                    <w14:schemeClr w14:val="tx1"/>
                  </w14:solidFill>
                </w14:textFill>
              </w:rPr>
              <w:t>服务中心</w:t>
            </w: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宪法、习近平法治思想、全面依法治国的重要论述。</w:t>
            </w:r>
          </w:p>
        </w:tc>
        <w:tc>
          <w:tcPr>
            <w:tcW w:w="2708" w:type="dxa"/>
            <w:vMerge w:val="restart"/>
            <w:tcBorders>
              <w:tl2br w:val="nil"/>
              <w:tr2bl w:val="nil"/>
            </w:tcBorders>
            <w:vAlign w:val="center"/>
          </w:tcPr>
          <w:p>
            <w:pPr>
              <w:jc w:val="both"/>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3414" w:type="dxa"/>
            <w:vMerge w:val="continue"/>
            <w:tcBorders>
              <w:tl2br w:val="nil"/>
              <w:tr2bl w:val="nil"/>
            </w:tcBorders>
            <w:vAlign w:val="center"/>
          </w:tcPr>
          <w:p>
            <w:pPr>
              <w:jc w:val="center"/>
              <w:rPr>
                <w:rFonts w:ascii="仿宋" w:hAnsi="仿宋" w:eastAsia="仿宋"/>
                <w:color w:val="000000" w:themeColor="text1"/>
                <w:sz w:val="24"/>
                <w:szCs w:val="24"/>
                <w14:textFill>
                  <w14:solidFill>
                    <w14:schemeClr w14:val="tx1"/>
                  </w14:solidFill>
                </w14:textFill>
              </w:rPr>
            </w:pPr>
          </w:p>
        </w:tc>
        <w:tc>
          <w:tcPr>
            <w:tcW w:w="6239" w:type="dxa"/>
            <w:tcBorders>
              <w:tl2br w:val="nil"/>
              <w:tr2bl w:val="nil"/>
            </w:tcBorders>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配合纪律做好党内各项法律法规的宣传普及工作。</w:t>
            </w:r>
          </w:p>
        </w:tc>
        <w:tc>
          <w:tcPr>
            <w:tcW w:w="2708" w:type="dxa"/>
            <w:vMerge w:val="continue"/>
            <w:tcBorders>
              <w:tl2br w:val="nil"/>
              <w:tr2bl w:val="nil"/>
            </w:tcBorders>
          </w:tcPr>
          <w:p>
            <w:pPr>
              <w:jc w:val="left"/>
              <w:rPr>
                <w:rFonts w:ascii="仿宋" w:hAnsi="仿宋" w:eastAsia="仿宋"/>
                <w:color w:val="000000" w:themeColor="text1"/>
                <w:sz w:val="24"/>
                <w:szCs w:val="24"/>
                <w14:textFill>
                  <w14:solidFill>
                    <w14:schemeClr w14:val="tx1"/>
                  </w14:solidFill>
                </w14:textFill>
              </w:rPr>
            </w:pPr>
          </w:p>
        </w:tc>
      </w:tr>
    </w:tbl>
    <w:p>
      <w:pPr>
        <w:widowControl/>
        <w:shd w:val="clear" w:color="auto" w:fill="FFFFFF"/>
        <w:spacing w:line="560" w:lineRule="exact"/>
        <w:ind w:firstLine="602" w:firstLineChars="200"/>
        <w:jc w:val="left"/>
        <w:rPr>
          <w:rFonts w:ascii="仿宋" w:hAnsi="仿宋" w:eastAsia="仿宋" w:cs="宋体"/>
          <w:b/>
          <w:color w:val="000000"/>
          <w:kern w:val="0"/>
          <w:sz w:val="30"/>
          <w:szCs w:val="30"/>
        </w:rPr>
      </w:pPr>
    </w:p>
    <w:p>
      <w:pPr>
        <w:widowControl/>
        <w:shd w:val="clear" w:color="auto" w:fill="FFFFFF"/>
        <w:spacing w:line="560" w:lineRule="exact"/>
        <w:ind w:firstLine="602" w:firstLineChars="20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三</w:t>
      </w:r>
      <w:r>
        <w:rPr>
          <w:rFonts w:hint="eastAsia" w:ascii="仿宋" w:hAnsi="仿宋" w:eastAsia="仿宋" w:cs="宋体"/>
          <w:b/>
          <w:color w:val="000000"/>
          <w:kern w:val="0"/>
          <w:sz w:val="30"/>
          <w:szCs w:val="30"/>
          <w:lang w:eastAsia="zh-CN"/>
        </w:rPr>
        <w:t>、</w:t>
      </w:r>
      <w:r>
        <w:rPr>
          <w:rFonts w:hint="eastAsia" w:ascii="仿宋" w:hAnsi="仿宋" w:eastAsia="仿宋" w:cs="宋体"/>
          <w:b/>
          <w:color w:val="000000"/>
          <w:kern w:val="0"/>
          <w:sz w:val="30"/>
          <w:szCs w:val="30"/>
        </w:rPr>
        <w:t>工会、共青团、妇联等人民团体和残联等社会团体重点宣传面向特定社会群体的权益保障和权利促进的法律法规。</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607"/>
        <w:gridCol w:w="6287"/>
        <w:gridCol w:w="4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Borders>
              <w:tl2br w:val="nil"/>
              <w:tr2bl w:val="nil"/>
            </w:tcBorders>
          </w:tcPr>
          <w:p>
            <w:pPr>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1607" w:type="dxa"/>
            <w:tcBorders>
              <w:tl2br w:val="nil"/>
              <w:tr2bl w:val="nil"/>
            </w:tcBorders>
          </w:tcPr>
          <w:p>
            <w:pPr>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部门</w:t>
            </w:r>
          </w:p>
        </w:tc>
        <w:tc>
          <w:tcPr>
            <w:tcW w:w="6287" w:type="dxa"/>
            <w:tcBorders>
              <w:tl2br w:val="nil"/>
              <w:tr2bl w:val="nil"/>
            </w:tcBorders>
          </w:tcPr>
          <w:p>
            <w:pPr>
              <w:jc w:val="center"/>
              <w:rPr>
                <w:rFonts w:ascii="仿宋" w:hAnsi="仿宋" w:eastAsia="仿宋"/>
                <w:color w:val="000000"/>
                <w:sz w:val="24"/>
                <w:szCs w:val="24"/>
              </w:rPr>
            </w:pPr>
            <w:r>
              <w:rPr>
                <w:rFonts w:hint="eastAsia" w:ascii="仿宋" w:hAnsi="仿宋" w:eastAsia="仿宋" w:cs="宋体"/>
                <w:b/>
                <w:color w:val="000000"/>
                <w:kern w:val="0"/>
                <w:sz w:val="24"/>
                <w:szCs w:val="24"/>
              </w:rPr>
              <w:t>普法重点宣传的法律法规</w:t>
            </w:r>
          </w:p>
        </w:tc>
        <w:tc>
          <w:tcPr>
            <w:tcW w:w="4445" w:type="dxa"/>
            <w:tcBorders>
              <w:tl2br w:val="nil"/>
              <w:tr2bl w:val="nil"/>
            </w:tcBorders>
          </w:tcPr>
          <w:p>
            <w:pPr>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普法方式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1</w:t>
            </w:r>
          </w:p>
        </w:tc>
        <w:tc>
          <w:tcPr>
            <w:tcW w:w="1607"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s="宋体"/>
                <w:color w:val="000000"/>
                <w:kern w:val="0"/>
                <w:sz w:val="24"/>
                <w:szCs w:val="24"/>
              </w:rPr>
              <w:t>工会</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vAlign w:val="center"/>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s="宋体"/>
                <w:color w:val="000000"/>
                <w:kern w:val="0"/>
                <w:sz w:val="24"/>
                <w:szCs w:val="24"/>
              </w:rPr>
              <w:t>负责《中华人民共和国工会法》、《中华人民共和国劳动法》、《中华人民共和国劳动合同法》等法律法规的宣传普及工作。</w:t>
            </w:r>
          </w:p>
        </w:tc>
        <w:tc>
          <w:tcPr>
            <w:tcW w:w="4445" w:type="dxa"/>
            <w:vMerge w:val="continue"/>
            <w:tcBorders>
              <w:tl2br w:val="nil"/>
              <w:tr2bl w:val="nil"/>
            </w:tcBorders>
            <w:vAlign w:val="center"/>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2</w:t>
            </w:r>
          </w:p>
        </w:tc>
        <w:tc>
          <w:tcPr>
            <w:tcW w:w="1607" w:type="dxa"/>
            <w:vMerge w:val="restart"/>
            <w:tcBorders>
              <w:tl2br w:val="nil"/>
              <w:tr2bl w:val="nil"/>
            </w:tcBorders>
            <w:vAlign w:val="center"/>
          </w:tcPr>
          <w:p>
            <w:pPr>
              <w:jc w:val="center"/>
              <w:rPr>
                <w:rFonts w:hint="eastAsia" w:ascii="仿宋" w:hAnsi="仿宋" w:eastAsia="仿宋"/>
                <w:color w:val="000000"/>
                <w:sz w:val="24"/>
                <w:szCs w:val="24"/>
                <w:lang w:eastAsia="zh-CN"/>
              </w:rPr>
            </w:pPr>
            <w:r>
              <w:rPr>
                <w:rFonts w:hint="eastAsia" w:ascii="仿宋" w:hAnsi="仿宋" w:eastAsia="仿宋" w:cs="宋体"/>
                <w:color w:val="000000"/>
                <w:kern w:val="0"/>
                <w:sz w:val="24"/>
                <w:szCs w:val="24"/>
                <w:lang w:eastAsia="zh-CN"/>
              </w:rPr>
              <w:t>团工委</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vAlign w:val="center"/>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s="宋体"/>
                <w:color w:val="000000"/>
                <w:kern w:val="0"/>
                <w:sz w:val="24"/>
                <w:szCs w:val="24"/>
              </w:rPr>
            </w:pPr>
            <w:r>
              <w:rPr>
                <w:rFonts w:hint="eastAsia" w:ascii="仿宋" w:hAnsi="仿宋" w:eastAsia="仿宋" w:cs="宋体"/>
                <w:color w:val="000000"/>
                <w:kern w:val="0"/>
                <w:sz w:val="24"/>
                <w:szCs w:val="24"/>
              </w:rPr>
              <w:t>负责《中华人民共和国未成年人保护法》、《中华人民共和国预防未成年人犯罪法》等法律法规的宣传普及工作。</w:t>
            </w:r>
          </w:p>
        </w:tc>
        <w:tc>
          <w:tcPr>
            <w:tcW w:w="4445" w:type="dxa"/>
            <w:vMerge w:val="continue"/>
            <w:tcBorders>
              <w:tl2br w:val="nil"/>
              <w:tr2bl w:val="nil"/>
            </w:tcBorders>
            <w:vAlign w:val="center"/>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3</w:t>
            </w:r>
          </w:p>
        </w:tc>
        <w:tc>
          <w:tcPr>
            <w:tcW w:w="1607"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s="宋体"/>
                <w:color w:val="000000"/>
                <w:kern w:val="0"/>
                <w:sz w:val="24"/>
                <w:szCs w:val="24"/>
              </w:rPr>
              <w:t>妇联</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vAlign w:val="center"/>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s="宋体"/>
                <w:color w:val="000000"/>
                <w:kern w:val="0"/>
                <w:sz w:val="24"/>
                <w:szCs w:val="24"/>
              </w:rPr>
              <w:t>负责《中华人民共和国民法典（婚姻家庭编）》、《中华人民共和国妇女权益保障法》、《中华人民共和国婚姻法》、《中华人民共和国未成年人保护法》等法律法规的宣传</w:t>
            </w:r>
            <w:r>
              <w:rPr>
                <w:rFonts w:hint="eastAsia" w:ascii="仿宋" w:hAnsi="仿宋" w:eastAsia="仿宋" w:cs="宋体"/>
                <w:color w:val="000000"/>
                <w:kern w:val="0"/>
                <w:sz w:val="24"/>
                <w:szCs w:val="24"/>
                <w:lang w:eastAsia="zh-CN"/>
              </w:rPr>
              <w:t>普</w:t>
            </w:r>
            <w:r>
              <w:rPr>
                <w:rFonts w:hint="eastAsia" w:ascii="仿宋" w:hAnsi="仿宋" w:eastAsia="仿宋" w:cs="宋体"/>
                <w:color w:val="000000"/>
                <w:kern w:val="0"/>
                <w:sz w:val="24"/>
                <w:szCs w:val="24"/>
              </w:rPr>
              <w:t>及工作。</w:t>
            </w:r>
          </w:p>
        </w:tc>
        <w:tc>
          <w:tcPr>
            <w:tcW w:w="4445" w:type="dxa"/>
            <w:vMerge w:val="continue"/>
            <w:tcBorders>
              <w:tl2br w:val="nil"/>
              <w:tr2bl w:val="nil"/>
            </w:tcBorders>
            <w:vAlign w:val="center"/>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4</w:t>
            </w:r>
          </w:p>
        </w:tc>
        <w:tc>
          <w:tcPr>
            <w:tcW w:w="1607"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s="宋体"/>
                <w:color w:val="000000"/>
                <w:kern w:val="0"/>
                <w:sz w:val="24"/>
                <w:szCs w:val="24"/>
              </w:rPr>
              <w:t>残联</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vAlign w:val="center"/>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s="宋体"/>
                <w:color w:val="000000"/>
                <w:kern w:val="0"/>
                <w:sz w:val="24"/>
                <w:szCs w:val="24"/>
              </w:rPr>
              <w:t>负责《中华人民共和国残疾人保障法》等法律法规的宣传普及工作。</w:t>
            </w:r>
          </w:p>
        </w:tc>
        <w:tc>
          <w:tcPr>
            <w:tcW w:w="4445" w:type="dxa"/>
            <w:vMerge w:val="continue"/>
            <w:tcBorders>
              <w:tl2br w:val="nil"/>
              <w:tr2bl w:val="nil"/>
            </w:tcBorders>
            <w:vAlign w:val="center"/>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5</w:t>
            </w:r>
          </w:p>
        </w:tc>
        <w:tc>
          <w:tcPr>
            <w:tcW w:w="1607" w:type="dxa"/>
            <w:vMerge w:val="restart"/>
            <w:tcBorders>
              <w:tl2br w:val="nil"/>
              <w:tr2bl w:val="nil"/>
            </w:tcBorders>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侨联分会</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vAlign w:val="center"/>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s="宋体"/>
                <w:color w:val="000000"/>
                <w:kern w:val="0"/>
                <w:sz w:val="24"/>
                <w:szCs w:val="24"/>
              </w:rPr>
              <w:t>负责《中华人民共和国归侨侨着权益保护法》等法律法规的宣传普及工作。</w:t>
            </w:r>
          </w:p>
        </w:tc>
        <w:tc>
          <w:tcPr>
            <w:tcW w:w="4445" w:type="dxa"/>
            <w:vMerge w:val="continue"/>
            <w:tcBorders>
              <w:tl2br w:val="nil"/>
              <w:tr2bl w:val="nil"/>
            </w:tcBorders>
            <w:vAlign w:val="center"/>
          </w:tcPr>
          <w:p>
            <w:pPr>
              <w:jc w:val="left"/>
              <w:rPr>
                <w:rFonts w:ascii="仿宋" w:hAnsi="仿宋" w:eastAsia="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restart"/>
            <w:tcBorders>
              <w:tl2br w:val="nil"/>
              <w:tr2bl w:val="nil"/>
            </w:tcBorders>
            <w:vAlign w:val="center"/>
          </w:tcPr>
          <w:p>
            <w:pPr>
              <w:jc w:val="center"/>
              <w:rPr>
                <w:rFonts w:ascii="仿宋" w:hAnsi="仿宋" w:eastAsia="仿宋"/>
                <w:color w:val="000000"/>
                <w:sz w:val="24"/>
                <w:szCs w:val="24"/>
              </w:rPr>
            </w:pPr>
            <w:r>
              <w:rPr>
                <w:rFonts w:hint="eastAsia" w:ascii="仿宋" w:hAnsi="仿宋" w:eastAsia="仿宋"/>
                <w:color w:val="000000"/>
                <w:sz w:val="24"/>
                <w:szCs w:val="24"/>
              </w:rPr>
              <w:t>6</w:t>
            </w:r>
          </w:p>
        </w:tc>
        <w:tc>
          <w:tcPr>
            <w:tcW w:w="1607" w:type="dxa"/>
            <w:vMerge w:val="restart"/>
            <w:tcBorders>
              <w:tl2br w:val="nil"/>
              <w:tr2bl w:val="nil"/>
            </w:tcBorders>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台联分会</w:t>
            </w: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olor w:val="000000"/>
                <w:sz w:val="24"/>
                <w:szCs w:val="24"/>
              </w:rPr>
              <w:t>宪法、习近平法治思想、全面依法治国的重要论述。</w:t>
            </w:r>
          </w:p>
        </w:tc>
        <w:tc>
          <w:tcPr>
            <w:tcW w:w="4445" w:type="dxa"/>
            <w:vMerge w:val="restart"/>
            <w:tcBorders>
              <w:tl2br w:val="nil"/>
              <w:tr2bl w:val="nil"/>
            </w:tcBorders>
            <w:vAlign w:val="center"/>
          </w:tcPr>
          <w:p>
            <w:pPr>
              <w:jc w:val="left"/>
              <w:rPr>
                <w:rFonts w:ascii="仿宋" w:hAnsi="仿宋" w:eastAsia="仿宋"/>
                <w:color w:val="000000"/>
                <w:sz w:val="24"/>
                <w:szCs w:val="24"/>
              </w:rPr>
            </w:pPr>
            <w:r>
              <w:rPr>
                <w:rFonts w:hint="eastAsia" w:ascii="仿宋" w:hAnsi="仿宋" w:eastAsia="仿宋"/>
                <w:color w:val="000000"/>
                <w:sz w:val="24"/>
                <w:szCs w:val="24"/>
              </w:rPr>
              <w:t>以案释法；举案说法；多媒体法宣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05" w:type="dxa"/>
            <w:vMerge w:val="continue"/>
            <w:tcBorders>
              <w:tl2br w:val="nil"/>
              <w:tr2bl w:val="nil"/>
            </w:tcBorders>
            <w:vAlign w:val="center"/>
          </w:tcPr>
          <w:p>
            <w:pPr>
              <w:jc w:val="center"/>
              <w:rPr>
                <w:rFonts w:ascii="仿宋" w:hAnsi="仿宋" w:eastAsia="仿宋"/>
                <w:color w:val="000000"/>
                <w:sz w:val="24"/>
                <w:szCs w:val="24"/>
              </w:rPr>
            </w:pPr>
          </w:p>
        </w:tc>
        <w:tc>
          <w:tcPr>
            <w:tcW w:w="1607" w:type="dxa"/>
            <w:vMerge w:val="continue"/>
            <w:tcBorders>
              <w:tl2br w:val="nil"/>
              <w:tr2bl w:val="nil"/>
            </w:tcBorders>
          </w:tcPr>
          <w:p>
            <w:pPr>
              <w:jc w:val="center"/>
              <w:rPr>
                <w:rFonts w:ascii="仿宋" w:hAnsi="仿宋" w:eastAsia="仿宋" w:cs="宋体"/>
                <w:color w:val="000000"/>
                <w:kern w:val="0"/>
                <w:sz w:val="24"/>
                <w:szCs w:val="24"/>
              </w:rPr>
            </w:pPr>
          </w:p>
        </w:tc>
        <w:tc>
          <w:tcPr>
            <w:tcW w:w="6287" w:type="dxa"/>
            <w:tcBorders>
              <w:tl2br w:val="nil"/>
              <w:tr2bl w:val="nil"/>
            </w:tcBorders>
          </w:tcPr>
          <w:p>
            <w:pPr>
              <w:rPr>
                <w:rFonts w:ascii="仿宋" w:hAnsi="仿宋" w:eastAsia="仿宋"/>
                <w:color w:val="000000"/>
                <w:sz w:val="24"/>
                <w:szCs w:val="24"/>
              </w:rPr>
            </w:pPr>
            <w:r>
              <w:rPr>
                <w:rFonts w:hint="eastAsia" w:ascii="仿宋" w:hAnsi="仿宋" w:eastAsia="仿宋" w:cs="宋体"/>
                <w:color w:val="000000"/>
                <w:kern w:val="0"/>
                <w:sz w:val="24"/>
                <w:szCs w:val="24"/>
              </w:rPr>
              <w:t>负责台胞、侨胞保护法等法律法规的宣传普及工作。</w:t>
            </w:r>
          </w:p>
        </w:tc>
        <w:tc>
          <w:tcPr>
            <w:tcW w:w="4445" w:type="dxa"/>
            <w:vMerge w:val="continue"/>
            <w:tcBorders>
              <w:tl2br w:val="nil"/>
              <w:tr2bl w:val="nil"/>
            </w:tcBorders>
          </w:tcPr>
          <w:p>
            <w:pPr>
              <w:jc w:val="left"/>
              <w:rPr>
                <w:rFonts w:ascii="仿宋" w:hAnsi="仿宋" w:eastAsia="仿宋"/>
                <w:color w:val="000000"/>
                <w:sz w:val="24"/>
                <w:szCs w:val="24"/>
              </w:rPr>
            </w:pPr>
          </w:p>
        </w:tc>
      </w:tr>
    </w:tbl>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alibri Light">
    <w:altName w:val="DejaVu Sans"/>
    <w:panose1 w:val="020F0302020204030204"/>
    <w:charset w:val="00"/>
    <w:family w:val="swiss"/>
    <w:pitch w:val="default"/>
    <w:sig w:usb0="00000000" w:usb1="00000000" w:usb2="00000000"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D1D"/>
    <w:rsid w:val="000529D3"/>
    <w:rsid w:val="000825DD"/>
    <w:rsid w:val="000B0E81"/>
    <w:rsid w:val="00147E7B"/>
    <w:rsid w:val="001634D8"/>
    <w:rsid w:val="00193ECC"/>
    <w:rsid w:val="002C08FA"/>
    <w:rsid w:val="003A41C1"/>
    <w:rsid w:val="003B1BCC"/>
    <w:rsid w:val="00415B0B"/>
    <w:rsid w:val="00445DB7"/>
    <w:rsid w:val="004F4220"/>
    <w:rsid w:val="00560F3D"/>
    <w:rsid w:val="006C38BD"/>
    <w:rsid w:val="00780120"/>
    <w:rsid w:val="007F0ADF"/>
    <w:rsid w:val="00871017"/>
    <w:rsid w:val="008B2AEF"/>
    <w:rsid w:val="008F1065"/>
    <w:rsid w:val="009859A4"/>
    <w:rsid w:val="009F35B5"/>
    <w:rsid w:val="00A477A2"/>
    <w:rsid w:val="00A76DE4"/>
    <w:rsid w:val="00A909F7"/>
    <w:rsid w:val="00AA6D16"/>
    <w:rsid w:val="00B61EEF"/>
    <w:rsid w:val="00BF3860"/>
    <w:rsid w:val="00CF46F3"/>
    <w:rsid w:val="00D34C54"/>
    <w:rsid w:val="00D9531F"/>
    <w:rsid w:val="00DB3F04"/>
    <w:rsid w:val="00E147E7"/>
    <w:rsid w:val="00E31D1D"/>
    <w:rsid w:val="00E4621B"/>
    <w:rsid w:val="00F558CC"/>
    <w:rsid w:val="00FA27C5"/>
    <w:rsid w:val="00FF0C43"/>
    <w:rsid w:val="2EE4E1E9"/>
    <w:rsid w:val="37D9EC48"/>
    <w:rsid w:val="3E7D4DC0"/>
    <w:rsid w:val="3F1E2A86"/>
    <w:rsid w:val="3F634B4F"/>
    <w:rsid w:val="53FE4F4A"/>
    <w:rsid w:val="5FD6EA8C"/>
    <w:rsid w:val="5FFE4123"/>
    <w:rsid w:val="67FEA869"/>
    <w:rsid w:val="7B2F2B37"/>
    <w:rsid w:val="7D3F457B"/>
    <w:rsid w:val="7DDD1603"/>
    <w:rsid w:val="7F7B3233"/>
    <w:rsid w:val="7FA78D94"/>
    <w:rsid w:val="7FFA58CC"/>
    <w:rsid w:val="AFAF165A"/>
    <w:rsid w:val="BF3D08AA"/>
    <w:rsid w:val="BF7AE8E5"/>
    <w:rsid w:val="C77D7A18"/>
    <w:rsid w:val="CBBF846F"/>
    <w:rsid w:val="CCEA041A"/>
    <w:rsid w:val="CFBF9EA0"/>
    <w:rsid w:val="D3FEBCBC"/>
    <w:rsid w:val="DBF71C98"/>
    <w:rsid w:val="DCFFA3AE"/>
    <w:rsid w:val="DDEFF25D"/>
    <w:rsid w:val="EE7FCC7C"/>
    <w:rsid w:val="EE9E2646"/>
    <w:rsid w:val="EEEF2E1C"/>
    <w:rsid w:val="EF7F3785"/>
    <w:rsid w:val="F7CFD177"/>
    <w:rsid w:val="FDD17ADB"/>
    <w:rsid w:val="FE8F107B"/>
    <w:rsid w:val="FEFE6755"/>
    <w:rsid w:val="FFAF61CC"/>
    <w:rsid w:val="FFFC7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link w:val="12"/>
    <w:qFormat/>
    <w:uiPriority w:val="0"/>
    <w:pPr>
      <w:spacing w:before="240" w:after="60"/>
      <w:jc w:val="center"/>
      <w:outlineLvl w:val="0"/>
    </w:pPr>
    <w:rPr>
      <w:rFonts w:asciiTheme="majorHAnsi" w:hAnsiTheme="majorHAnsi" w:cstheme="majorBidi"/>
      <w:b/>
      <w:bCs/>
      <w:sz w:val="32"/>
      <w:szCs w:val="32"/>
    </w:rPr>
  </w:style>
  <w:style w:type="character" w:customStyle="1" w:styleId="11">
    <w:name w:val="标题 1 Char"/>
    <w:basedOn w:val="10"/>
    <w:link w:val="2"/>
    <w:qFormat/>
    <w:uiPriority w:val="0"/>
    <w:rPr>
      <w:b/>
      <w:bCs/>
      <w:kern w:val="44"/>
      <w:sz w:val="44"/>
      <w:szCs w:val="44"/>
    </w:rPr>
  </w:style>
  <w:style w:type="character" w:customStyle="1" w:styleId="12">
    <w:name w:val="标题 Char"/>
    <w:basedOn w:val="10"/>
    <w:link w:val="8"/>
    <w:qFormat/>
    <w:uiPriority w:val="0"/>
    <w:rPr>
      <w:rFonts w:eastAsia="宋体" w:asciiTheme="majorHAnsi" w:hAnsiTheme="majorHAnsi" w:cstheme="majorBidi"/>
      <w:b/>
      <w:bCs/>
      <w:kern w:val="2"/>
      <w:sz w:val="32"/>
      <w:szCs w:val="32"/>
    </w:rPr>
  </w:style>
  <w:style w:type="character" w:customStyle="1" w:styleId="13">
    <w:name w:val="页眉 Char"/>
    <w:basedOn w:val="10"/>
    <w:link w:val="5"/>
    <w:semiHidden/>
    <w:qFormat/>
    <w:uiPriority w:val="99"/>
    <w:rPr>
      <w:kern w:val="2"/>
      <w:sz w:val="18"/>
      <w:szCs w:val="18"/>
    </w:rPr>
  </w:style>
  <w:style w:type="character" w:customStyle="1" w:styleId="14">
    <w:name w:val="页脚 Char"/>
    <w:basedOn w:val="10"/>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4</Pages>
  <Words>2463</Words>
  <Characters>2470</Characters>
  <Lines>23</Lines>
  <Paragraphs>6</Paragraphs>
  <TotalTime>6</TotalTime>
  <ScaleCrop>false</ScaleCrop>
  <LinksUpToDate>false</LinksUpToDate>
  <CharactersWithSpaces>2471</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2021-06-20T14:28:00Z</dcterms:created>
  <dc:creator>沈扬</dc:creator>
  <cp:lastModifiedBy>WPS_1692993070</cp:lastModifiedBy>
  <dcterms:modified xsi:type="dcterms:W3CDTF">2026-10-28T10:44:53Z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72C6F96C4AB940C726250F6790BC37B3_43</vt:lpwstr>
  </property>
</Properties>
</file>